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58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581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Murray Christopher 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02/28/2024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CHIEF TECHNICAL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02/28/2024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29,495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02/28/2024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24,495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02/28/2024</w:t>
            </w:r>
          </w:p>
        </w:tc>
        <w:tc>
          <w:tcPr>
            <w:tcW w:w="1100" w:type="dxa"/>
            <w:vAlign w:val="bottom"/>
          </w:tcPr>
          <w:p>
            <w:pPr>
              <w:spacing w:after="0"/>
              <w:rPr>
                <w:sz w:val="16"/>
                <w:szCs w:val="16"/>
                <w:color w:val="auto"/>
              </w:rPr>
            </w:pP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76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03/01/2030</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8,000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June 5, 2023 in accordance with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2020. This option vested with respect to 1/48th of the shares underlying the option on April 1, 2020 and as to an additional 1/48th of the shares underlying the option each month thereafter.</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2"/>
          <w:szCs w:val="32"/>
          <w:color w:val="0000FF"/>
          <w:vertAlign w:val="subscript"/>
        </w:rPr>
        <w:t>03/01/2024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Christopher Murray</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2024-03-01T14:12:39Z</dcterms:created>
  <dcterms:modified xsi:type="dcterms:W3CDTF">2024-03-01T14:12:39Z</dcterms:modified>
</cp:coreProperties>
</file>