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211455</wp:posOffset>
            </wp:positionV>
            <wp:extent cx="15760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224790</wp:posOffset>
            </wp:positionV>
            <wp:extent cx="157607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607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222885</wp:posOffset>
            </wp:positionV>
            <wp:extent cx="15760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211455</wp:posOffset>
            </wp:positionV>
            <wp:extent cx="15760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ectPr>
          <w:pgSz w:w="11900" w:h="16838" w:orient="portrait"/>
          <w:cols w:equalWidth="0" w:num="1">
            <w:col w:w="9940"/>
          </w:cols>
          <w:pgMar w:left="980" w:top="585"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740"/>
        <w:spacing w:after="0"/>
        <w:rPr>
          <w:sz w:val="20"/>
          <w:szCs w:val="20"/>
          <w:color w:val="auto"/>
        </w:rPr>
      </w:pPr>
      <w:r>
        <w:rPr>
          <w:rFonts w:ascii="Arial" w:cs="Arial" w:eastAsia="Arial" w:hAnsi="Arial"/>
          <w:sz w:val="14"/>
          <w:szCs w:val="14"/>
          <w:color w:val="auto"/>
        </w:rPr>
        <w:t>(State or other jurisdiction</w:t>
      </w:r>
    </w:p>
    <w:p>
      <w:pPr>
        <w:spacing w:after="0" w:line="32"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001-37359</w:t>
      </w:r>
    </w:p>
    <w:p>
      <w:pPr>
        <w:spacing w:after="0" w:line="25"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26-3632015</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360" w:space="720"/>
            <w:col w:w="2940" w:space="720"/>
            <w:col w:w="2200"/>
          </w:cols>
          <w:pgMar w:left="980" w:top="585" w:right="979" w:bottom="1440" w:gutter="0" w:footer="0" w:header="0"/>
          <w:type w:val="continuous"/>
        </w:sectPr>
      </w:pPr>
    </w:p>
    <w:p>
      <w:pPr>
        <w:spacing w:after="0" w:line="94"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45 Sidney Street</w:t>
      </w:r>
    </w:p>
    <w:p>
      <w:pPr>
        <w:spacing w:after="0" w:line="25"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Cambridge, Massachusetts</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02139</w:t>
      </w:r>
    </w:p>
    <w:p>
      <w:pPr>
        <w:spacing w:after="0" w:line="25"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420" w:space="720"/>
            <w:col w:w="2800"/>
          </w:cols>
          <w:pgMar w:left="980" w:top="585" w:right="979" w:bottom="1440" w:gutter="0" w:footer="0" w:header="0"/>
          <w:type w:val="continuous"/>
        </w:sectPr>
      </w:pP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2364105</wp:posOffset>
            </wp:positionH>
            <wp:positionV relativeFrom="paragraph">
              <wp:posOffset>90170</wp:posOffset>
            </wp:positionV>
            <wp:extent cx="1576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6070" cy="1524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180" w:firstLine="578"/>
        <w:spacing w:after="0" w:line="279"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1" w:lineRule="exact"/>
        <w:rPr>
          <w:sz w:val="24"/>
          <w:szCs w:val="24"/>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8" w:lineRule="exact"/>
        <w:rPr>
          <w:sz w:val="24"/>
          <w:szCs w:val="24"/>
          <w:color w:val="auto"/>
        </w:rPr>
      </w:pPr>
    </w:p>
    <w:p>
      <w:pPr>
        <w:ind w:right="60" w:firstLine="578"/>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0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ind w:right="60" w:firstLine="578"/>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21"/>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BPMC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r>
        <w:trPr>
          <w:trHeight w:val="508"/>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85"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42" w:lineRule="exact"/>
        <w:rPr>
          <w:sz w:val="20"/>
          <w:szCs w:val="20"/>
          <w:color w:val="auto"/>
        </w:rPr>
      </w:pPr>
    </w:p>
    <w:p>
      <w:pPr>
        <w:ind w:right="20" w:firstLine="578"/>
        <w:spacing w:after="0" w:line="260" w:lineRule="auto"/>
        <w:rPr>
          <w:sz w:val="20"/>
          <w:szCs w:val="20"/>
          <w:color w:val="auto"/>
        </w:rPr>
      </w:pPr>
      <w:r>
        <w:rPr>
          <w:rFonts w:ascii="Arial" w:cs="Arial" w:eastAsia="Arial" w:hAnsi="Arial"/>
          <w:sz w:val="16"/>
          <w:szCs w:val="16"/>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&amp; Media” portion of its website at http://ir.blueprintmedicines.com/ a copy of its current corporate slide presentation. A copy of the presentation is furnished as Exhibit 99.1 to this Current Report on Form 8-K.</w:t>
      </w:r>
    </w:p>
    <w:p>
      <w:pPr>
        <w:spacing w:after="0" w:line="191" w:lineRule="exact"/>
        <w:rPr>
          <w:sz w:val="20"/>
          <w:szCs w:val="20"/>
          <w:color w:val="auto"/>
        </w:rPr>
      </w:pPr>
    </w:p>
    <w:p>
      <w:pPr>
        <w:ind w:right="160" w:firstLine="578"/>
        <w:spacing w:after="0" w:line="260" w:lineRule="auto"/>
        <w:rPr>
          <w:sz w:val="20"/>
          <w:szCs w:val="20"/>
          <w:color w:val="auto"/>
        </w:rPr>
      </w:pPr>
      <w:r>
        <w:rPr>
          <w:rFonts w:ascii="Arial" w:cs="Arial" w:eastAsia="Arial" w:hAnsi="Arial"/>
          <w:sz w:val="16"/>
          <w:szCs w:val="16"/>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9" w:lineRule="exact"/>
        <w:rPr>
          <w:sz w:val="20"/>
          <w:szCs w:val="20"/>
          <w:color w:val="auto"/>
        </w:rPr>
      </w:pPr>
    </w:p>
    <w:p>
      <w:pPr>
        <w:ind w:firstLine="578"/>
        <w:spacing w:after="0" w:line="258" w:lineRule="auto"/>
        <w:rPr>
          <w:sz w:val="20"/>
          <w:szCs w:val="20"/>
          <w:color w:val="auto"/>
        </w:rPr>
      </w:pPr>
      <w:r>
        <w:rPr>
          <w:rFonts w:ascii="Arial" w:cs="Arial" w:eastAsia="Arial" w:hAnsi="Arial"/>
          <w:sz w:val="16"/>
          <w:szCs w:val="16"/>
          <w:color w:val="auto"/>
        </w:rPr>
        <w:t>On April 1, 2020, the Company issued a press release reporting the achievement of a number of key milestones, including the top-line data from the Phase 1/2 ARROW trial in patients with RET mutant medullary thyroid cancer, the completion of the rolling new drug application submission for pralsetinib for RET fusion-positive non-small cell lung cancer, and the submission of an investigational new drug application for BLU-263 for the treatment of patients with indolent systemic mastocytosis. A copy of the press release is filed herewith as Exhibit 99.2 to this Current Report on Form 8-K and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98"/>
        </w:trPr>
        <w:tc>
          <w:tcPr>
            <w:tcW w:w="2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49"/>
        </w:trPr>
        <w:tc>
          <w:tcPr>
            <w:tcW w:w="20" w:type="dxa"/>
            <w:vAlign w:val="bottom"/>
          </w:tcPr>
          <w:p>
            <w:pPr>
              <w:spacing w:after="0"/>
              <w:rPr>
                <w:sz w:val="12"/>
                <w:szCs w:val="12"/>
                <w:color w:val="auto"/>
              </w:rPr>
            </w:pPr>
          </w:p>
        </w:tc>
        <w:tc>
          <w:tcPr>
            <w:tcW w:w="1420" w:type="dxa"/>
            <w:vAlign w:val="bottom"/>
            <w:tcBorders>
              <w:top w:val="single" w:sz="8" w:color="auto"/>
            </w:tcBorders>
          </w:tcPr>
          <w:p>
            <w:pPr>
              <w:ind w:left="80"/>
              <w:spacing w:after="0" w:line="149" w:lineRule="exact"/>
              <w:rPr>
                <w:sz w:val="20"/>
                <w:szCs w:val="20"/>
                <w:color w:val="auto"/>
              </w:rPr>
            </w:pPr>
            <w:r>
              <w:rPr>
                <w:rFonts w:ascii="Arial" w:cs="Arial" w:eastAsia="Arial" w:hAnsi="Arial"/>
                <w:sz w:val="16"/>
                <w:szCs w:val="16"/>
                <w:color w:val="auto"/>
              </w:rPr>
              <w:t>99.1</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120" w:type="dxa"/>
            <w:vAlign w:val="bottom"/>
            <w:tcBorders>
              <w:top w:val="single" w:sz="8" w:color="auto"/>
            </w:tcBorders>
            <w:gridSpan w:val="3"/>
          </w:tcPr>
          <w:p>
            <w:pPr>
              <w:spacing w:after="0" w:line="149" w:lineRule="exact"/>
              <w:rPr>
                <w:rFonts w:ascii="Arial" w:cs="Arial" w:eastAsia="Arial" w:hAnsi="Arial"/>
                <w:sz w:val="16"/>
                <w:szCs w:val="16"/>
                <w:color w:val="0000EE"/>
              </w:rPr>
            </w:pPr>
            <w:hyperlink w:anchor="page4">
              <w:r>
                <w:rPr>
                  <w:rFonts w:ascii="Arial" w:cs="Arial" w:eastAsia="Arial" w:hAnsi="Arial"/>
                  <w:sz w:val="16"/>
                  <w:szCs w:val="16"/>
                  <w:color w:val="0000EE"/>
                </w:rPr>
                <w:t>Corporate slide presentation of Blueprint Medicines Corporation dated April 1, 2020</w:t>
              </w:r>
            </w:hyperlink>
          </w:p>
        </w:tc>
      </w:tr>
      <w:tr>
        <w:trPr>
          <w:trHeight w:val="173"/>
        </w:trPr>
        <w:tc>
          <w:tcPr>
            <w:tcW w:w="1440" w:type="dxa"/>
            <w:vAlign w:val="bottom"/>
            <w:gridSpan w:val="2"/>
          </w:tcPr>
          <w:p>
            <w:pPr>
              <w:ind w:left="100"/>
              <w:spacing w:after="0" w:line="173" w:lineRule="exact"/>
              <w:rPr>
                <w:sz w:val="20"/>
                <w:szCs w:val="20"/>
                <w:color w:val="auto"/>
              </w:rPr>
            </w:pPr>
            <w:r>
              <w:rPr>
                <w:rFonts w:ascii="Arial" w:cs="Arial" w:eastAsia="Arial" w:hAnsi="Arial"/>
                <w:sz w:val="16"/>
                <w:szCs w:val="16"/>
                <w:color w:val="auto"/>
              </w:rPr>
              <w:t>99.2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40" w:type="dxa"/>
            <w:vAlign w:val="bottom"/>
            <w:tcBorders>
              <w:top w:val="single" w:sz="8" w:color="0000EE"/>
            </w:tcBorders>
            <w:gridSpan w:val="2"/>
          </w:tcPr>
          <w:p>
            <w:pPr>
              <w:spacing w:after="0" w:line="173" w:lineRule="exact"/>
              <w:rPr>
                <w:rFonts w:ascii="Arial" w:cs="Arial" w:eastAsia="Arial" w:hAnsi="Arial"/>
                <w:sz w:val="16"/>
                <w:szCs w:val="16"/>
                <w:color w:val="0000EE"/>
              </w:rPr>
            </w:pPr>
            <w:hyperlink w:anchor="page35">
              <w:r>
                <w:rPr>
                  <w:rFonts w:ascii="Arial" w:cs="Arial" w:eastAsia="Arial" w:hAnsi="Arial"/>
                  <w:sz w:val="16"/>
                  <w:szCs w:val="16"/>
                  <w:color w:val="0000EE"/>
                </w:rPr>
                <w:t>Press release issued by Blueprint Medicines Corporation on April 1, 2020</w:t>
              </w:r>
            </w:hyperlink>
          </w:p>
        </w:tc>
        <w:tc>
          <w:tcPr>
            <w:tcW w:w="2680" w:type="dxa"/>
            <w:vAlign w:val="bottom"/>
          </w:tcPr>
          <w:p>
            <w:pPr>
              <w:spacing w:after="0"/>
              <w:rPr>
                <w:sz w:val="15"/>
                <w:szCs w:val="15"/>
                <w:color w:val="auto"/>
              </w:rPr>
            </w:pPr>
          </w:p>
        </w:tc>
      </w:tr>
      <w:tr>
        <w:trPr>
          <w:trHeight w:val="20"/>
        </w:trPr>
        <w:tc>
          <w:tcPr>
            <w:tcW w:w="1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r>
      <w:tr>
        <w:trPr>
          <w:trHeight w:val="209"/>
        </w:trPr>
        <w:tc>
          <w:tcPr>
            <w:tcW w:w="1440" w:type="dxa"/>
            <w:vAlign w:val="bottom"/>
            <w:gridSpan w:val="2"/>
          </w:tcPr>
          <w:p>
            <w:pPr>
              <w:ind w:left="100"/>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1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84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2"/>
          </w:tcPr>
          <w:p>
            <w:pPr>
              <w:jc w:val="right"/>
              <w:ind w:right="1460"/>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679"/>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2" w:right="9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8"/>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660" w:val="left"/>
          <w:tab w:leader="none" w:pos="6020" w:val="left"/>
        </w:tabs>
        <w:rPr>
          <w:sz w:val="20"/>
          <w:szCs w:val="20"/>
          <w:color w:val="auto"/>
        </w:rPr>
      </w:pPr>
      <w:r>
        <w:rPr>
          <w:rFonts w:ascii="Arial" w:cs="Arial" w:eastAsia="Arial" w:hAnsi="Arial"/>
          <w:sz w:val="16"/>
          <w:szCs w:val="16"/>
          <w:color w:val="auto"/>
        </w:rPr>
        <w:t>Date: April 1,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13335</wp:posOffset>
            </wp:positionV>
            <wp:extent cx="24638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3800" cy="7620"/>
                    </a:xfrm>
                    <a:prstGeom prst="rect">
                      <a:avLst/>
                    </a:prstGeom>
                    <a:noFill/>
                  </pic:spPr>
                </pic:pic>
              </a:graphicData>
            </a:graphic>
          </wp:anchor>
        </w:drawing>
      </w:r>
    </w:p>
    <w:p>
      <w:pPr>
        <w:spacing w:after="0" w:line="4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Jeffrey W. Albers</w:t>
      </w:r>
    </w:p>
    <w:p>
      <w:pPr>
        <w:spacing w:after="0" w:line="3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441960</wp:posOffset>
            </wp:positionV>
            <wp:extent cx="630555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5550" cy="22860"/>
                    </a:xfrm>
                    <a:prstGeom prst="rect">
                      <a:avLst/>
                    </a:prstGeom>
                    <a:noFill/>
                  </pic:spPr>
                </pic:pic>
              </a:graphicData>
            </a:graphic>
          </wp:anchor>
        </w:drawing>
      </w:r>
    </w:p>
    <w:p>
      <w:pPr>
        <w:sectPr>
          <w:pgSz w:w="11900" w:h="16838" w:orient="portrait"/>
          <w:cols w:equalWidth="0" w:num="1">
            <w:col w:w="9740"/>
          </w:cols>
          <w:pgMar w:left="980" w:top="123" w:right="117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23495</wp:posOffset>
            </wp:positionV>
            <wp:extent cx="6894830" cy="4201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4267200</wp:posOffset>
            </wp:positionV>
            <wp:extent cx="676465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4655"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262255</wp:posOffset>
            </wp:positionH>
            <wp:positionV relativeFrom="page">
              <wp:posOffset>88900</wp:posOffset>
            </wp:positionV>
            <wp:extent cx="6894830" cy="4201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4830"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ind w:right="219"/>
        <w:spacing w:after="0"/>
        <w:rPr>
          <w:sz w:val="20"/>
          <w:szCs w:val="20"/>
          <w:color w:val="auto"/>
        </w:rPr>
      </w:pPr>
      <w:r>
        <w:rPr>
          <w:rFonts w:ascii="Arial" w:cs="Arial" w:eastAsia="Arial" w:hAnsi="Arial"/>
          <w:sz w:val="16"/>
          <w:szCs w:val="16"/>
          <w:b w:val="1"/>
          <w:bCs w:val="1"/>
          <w:color w:val="auto"/>
        </w:rPr>
        <w:t>Exhibit 99.2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Blueprint Medicines Announces the Achievement of Key Portfolio Milestones</w:t>
      </w:r>
    </w:p>
    <w:p>
      <w:pPr>
        <w:spacing w:after="0" w:line="133" w:lineRule="exact"/>
        <w:rPr>
          <w:sz w:val="20"/>
          <w:szCs w:val="20"/>
          <w:color w:val="auto"/>
        </w:rPr>
      </w:pPr>
    </w:p>
    <w:p>
      <w:pPr>
        <w:ind w:left="1280" w:right="399" w:hanging="894"/>
        <w:spacing w:after="0" w:line="263" w:lineRule="auto"/>
        <w:tabs>
          <w:tab w:leader="none" w:pos="526"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Top-line ARROW trial data for pralsetinib show 60% overall response rate and 18-month duration of response rate of 90% in previously treated RET-mutant medullary thyroid cancer; plan to submit NDA to FDA in Q2 2020 --</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--74% overall response rate in treatment-naïve RET-mutant medullary thyroid cancer</w:t>
      </w:r>
    </w:p>
    <w:p>
      <w:pPr>
        <w:jc w:val="center"/>
        <w:ind w:right="19"/>
        <w:spacing w:after="0"/>
        <w:rPr>
          <w:sz w:val="20"/>
          <w:szCs w:val="20"/>
          <w:color w:val="auto"/>
        </w:rPr>
      </w:pPr>
      <w:r>
        <w:rPr>
          <w:rFonts w:ascii="Arial" w:cs="Arial" w:eastAsia="Arial" w:hAnsi="Arial"/>
          <w:sz w:val="16"/>
          <w:szCs w:val="16"/>
          <w:i w:val="1"/>
          <w:iCs w:val="1"/>
          <w:color w:val="auto"/>
        </w:rPr>
        <w:t>and 89% overall response rate in RET fusion-positive thyroid cancer --</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NDA submitted to FDA for pralsetinib for RET fusion-positive non-small cell lung cancer --</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 IND application for BLU-263 in indolent systemic mastocytosis submitted to FDA --</w:t>
      </w:r>
    </w:p>
    <w:p>
      <w:pPr>
        <w:spacing w:after="0" w:line="129" w:lineRule="exact"/>
        <w:rPr>
          <w:sz w:val="20"/>
          <w:szCs w:val="20"/>
          <w:color w:val="auto"/>
        </w:rPr>
      </w:pPr>
    </w:p>
    <w:p>
      <w:pPr>
        <w:ind w:left="200" w:right="339"/>
        <w:spacing w:after="0" w:line="216" w:lineRule="auto"/>
        <w:rPr>
          <w:sz w:val="20"/>
          <w:szCs w:val="20"/>
          <w:color w:val="auto"/>
        </w:rPr>
      </w:pPr>
      <w:r>
        <w:rPr>
          <w:rFonts w:ascii="Arial" w:cs="Arial" w:eastAsia="Arial" w:hAnsi="Arial"/>
          <w:sz w:val="16"/>
          <w:szCs w:val="16"/>
          <w:color w:val="auto"/>
        </w:rPr>
        <w:t>CAMBRIDGE, Mass., April 1, 2020 – Blueprint Medicines Corporation (NASDAQ: BPMC), a precision therapy company focused on genomically defined cancers, rare diseases and cancer immunotherapy, today announced the achievement of key milestones reflecting portfolio-wide progress against the company’s 2020 goals. These milestones include the compilation of top-line data for pralsetinib in patients with RET-mutant medullary thyroid cancer (MTC), supporting plans to submit a new drug application (NDA) to the U.S. Food and Drug Administration (FDA) in the second quarter of 2020.</w:t>
      </w:r>
    </w:p>
    <w:p>
      <w:pPr>
        <w:spacing w:after="0" w:line="112" w:lineRule="exact"/>
        <w:rPr>
          <w:sz w:val="20"/>
          <w:szCs w:val="20"/>
          <w:color w:val="auto"/>
        </w:rPr>
      </w:pPr>
    </w:p>
    <w:p>
      <w:pPr>
        <w:ind w:left="200" w:right="339"/>
        <w:spacing w:after="0" w:line="213" w:lineRule="auto"/>
        <w:rPr>
          <w:sz w:val="20"/>
          <w:szCs w:val="20"/>
          <w:color w:val="auto"/>
        </w:rPr>
      </w:pPr>
      <w:r>
        <w:rPr>
          <w:rFonts w:ascii="Arial" w:cs="Arial" w:eastAsia="Arial" w:hAnsi="Arial"/>
          <w:sz w:val="16"/>
          <w:szCs w:val="16"/>
          <w:color w:val="auto"/>
        </w:rPr>
        <w:t>“As our company and the communities we serve face the COVID-19 pandemic, I am exceptionally proud of our team’s nimbleness and persistency in advancing multiple therapies across our portfolio for the patients who need them,” said Andy Boral, M.D., Ph.D., Chief Medical Officer at Blueprint Medicines. “I am particularly encouraged that we have advanced pralsetinib toward registration across multiple tumor types and have made strong progress on the avapritinib program, with a compelling dataset in patients with systemic mastocytosis reported last month. The top-line data announced today demonstrate the potential of pralsetinib to be a best-in-class therapy for patients with RET-altered thyroid cancers, with deep and durable responses in both the first-line and relapsed settings.”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Top-line Data from Phase 1/2 ARROW Trial in RET-Altered Thyroid Cancers</w:t>
      </w:r>
    </w:p>
    <w:p>
      <w:pPr>
        <w:spacing w:after="0" w:line="133" w:lineRule="exact"/>
        <w:rPr>
          <w:sz w:val="20"/>
          <w:szCs w:val="20"/>
          <w:color w:val="auto"/>
        </w:rPr>
      </w:pPr>
    </w:p>
    <w:p>
      <w:pPr>
        <w:ind w:left="200" w:right="479"/>
        <w:spacing w:after="0" w:line="220" w:lineRule="auto"/>
        <w:rPr>
          <w:sz w:val="20"/>
          <w:szCs w:val="20"/>
          <w:color w:val="auto"/>
        </w:rPr>
      </w:pPr>
      <w:r>
        <w:rPr>
          <w:rFonts w:ascii="Arial" w:cs="Arial" w:eastAsia="Arial" w:hAnsi="Arial"/>
          <w:sz w:val="16"/>
          <w:szCs w:val="16"/>
          <w:color w:val="auto"/>
        </w:rPr>
        <w:t>Top-line results announced today support Blueprint Medicines’ plans to submit an NDA for pralsetinib in patients with RET-mutant MTC previously treated with an approved multi-kinase inhibitor (MKI) in the second quarter of 2020. The registration endpoints are overall response rate (ORR) and duration of response (DOR), based on independent central radiology and Response Evaluation Criteria in Solid Tumors version 1.1 (RECIST 1.1) criteria.</w:t>
      </w:r>
    </w:p>
    <w:p>
      <w:pPr>
        <w:spacing w:after="0" w:line="109" w:lineRule="exact"/>
        <w:rPr>
          <w:sz w:val="20"/>
          <w:szCs w:val="20"/>
          <w:color w:val="auto"/>
        </w:rPr>
      </w:pPr>
    </w:p>
    <w:p>
      <w:pPr>
        <w:jc w:val="both"/>
        <w:ind w:left="200" w:right="459"/>
        <w:spacing w:after="0" w:line="225" w:lineRule="auto"/>
        <w:rPr>
          <w:sz w:val="20"/>
          <w:szCs w:val="20"/>
          <w:color w:val="auto"/>
        </w:rPr>
      </w:pPr>
      <w:r>
        <w:rPr>
          <w:rFonts w:ascii="Arial" w:cs="Arial" w:eastAsia="Arial" w:hAnsi="Arial"/>
          <w:sz w:val="16"/>
          <w:szCs w:val="16"/>
          <w:color w:val="auto"/>
        </w:rPr>
        <w:t>Top-line efficacy data were reported for patients treated with pralsetinib who were evaluable for response assessment per RECIST 1.1, as determined by blinded independent central review. All patients received the proposed indicated dose of 400 mg once daily (QD). All results were as of a data cutoff date of February 13, 2020.</w:t>
      </w:r>
    </w:p>
    <w:p>
      <w:pPr>
        <w:spacing w:after="0" w:line="109" w:lineRule="exact"/>
        <w:rPr>
          <w:sz w:val="20"/>
          <w:szCs w:val="20"/>
          <w:color w:val="auto"/>
        </w:rPr>
      </w:pPr>
    </w:p>
    <w:p>
      <w:pPr>
        <w:ind w:left="200" w:right="219"/>
        <w:spacing w:after="0"/>
        <w:rPr>
          <w:sz w:val="20"/>
          <w:szCs w:val="20"/>
          <w:color w:val="auto"/>
        </w:rPr>
      </w:pPr>
      <w:r>
        <w:rPr>
          <w:rFonts w:ascii="Arial" w:cs="Arial" w:eastAsia="Arial" w:hAnsi="Arial"/>
          <w:sz w:val="15"/>
          <w:szCs w:val="15"/>
          <w:color w:val="auto"/>
        </w:rPr>
        <w:t>In 53 patients with RET-mutant MTC previously treated with cabozantinib or vandetanib, the ORR was 60 percent (95% CI: 46-74%) with one response pending confirmation. Nearly all patients (98 percent) had tumor shrinkage. The median DOR was not reached (95% CI: not estimable, not estimable), and the 18-month DOR rate was 90 percent (95% CI: 77-100%).</w:t>
      </w:r>
    </w:p>
    <w:p>
      <w:pPr>
        <w:spacing w:after="0" w:line="109" w:lineRule="exact"/>
        <w:rPr>
          <w:sz w:val="20"/>
          <w:szCs w:val="20"/>
          <w:color w:val="auto"/>
        </w:rPr>
      </w:pPr>
    </w:p>
    <w:p>
      <w:pPr>
        <w:ind w:left="200" w:right="299"/>
        <w:spacing w:after="0" w:line="234" w:lineRule="auto"/>
        <w:rPr>
          <w:sz w:val="20"/>
          <w:szCs w:val="20"/>
          <w:color w:val="auto"/>
        </w:rPr>
      </w:pPr>
      <w:r>
        <w:rPr>
          <w:rFonts w:ascii="Arial" w:cs="Arial" w:eastAsia="Arial" w:hAnsi="Arial"/>
          <w:sz w:val="15"/>
          <w:szCs w:val="15"/>
          <w:color w:val="auto"/>
        </w:rPr>
        <w:t>In addition, the top-line data showed robust clinical activity in treatment-naïve patients, supporting the potential of pralsetinib across lines of therapy. In 19 patients with RET-mutant MTC who had not received prior systemic treatment, the confirmed ORR was 74 percent (95% CI: 49-91%), and all patients had tumor shrinkage. The median DOR was not reached (95% CI: 7 months, not estimable), with 12 of 14 responders remaining in response for up to 15 months as of the data cutoff date.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nine patients with RET fusion-positive thyroid cancer, the confirmed ORR was 89 percent (95% CI: 52-100%), and all patients</w:t>
      </w:r>
    </w:p>
    <w:p>
      <w:pPr>
        <w:ind w:left="200" w:right="899"/>
        <w:spacing w:after="0" w:line="226" w:lineRule="auto"/>
        <w:rPr>
          <w:sz w:val="20"/>
          <w:szCs w:val="20"/>
          <w:color w:val="auto"/>
        </w:rPr>
      </w:pPr>
      <w:r>
        <w:rPr>
          <w:rFonts w:ascii="Arial" w:cs="Arial" w:eastAsia="Arial" w:hAnsi="Arial"/>
          <w:sz w:val="16"/>
          <w:szCs w:val="16"/>
          <w:color w:val="auto"/>
        </w:rPr>
        <w:t>had tumor shrinkage. The median DOR was not reached (95% CI: 8 months, not estimable), with seven of eight responders remaining in response for up to 20 months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391160</wp:posOffset>
            </wp:positionV>
            <wp:extent cx="546354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200" w:right="459"/>
        <w:spacing w:after="0"/>
        <w:rPr>
          <w:sz w:val="20"/>
          <w:szCs w:val="20"/>
          <w:color w:val="auto"/>
        </w:rPr>
      </w:pPr>
      <w:r>
        <w:rPr>
          <w:rFonts w:ascii="Arial" w:cs="Arial" w:eastAsia="Arial" w:hAnsi="Arial"/>
          <w:sz w:val="15"/>
          <w:szCs w:val="15"/>
          <w:color w:val="auto"/>
        </w:rPr>
        <w:t>Top-line safety data were consistent with those previously reported. Pralsetinib was well-tolerated, and most treatment-related adverse events (AEs) were Grade 1 or 2. Across all patients enrolled in the ARROW trial treated at the proposed indicated dose of 400 mg QD (N=438), only 4 percent discontinued treatment with pralsetinib due to treatment-related AEs.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Blueprint Medicines plans to present the full data at a scientific meeting this year.</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NDA Submission for Pralsetinib for RET Fusion-Positive NSCLC</w:t>
      </w:r>
    </w:p>
    <w:p>
      <w:pPr>
        <w:spacing w:after="0" w:line="133" w:lineRule="exact"/>
        <w:rPr>
          <w:sz w:val="20"/>
          <w:szCs w:val="20"/>
          <w:color w:val="auto"/>
        </w:rPr>
      </w:pPr>
    </w:p>
    <w:p>
      <w:pPr>
        <w:ind w:left="200" w:right="479"/>
        <w:spacing w:after="0" w:line="225" w:lineRule="auto"/>
        <w:rPr>
          <w:sz w:val="20"/>
          <w:szCs w:val="20"/>
          <w:color w:val="auto"/>
        </w:rPr>
      </w:pPr>
      <w:r>
        <w:rPr>
          <w:rFonts w:ascii="Arial" w:cs="Arial" w:eastAsia="Arial" w:hAnsi="Arial"/>
          <w:sz w:val="16"/>
          <w:szCs w:val="16"/>
          <w:color w:val="auto"/>
        </w:rPr>
        <w:t>Blueprint Medicines completed the rolling NDA submission for pralsetinib for RET fusion-positive non-small cell lung cancer (NSCLC). Blueprint Medicines requested priority review for the application, which, if granted, could result in a six-month review process.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Top-line Data from Phase 3 VOYAGER Trial in Third-Line GIST</w:t>
      </w:r>
    </w:p>
    <w:p>
      <w:pPr>
        <w:spacing w:after="0" w:line="133" w:lineRule="exact"/>
        <w:rPr>
          <w:sz w:val="20"/>
          <w:szCs w:val="20"/>
          <w:color w:val="auto"/>
        </w:rPr>
      </w:pPr>
    </w:p>
    <w:p>
      <w:pPr>
        <w:jc w:val="both"/>
        <w:ind w:left="200" w:right="219"/>
        <w:spacing w:after="0" w:line="225" w:lineRule="auto"/>
        <w:rPr>
          <w:sz w:val="20"/>
          <w:szCs w:val="20"/>
          <w:color w:val="auto"/>
        </w:rPr>
      </w:pPr>
      <w:r>
        <w:rPr>
          <w:rFonts w:ascii="Arial" w:cs="Arial" w:eastAsia="Arial" w:hAnsi="Arial"/>
          <w:sz w:val="16"/>
          <w:szCs w:val="16"/>
          <w:color w:val="auto"/>
        </w:rPr>
        <w:t>Blueprint Medicines plans to lock the VOYAGER trial database in April and provide top-line data to the FDA for avapritinib in third-line gastrointestinal stromal tumor (GIST), to enable the FDA to take action on the proposed fourth-line GIST indication by the May 14, 2020 PDUFA date.</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Submission of IND Application for BLU-263</w:t>
      </w:r>
    </w:p>
    <w:p>
      <w:pPr>
        <w:spacing w:after="0" w:line="133" w:lineRule="exact"/>
        <w:rPr>
          <w:sz w:val="20"/>
          <w:szCs w:val="20"/>
          <w:color w:val="auto"/>
        </w:rPr>
      </w:pPr>
    </w:p>
    <w:p>
      <w:pPr>
        <w:ind w:left="200" w:right="319"/>
        <w:spacing w:after="0" w:line="220" w:lineRule="auto"/>
        <w:rPr>
          <w:sz w:val="20"/>
          <w:szCs w:val="20"/>
          <w:color w:val="auto"/>
        </w:rPr>
      </w:pPr>
      <w:r>
        <w:rPr>
          <w:rFonts w:ascii="Arial" w:cs="Arial" w:eastAsia="Arial" w:hAnsi="Arial"/>
          <w:sz w:val="16"/>
          <w:szCs w:val="16"/>
          <w:color w:val="auto"/>
        </w:rPr>
        <w:t>Blueprint Medicines submitted an investigational new drug (IND) application to the FDA for BLU-263, a next-generation KIT inhibitor, for the treatment of patients with indolent systemic mastocytosis (SM). With its drug candidates avapritinib and BLU-263, Blueprint Medicines is pursuing a comprehensive strategy to address a broad population of patients with SM and other mast cell disorders.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About RET-Altered Solid Tumors</w:t>
      </w:r>
    </w:p>
    <w:p>
      <w:pPr>
        <w:spacing w:after="0" w:line="133" w:lineRule="exact"/>
        <w:rPr>
          <w:sz w:val="20"/>
          <w:szCs w:val="20"/>
          <w:color w:val="auto"/>
        </w:rPr>
      </w:pPr>
    </w:p>
    <w:p>
      <w:pPr>
        <w:ind w:left="200" w:right="319"/>
        <w:spacing w:after="0" w:line="216" w:lineRule="auto"/>
        <w:rPr>
          <w:sz w:val="20"/>
          <w:szCs w:val="20"/>
          <w:color w:val="auto"/>
        </w:rPr>
      </w:pPr>
      <w:r>
        <w:rPr>
          <w:rFonts w:ascii="Arial" w:cs="Arial" w:eastAsia="Arial" w:hAnsi="Arial"/>
          <w:sz w:val="16"/>
          <w:szCs w:val="16"/>
          <w:color w:val="auto"/>
        </w:rPr>
        <w:t>RET activating fusions and mutations are key disease drivers in many cancer types, including NSCLC and MTC. RET fusions are implicated in approximately 1 to 2 percent of patients with NSCLC and approximately 10 to 20 percent of patients with papillary thyroid cancer,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112" w:lineRule="exact"/>
        <w:rPr>
          <w:sz w:val="20"/>
          <w:szCs w:val="20"/>
          <w:color w:val="auto"/>
        </w:rPr>
      </w:pPr>
    </w:p>
    <w:p>
      <w:pPr>
        <w:ind w:left="200" w:right="279"/>
        <w:spacing w:after="0" w:line="234" w:lineRule="auto"/>
        <w:rPr>
          <w:sz w:val="20"/>
          <w:szCs w:val="20"/>
          <w:color w:val="auto"/>
        </w:rPr>
      </w:pPr>
      <w:r>
        <w:rPr>
          <w:rFonts w:ascii="Arial" w:cs="Arial" w:eastAsia="Arial" w:hAnsi="Arial"/>
          <w:sz w:val="15"/>
          <w:szCs w:val="15"/>
          <w:color w:val="auto"/>
        </w:rPr>
        <w:t>Currently, there are no approved therapies that selectively target RET-driven cancers, although there are several approved MKIs with RET activity being evaluated in clinical trials. To date, clinical activity attributable to RET inhibition has been uncertain for these approved MKIs, likely due to insufficient inhibition of RET and off-target toxicities. There is a need for precision therapies that provide durable clinical benefit by selectively targeting RET alterations and anticipated resistance mutations.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About Pralsetinib</w:t>
      </w:r>
    </w:p>
    <w:p>
      <w:pPr>
        <w:spacing w:after="0" w:line="133" w:lineRule="exact"/>
        <w:rPr>
          <w:sz w:val="20"/>
          <w:szCs w:val="20"/>
          <w:color w:val="auto"/>
        </w:rPr>
      </w:pPr>
    </w:p>
    <w:p>
      <w:pPr>
        <w:jc w:val="both"/>
        <w:ind w:left="200" w:right="439"/>
        <w:spacing w:after="0"/>
        <w:rPr>
          <w:sz w:val="20"/>
          <w:szCs w:val="20"/>
          <w:color w:val="auto"/>
        </w:rPr>
      </w:pPr>
      <w:r>
        <w:rPr>
          <w:rFonts w:ascii="Arial" w:cs="Arial" w:eastAsia="Arial" w:hAnsi="Arial"/>
          <w:sz w:val="14"/>
          <w:szCs w:val="14"/>
          <w:color w:val="auto"/>
        </w:rPr>
        <w:t>Pralsetinib is an investigational, once-daily oral precision therapy specifically designed for highly potent and selective targeting of oncogenic RET alterations. Blueprint Medicines is developing pralsetinib for the treatment of patients with RET-altered NSCLC, MTC and other solid tumors. The FDA has granted Breakthrough Therapy Designation to pralsetinib for the treatment of</w:t>
      </w:r>
    </w:p>
    <w:p>
      <w:pPr>
        <w:spacing w:after="0" w:line="1" w:lineRule="exact"/>
        <w:rPr>
          <w:sz w:val="20"/>
          <w:szCs w:val="20"/>
          <w:color w:val="auto"/>
        </w:rPr>
      </w:pPr>
    </w:p>
    <w:p>
      <w:pPr>
        <w:ind w:left="200" w:right="559"/>
        <w:spacing w:after="0" w:line="226" w:lineRule="auto"/>
        <w:rPr>
          <w:sz w:val="20"/>
          <w:szCs w:val="20"/>
          <w:color w:val="auto"/>
        </w:rPr>
      </w:pPr>
      <w:r>
        <w:rPr>
          <w:rFonts w:ascii="Arial" w:cs="Arial" w:eastAsia="Arial" w:hAnsi="Arial"/>
          <w:sz w:val="16"/>
          <w:szCs w:val="16"/>
          <w:color w:val="auto"/>
        </w:rPr>
        <w:t>RET fusion-positive NSCLC that has progressed following platinum-based chemotherapy, and RET mutation-positive MTC that requires systemic treatment and for which there are no acceptable alternative treatments.</w:t>
      </w:r>
    </w:p>
    <w:p>
      <w:pPr>
        <w:spacing w:after="0" w:line="109" w:lineRule="exact"/>
        <w:rPr>
          <w:sz w:val="20"/>
          <w:szCs w:val="20"/>
          <w:color w:val="auto"/>
        </w:rPr>
      </w:pPr>
    </w:p>
    <w:p>
      <w:pPr>
        <w:ind w:left="200" w:right="379"/>
        <w:spacing w:after="0" w:line="225" w:lineRule="auto"/>
        <w:rPr>
          <w:sz w:val="20"/>
          <w:szCs w:val="20"/>
          <w:color w:val="auto"/>
        </w:rPr>
      </w:pPr>
      <w:r>
        <w:rPr>
          <w:rFonts w:ascii="Arial" w:cs="Arial" w:eastAsia="Arial" w:hAnsi="Arial"/>
          <w:sz w:val="16"/>
          <w:szCs w:val="16"/>
          <w:color w:val="auto"/>
        </w:rPr>
        <w:t>Pralsetinib was designed by Blueprint Medicines’ research team, leveraging the company’s proprietary compound library. In preclinical studies, pralsetinib consistently demonstrated sub-nanomolar potency against the most common RET fusions, activating mutations and predicted resistance mutations. In addition, pralsetinib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291465</wp:posOffset>
            </wp:positionV>
            <wp:extent cx="546354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3540" cy="1524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36" w:name="page37"/>
    <w:bookmarkEnd w:id="36"/>
    <w:p>
      <w:pPr>
        <w:ind w:left="200" w:right="319"/>
        <w:spacing w:after="0" w:line="234" w:lineRule="auto"/>
        <w:rPr>
          <w:sz w:val="20"/>
          <w:szCs w:val="20"/>
          <w:color w:val="auto"/>
        </w:rPr>
      </w:pPr>
      <w:r>
        <w:rPr>
          <w:rFonts w:ascii="Arial" w:cs="Arial" w:eastAsia="Arial" w:hAnsi="Arial"/>
          <w:sz w:val="15"/>
          <w:szCs w:val="15"/>
          <w:color w:val="auto"/>
        </w:rPr>
        <w:t>demonstrated markedly improved selectivity for RET compared to pharmacologically relevant kinases, including approximately 90-fold improved potency for RET versus VEGFR2. By suppressing primary and secondary mutants, pralsetinib has the potential to overcome and prevent the emergence of clinical resistance. Blueprint Medicines believes this approach will enable durable clinical responses across a diverse range of RET alterations, with a favorable safety profile.</w:t>
      </w:r>
    </w:p>
    <w:p>
      <w:pPr>
        <w:spacing w:after="0" w:line="111" w:lineRule="exact"/>
        <w:rPr>
          <w:sz w:val="20"/>
          <w:szCs w:val="20"/>
          <w:color w:val="auto"/>
        </w:rPr>
      </w:pPr>
    </w:p>
    <w:p>
      <w:pPr>
        <w:jc w:val="both"/>
        <w:ind w:left="200" w:right="499"/>
        <w:spacing w:after="0"/>
        <w:rPr>
          <w:sz w:val="20"/>
          <w:szCs w:val="20"/>
          <w:color w:val="auto"/>
        </w:rPr>
      </w:pPr>
      <w:r>
        <w:rPr>
          <w:rFonts w:ascii="Arial" w:cs="Arial" w:eastAsia="Arial" w:hAnsi="Arial"/>
          <w:sz w:val="15"/>
          <w:szCs w:val="15"/>
          <w:color w:val="auto"/>
        </w:rPr>
        <w:t>Blueprint Medicines has an exclusive collaboration and license agreement with CStone Pharmaceuticals for the development and commercialization of pralsetinib and certain other drug candidates in Mainland China, Hong Kong, Macau and Taiwan. Blueprint Medicines retains development and commercial rights for pralsetinib in the rest of the world.</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About Blueprint Medicines</w:t>
      </w:r>
    </w:p>
    <w:p>
      <w:pPr>
        <w:spacing w:after="0" w:line="133" w:lineRule="exact"/>
        <w:rPr>
          <w:sz w:val="20"/>
          <w:szCs w:val="20"/>
          <w:color w:val="auto"/>
        </w:rPr>
      </w:pPr>
    </w:p>
    <w:p>
      <w:pPr>
        <w:ind w:left="200" w:right="279"/>
        <w:spacing w:after="0" w:line="246" w:lineRule="auto"/>
        <w:rPr>
          <w:sz w:val="20"/>
          <w:szCs w:val="20"/>
          <w:color w:val="auto"/>
        </w:rPr>
      </w:pPr>
      <w:r>
        <w:rPr>
          <w:rFonts w:ascii="Arial" w:cs="Arial" w:eastAsia="Arial" w:hAnsi="Arial"/>
          <w:sz w:val="14"/>
          <w:szCs w:val="14"/>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4"/>
          <w:szCs w:val="14"/>
          <w:color w:val="auto"/>
          <w:highlight w:val="white"/>
        </w:rPr>
        <w:t>www.BlueprintMedicines.com</w:t>
      </w:r>
      <w:r>
        <w:rPr>
          <w:rFonts w:ascii="Arial" w:cs="Arial" w:eastAsia="Arial" w:hAnsi="Arial"/>
          <w:sz w:val="14"/>
          <w:szCs w:val="14"/>
          <w:color w:val="auto"/>
        </w:rPr>
        <w:t xml:space="preserve"> </w:t>
      </w:r>
      <w:r>
        <w:rPr>
          <w:rFonts w:ascii="Arial" w:cs="Arial" w:eastAsia="Arial" w:hAnsi="Arial"/>
          <w:sz w:val="14"/>
          <w:szCs w:val="14"/>
          <w:color w:val="0A0A0A"/>
          <w:highlight w:val="white"/>
        </w:rPr>
        <w:t>and follow us on</w:t>
      </w:r>
      <w:r>
        <w:rPr>
          <w:rFonts w:ascii="Arial" w:cs="Arial" w:eastAsia="Arial" w:hAnsi="Arial"/>
          <w:sz w:val="14"/>
          <w:szCs w:val="14"/>
          <w:color w:val="auto"/>
        </w:rPr>
        <w:t xml:space="preserve"> </w:t>
      </w:r>
      <w:r>
        <w:rPr>
          <w:rFonts w:ascii="Arial" w:cs="Arial" w:eastAsia="Arial" w:hAnsi="Arial"/>
          <w:sz w:val="14"/>
          <w:szCs w:val="14"/>
          <w:color w:val="auto"/>
          <w:highlight w:val="white"/>
        </w:rPr>
        <w:t>Twitter</w:t>
      </w:r>
      <w:r>
        <w:rPr>
          <w:rFonts w:ascii="Arial" w:cs="Arial" w:eastAsia="Arial" w:hAnsi="Arial"/>
          <w:sz w:val="14"/>
          <w:szCs w:val="14"/>
          <w:color w:val="auto"/>
        </w:rPr>
        <w:t xml:space="preserve"> </w:t>
      </w:r>
      <w:r>
        <w:rPr>
          <w:rFonts w:ascii="Arial" w:cs="Arial" w:eastAsia="Arial" w:hAnsi="Arial"/>
          <w:sz w:val="14"/>
          <w:szCs w:val="14"/>
          <w:color w:val="0A0A0A"/>
          <w:highlight w:val="white"/>
        </w:rPr>
        <w:t>(@BlueprintMeds) and</w:t>
      </w:r>
      <w:r>
        <w:rPr>
          <w:rFonts w:ascii="Arial" w:cs="Arial" w:eastAsia="Arial" w:hAnsi="Arial"/>
          <w:sz w:val="14"/>
          <w:szCs w:val="14"/>
          <w:color w:val="auto"/>
        </w:rPr>
        <w:t xml:space="preserve"> </w:t>
      </w:r>
      <w:r>
        <w:rPr>
          <w:rFonts w:ascii="Arial" w:cs="Arial" w:eastAsia="Arial" w:hAnsi="Arial"/>
          <w:sz w:val="14"/>
          <w:szCs w:val="14"/>
          <w:color w:val="auto"/>
          <w:highlight w:val="white"/>
        </w:rPr>
        <w:t>LinkedIn</w:t>
      </w:r>
      <w:r>
        <w:rPr>
          <w:rFonts w:ascii="Arial" w:cs="Arial" w:eastAsia="Arial" w:hAnsi="Arial"/>
          <w:sz w:val="14"/>
          <w:szCs w:val="14"/>
          <w:color w:val="0A0A0A"/>
          <w:highlight w:val="white"/>
        </w:rPr>
        <w: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33" w:lineRule="exact"/>
        <w:rPr>
          <w:sz w:val="20"/>
          <w:szCs w:val="20"/>
          <w:color w:val="auto"/>
        </w:rPr>
      </w:pPr>
    </w:p>
    <w:p>
      <w:pPr>
        <w:ind w:left="200" w:right="239"/>
        <w:spacing w:after="0" w:line="220"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development of pralsetinib and BLU-263, including the timing, design, implementation, initiation, enrollment, plans and announcement of results regarding Blueprint Medicines’ ongoing and planned clinical trials for pralsetinib and BLU-263; plans and timelines for submitting marketing applications for pralsetinib; the potential benefits of Blueprint Medicines’ current and future approved drugs or drug candidates in treating patients;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its approved product; the delay of any current or planned clinical trials or the development of Blueprint Medicines’ drug candidates or licensed drug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296545</wp:posOffset>
            </wp:positionV>
            <wp:extent cx="546354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37" w:name="page38"/>
    <w:bookmarkEnd w:id="37"/>
    <w:p>
      <w:pPr>
        <w:jc w:val="both"/>
        <w:ind w:left="200" w:right="479"/>
        <w:spacing w:after="0" w:line="225" w:lineRule="auto"/>
        <w:rPr>
          <w:sz w:val="20"/>
          <w:szCs w:val="20"/>
          <w:color w:val="auto"/>
        </w:rPr>
      </w:pPr>
      <w:r>
        <w:rPr>
          <w:rFonts w:ascii="Arial" w:cs="Arial" w:eastAsia="Arial" w:hAnsi="Arial"/>
          <w:sz w:val="16"/>
          <w:szCs w:val="16"/>
          <w:color w:val="auto"/>
        </w:rPr>
        <w:t>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Investor Relations Contact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Kristin Hodous</w:t>
      </w:r>
    </w:p>
    <w:p>
      <w:pPr>
        <w:ind w:left="200"/>
        <w:spacing w:after="0" w:line="204" w:lineRule="auto"/>
        <w:rPr>
          <w:sz w:val="20"/>
          <w:szCs w:val="20"/>
          <w:color w:val="auto"/>
        </w:rPr>
      </w:pPr>
      <w:r>
        <w:rPr>
          <w:rFonts w:ascii="Arial" w:cs="Arial" w:eastAsia="Arial" w:hAnsi="Arial"/>
          <w:sz w:val="16"/>
          <w:szCs w:val="16"/>
          <w:color w:val="auto"/>
        </w:rPr>
        <w:t>617-714-6674</w:t>
      </w:r>
    </w:p>
    <w:p>
      <w:pPr>
        <w:ind w:left="200"/>
        <w:spacing w:after="0"/>
        <w:rPr>
          <w:sz w:val="20"/>
          <w:szCs w:val="20"/>
          <w:color w:val="auto"/>
        </w:rPr>
      </w:pPr>
      <w:r>
        <w:rPr>
          <w:rFonts w:ascii="Arial" w:cs="Arial" w:eastAsia="Arial" w:hAnsi="Arial"/>
          <w:sz w:val="16"/>
          <w:szCs w:val="16"/>
          <w:color w:val="auto"/>
        </w:rPr>
        <w:t>ir@blueprintmedicines.com</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Media Relations Contact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Andrew Law</w:t>
      </w:r>
    </w:p>
    <w:p>
      <w:pPr>
        <w:ind w:left="200"/>
        <w:spacing w:after="0" w:line="204" w:lineRule="auto"/>
        <w:rPr>
          <w:sz w:val="20"/>
          <w:szCs w:val="20"/>
          <w:color w:val="auto"/>
        </w:rPr>
      </w:pPr>
      <w:r>
        <w:rPr>
          <w:rFonts w:ascii="Arial" w:cs="Arial" w:eastAsia="Arial" w:hAnsi="Arial"/>
          <w:sz w:val="16"/>
          <w:szCs w:val="16"/>
          <w:color w:val="auto"/>
        </w:rPr>
        <w:t>617-844-8205</w:t>
      </w:r>
    </w:p>
    <w:p>
      <w:pPr>
        <w:ind w:left="200"/>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394970</wp:posOffset>
            </wp:positionV>
            <wp:extent cx="5463540"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3540" cy="22860"/>
                    </a:xfrm>
                    <a:prstGeom prst="rect">
                      <a:avLst/>
                    </a:prstGeom>
                    <a:noFill/>
                  </pic:spPr>
                </pic:pic>
              </a:graphicData>
            </a:graphic>
          </wp:anchor>
        </w:drawing>
      </w:r>
    </w:p>
    <w:sectPr>
      <w:pgSz w:w="11900" w:h="16838" w:orient="portrait"/>
      <w:cols w:equalWidth="0" w:num="1">
        <w:col w:w="9019"/>
      </w:cols>
      <w:pgMar w:left="1440" w:top="2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2020-04-01T07:15:12Z</dcterms:created>
  <dcterms:modified xsi:type="dcterms:W3CDTF">2020-04-01T07:15:12Z</dcterms:modified>
</cp:coreProperties>
</file>