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ind w:right="100"/>
        <w:spacing w:after="0" w:line="286" w:lineRule="auto"/>
        <w:rPr>
          <w:sz w:val="20"/>
          <w:szCs w:val="20"/>
          <w:color w:val="auto"/>
        </w:rPr>
      </w:pPr>
      <w:r>
        <w:rPr>
          <w:rFonts w:ascii="Times New Roman" w:cs="Times New Roman" w:eastAsia="Times New Roman" w:hAnsi="Times New Roman"/>
          <w:sz w:val="18"/>
          <w:szCs w:val="18"/>
          <w:b w:val="1"/>
          <w:bCs w:val="1"/>
          <w:color w:val="212529"/>
        </w:rPr>
        <w:t>Item 5.02(e) Departure of Directors or Certain Officers; Election of Directors; Appointment of Certain Officers; Compensatory Arrangements of Certain Officers. </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21, 2022, the board of directors of Blueprint Medicines Corporation (the “Company”) amended and restated the Blueprint Medicines Corporation 2020 Inducement Plan (the “A&amp;R 2020 Inducement Plan”) to increase the number of shares of the Company’s common stock available for issuance pursuant to equity awards granted under the A&amp;R 2020 Inducement Plan from 1,000,000 shares to 2,500,000 shares (the “Share Reserve”). In accordance with Nasdaq Listing Rule 5635(c)(4), the Company did not seek approval of the A&amp;R 2020 Inducement Plan by its stockholders. Other than the increase in the Share Reserve, the terms and conditions of the A&amp;R 2020 Inducement Plan were not changed.</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foregoing is a brief description of the material terms of the A&amp;R 2020 Inducement Plan and is qualified in its entirety by reference to the full text of the A&amp;R 2020 Inducement Plan, filed as Exhibit 10.1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5.07 Submission of Matters to a Vote of Security Holders.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held its Annual Meeting of Stockholders on June 21, 2022 (the “Annual Meeting”). The following is a summary of the matters voted on at that meeting.</w:t>
      </w:r>
    </w:p>
    <w:p>
      <w:pPr>
        <w:spacing w:after="0" w:line="162" w:lineRule="exact"/>
        <w:rPr>
          <w:sz w:val="20"/>
          <w:szCs w:val="20"/>
          <w:color w:val="auto"/>
        </w:rPr>
      </w:pPr>
    </w:p>
    <w:p>
      <w:pPr>
        <w:jc w:val="both"/>
        <w:ind w:left="680" w:right="80" w:hanging="335"/>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Jeffrey W. Albers, Mark Goldberg, M.D. and Nicholas Lydon, Ph.D. as Class I directors, each to serve for a three-year term expiring at the 2025 annual meeting of stockholders and until his successor has been duly elected and qualified. The results of the stockholders’ vote with respect to the election of such Class I directors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shd w:val="clear" w:color="auto" w:fill="CCEEFF"/>
              </w:rPr>
              <w:t>38,338,820</w:t>
            </w:r>
          </w:p>
        </w:tc>
        <w:tc>
          <w:tcPr>
            <w:tcW w:w="2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15,880,558</w:t>
            </w:r>
          </w:p>
        </w:tc>
        <w:tc>
          <w:tcPr>
            <w:tcW w:w="2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shd w:val="clear" w:color="auto" w:fill="CCEEFF"/>
              </w:rPr>
              <w:t>1,984,429</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13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21,917,758</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32,301,620</w:t>
            </w:r>
          </w:p>
        </w:tc>
        <w:tc>
          <w:tcPr>
            <w:tcW w:w="260" w:type="dxa"/>
            <w:vAlign w:val="bottom"/>
          </w:tcPr>
          <w:p>
            <w:pPr>
              <w:spacing w:after="0"/>
              <w:rPr>
                <w:sz w:val="18"/>
                <w:szCs w:val="18"/>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1,984,429</w:t>
            </w:r>
          </w:p>
        </w:tc>
        <w:tc>
          <w:tcPr>
            <w:tcW w:w="8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Nicholas Lydon, Ph.D.</w:t>
            </w:r>
          </w:p>
        </w:tc>
        <w:tc>
          <w:tcPr>
            <w:tcW w:w="1360" w:type="dxa"/>
            <w:vAlign w:val="bottom"/>
            <w:shd w:val="clear" w:color="auto" w:fill="CCEEFF"/>
          </w:tcPr>
          <w:p>
            <w:pPr>
              <w:ind w:left="540"/>
              <w:spacing w:after="0" w:line="202" w:lineRule="exact"/>
              <w:rPr>
                <w:sz w:val="20"/>
                <w:szCs w:val="20"/>
                <w:color w:val="auto"/>
              </w:rPr>
            </w:pPr>
            <w:r>
              <w:rPr>
                <w:rFonts w:ascii="Times New Roman" w:cs="Times New Roman" w:eastAsia="Times New Roman" w:hAnsi="Times New Roman"/>
                <w:sz w:val="18"/>
                <w:szCs w:val="18"/>
                <w:color w:val="auto"/>
                <w:w w:val="98"/>
                <w:shd w:val="clear" w:color="auto" w:fill="CCEEFF"/>
              </w:rPr>
              <w:t>32,673,870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21,545,508</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w w:val="97"/>
                <w:shd w:val="clear" w:color="auto" w:fill="CCEEFF"/>
              </w:rPr>
              <w:t>1,984,429</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80" w:hanging="335"/>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shd w:val="clear" w:color="auto" w:fill="CCEEFF"/>
              </w:rPr>
              <w:t>53,277,135</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916,091</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shd w:val="clear" w:color="auto" w:fill="CCEEFF"/>
              </w:rPr>
              <w:t>26,152</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shd w:val="clear" w:color="auto" w:fill="CCEEFF"/>
              </w:rPr>
              <w:t>1,984,429</w:t>
            </w:r>
          </w:p>
        </w:tc>
      </w:tr>
    </w:tbl>
    <w:p>
      <w:pPr>
        <w:spacing w:after="0" w:line="198" w:lineRule="exact"/>
        <w:rPr>
          <w:sz w:val="20"/>
          <w:szCs w:val="20"/>
          <w:color w:val="auto"/>
        </w:rPr>
      </w:pPr>
    </w:p>
    <w:p>
      <w:pPr>
        <w:ind w:left="680" w:right="140" w:hanging="335"/>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for the fiscal year ending December 31, 2022. The results of the stockholders’ vote with respect to such ratification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shd w:val="clear" w:color="auto" w:fill="CCEEFF"/>
              </w:rPr>
              <w:t>55,836,831</w:t>
            </w:r>
          </w:p>
        </w:tc>
        <w:tc>
          <w:tcPr>
            <w:tcW w:w="8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shd w:val="clear" w:color="auto" w:fill="CCEEFF"/>
              </w:rPr>
              <w:t>343,817</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shd w:val="clear" w:color="auto" w:fill="CCEEFF"/>
              </w:rPr>
              <w:t>23,159</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0000EE"/>
              </w:rPr>
              <w:t>Blueprint Medicines Corporation Amended and Restated 2020 Inducement Plan</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702"/>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2022</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AMENDED AND RESTATED 2020 INDUCEMENT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5"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7"/>
          <w:szCs w:val="17"/>
          <w:color w:val="auto"/>
        </w:rPr>
        <w:t>The name of the plan is the Blueprint Medicines Corporation Amended and Restated 2020 Inducement Plan (the “Plan”). The purpose of the Plan is to enable Blueprint Medicines Corporation (the “Company”) and its Subsidiaries to grant equity awards to induce highly-qualified prospective officers and employees who are Eligible Employees to accept employment and to provide them with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The Company intends that the Plan be reserved for persons to whom the Company may issue securities without stockholder approval as an inducement pursuant to Rule 5635(c)</w:t>
      </w:r>
    </w:p>
    <w:p>
      <w:pPr>
        <w:spacing w:after="0" w:line="5" w:lineRule="exact"/>
        <w:rPr>
          <w:sz w:val="20"/>
          <w:szCs w:val="20"/>
          <w:color w:val="auto"/>
        </w:rPr>
      </w:pPr>
    </w:p>
    <w:p>
      <w:pPr>
        <w:ind w:left="660" w:right="6400" w:hanging="652"/>
        <w:spacing w:after="0" w:line="517" w:lineRule="auto"/>
        <w:tabs>
          <w:tab w:leader="none" w:pos="26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Marketplace Rules of The NASDAQ Stock Market LLC. The following terms shall be defined as set forth below:</w:t>
      </w:r>
    </w:p>
    <w:p>
      <w:pPr>
        <w:spacing w:after="0" w:line="1"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Stock Options,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Restricted Stock Units, Restricted Stock Awards, Unrestricted Stock Awards and Dividend Equivalent Rights.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2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any natural person that provides bona fide services to the Company, and such services are not in connection with the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securities in a capital-raising transaction and do not directly or indirectly promote or maintain a market for the Company’s securities.</w:t>
      </w:r>
    </w:p>
    <w:p>
      <w:pPr>
        <w:spacing w:after="0" w:line="158" w:lineRule="exact"/>
        <w:rPr>
          <w:sz w:val="20"/>
          <w:szCs w:val="20"/>
          <w:color w:val="auto"/>
        </w:rPr>
      </w:pPr>
    </w:p>
    <w:p>
      <w:pPr>
        <w:jc w:val="both"/>
        <w:ind w:right="26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“Dividend Equivalent Right” </w:t>
      </w:r>
      <w:r>
        <w:rPr>
          <w:rFonts w:ascii="Times New Roman" w:cs="Times New Roman" w:eastAsia="Times New Roman" w:hAnsi="Times New Roman"/>
          <w:sz w:val="17"/>
          <w:szCs w:val="17"/>
          <w:color w:val="auto"/>
        </w:rPr>
        <w:t>means an Award entitling the grantee to receive credits based on cash dividends that would have been paid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Stock specified in the Dividend Equivalent Right (or other award to which it relates) if such shares had been issued to and held by the grantee.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21.</w:t>
      </w:r>
    </w:p>
    <w:p>
      <w:pPr>
        <w:spacing w:after="0" w:line="225"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“Eligible Employee” </w:t>
      </w:r>
      <w:r>
        <w:rPr>
          <w:rFonts w:ascii="Times New Roman" w:cs="Times New Roman" w:eastAsia="Times New Roman" w:hAnsi="Times New Roman"/>
          <w:sz w:val="18"/>
          <w:szCs w:val="18"/>
          <w:color w:val="auto"/>
        </w:rPr>
        <w:t>means any individual who was not previously an employee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 of the Company or any of its Subsidiaries (or who has had a bona fide period of non-employment with the Company and its Subsidiaries), who is hired as a full or part-time employee by the Company or one of its Subsidiaries, and for whom the Award is being made as an inducement material to the individual’s entering into such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admitted to quotation on the NASDAQ Capital Market, the NASDAQ Global Market, the NASDAQ Global Select Market, the New York Stock Exchange or another national securities exchange, the determination shall be made by reference to the closing price of the Stock.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shares of Stock subject to such restrictions and conditions as the Administrator may determine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phantom stock units to a grantee.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9" w:lineRule="exact"/>
        <w:rPr>
          <w:sz w:val="20"/>
          <w:szCs w:val="20"/>
          <w:color w:val="auto"/>
        </w:rPr>
      </w:pPr>
    </w:p>
    <w:p>
      <w:pPr>
        <w:ind w:right="60" w:firstLine="8"/>
        <w:spacing w:after="0" w:line="252"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Non-Employee Director or Consultant of the Company or any Affiliate (e.g.,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Relationship shall be deemed to continue without interruption in the event an individual’s status changes from full-time employee to part-time employee or Consultant).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having a value equal to the excess of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Stock on the date of exercise over the exercise price of the Stock Appreciation Right multiplied by the number of shares of Stock with respect to which the Stock Appreciation Right shall have been exercised.</w:t>
      </w:r>
    </w:p>
    <w:p>
      <w:pPr>
        <w:spacing w:after="0" w:line="173"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rFonts w:ascii="Times New Roman" w:cs="Times New Roman" w:eastAsia="Times New Roman" w:hAnsi="Times New Roman"/>
          <w:sz w:val="18"/>
          <w:szCs w:val="18"/>
          <w:color w:val="auto"/>
        </w:rPr>
      </w:pPr>
    </w:p>
    <w:p>
      <w:pPr>
        <w:ind w:right="680" w:firstLine="656"/>
        <w:spacing w:after="0" w:line="282"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 provided, such individuals are Eligible Employees;</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6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Stock Options, Stock Appreciation Rights, Restricted Stock Awards, Restricted Stock Units, Unrestricted Stock Awards and Dividend Equivalent Rights, or any combination of the foregoing, granted to any one or more grantees;</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25" w:lineRule="exact"/>
        <w:rPr>
          <w:rFonts w:ascii="Times New Roman" w:cs="Times New Roman" w:eastAsia="Times New Roman" w:hAnsi="Times New Roman"/>
          <w:sz w:val="18"/>
          <w:szCs w:val="18"/>
          <w:color w:val="auto"/>
        </w:rPr>
      </w:pPr>
    </w:p>
    <w:p>
      <w:pPr>
        <w:ind w:right="300" w:firstLine="1304"/>
        <w:spacing w:after="0" w:line="282" w:lineRule="auto"/>
        <w:tabs>
          <w:tab w:leader="none" w:pos="164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61"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15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225" w:lineRule="exact"/>
        <w:rPr>
          <w:rFonts w:ascii="Times New Roman" w:cs="Times New Roman" w:eastAsia="Times New Roman" w:hAnsi="Times New Roman"/>
          <w:sz w:val="18"/>
          <w:szCs w:val="18"/>
          <w:color w:val="auto"/>
        </w:rPr>
      </w:pPr>
    </w:p>
    <w:p>
      <w:pPr>
        <w:ind w:right="100" w:firstLine="1304"/>
        <w:spacing w:after="0" w:line="261" w:lineRule="auto"/>
        <w:tabs>
          <w:tab w:leader="none" w:pos="16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7" w:name="page8"/>
    <w:bookmarkEnd w:id="7"/>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of the grantee terminates.</w:t>
      </w:r>
    </w:p>
    <w:p>
      <w:pPr>
        <w:spacing w:after="0" w:line="175" w:lineRule="exact"/>
        <w:rPr>
          <w:rFonts w:ascii="Times New Roman" w:cs="Times New Roman" w:eastAsia="Times New Roman" w:hAnsi="Times New Roman"/>
          <w:sz w:val="18"/>
          <w:szCs w:val="18"/>
          <w:color w:val="auto"/>
        </w:rPr>
      </w:pPr>
    </w:p>
    <w:p>
      <w:pPr>
        <w:ind w:firstLine="656"/>
        <w:spacing w:after="0" w:line="256" w:lineRule="auto"/>
        <w:tabs>
          <w:tab w:leader="none" w:pos="8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87" w:lineRule="exact"/>
        <w:rPr>
          <w:rFonts w:ascii="Times New Roman" w:cs="Times New Roman" w:eastAsia="Times New Roman" w:hAnsi="Times New Roman"/>
          <w:sz w:val="18"/>
          <w:szCs w:val="18"/>
          <w:color w:val="auto"/>
        </w:rPr>
      </w:pPr>
    </w:p>
    <w:p>
      <w:pPr>
        <w:ind w:firstLine="656"/>
        <w:spacing w:after="0" w:line="253" w:lineRule="auto"/>
        <w:tabs>
          <w:tab w:leader="none" w:pos="8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eligible for Awards, the Administrator, in its sole discretion, shall have the power and authority to: (i) determine which Subsidiaries shall be covered by the Plan; (ii) determine which Eligible Employees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and subject to Nasdaq Listing Rule 5635(c)(4) and related guidelines and interpretations; provided, however, that no such subplans and/or modifications shall increase the share limitation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or NASDAQ Listing Rule 5635(c).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25" w:lineRule="exact"/>
        <w:rPr>
          <w:sz w:val="20"/>
          <w:szCs w:val="20"/>
          <w:color w:val="auto"/>
        </w:rPr>
      </w:pPr>
    </w:p>
    <w:p>
      <w:pPr>
        <w:ind w:right="40" w:firstLine="656"/>
        <w:spacing w:after="0" w:line="254" w:lineRule="auto"/>
        <w:tabs>
          <w:tab w:leader="none" w:pos="8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2,500,000 shares, subject to adjustment as provided in Section 3(c).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or settlement)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shares of Stock may be issued up to such maximum number pursuant to any type or types of Award; provided, however, that Stock Options or Stock Appreciation Rights with respect to no more than shares of Stock may be granted to any one individual grantee during any one calendar year period. The shares available for issuance under the Plan may be authorized but unissued shares of Stock or shares of Stock reacquired by the Company.</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656" w:right="20" w:firstLine="656"/>
        <w:spacing w:after="0" w:line="268" w:lineRule="auto"/>
        <w:tabs>
          <w:tab w:leader="none" w:pos="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83" w:lineRule="exact"/>
        <w:rPr>
          <w:rFonts w:ascii="Times New Roman" w:cs="Times New Roman" w:eastAsia="Times New Roman" w:hAnsi="Times New Roman"/>
          <w:sz w:val="17"/>
          <w:szCs w:val="17"/>
          <w:color w:val="auto"/>
        </w:rPr>
      </w:pPr>
    </w:p>
    <w:p>
      <w:pPr>
        <w:ind w:left="-656" w:firstLine="656"/>
        <w:spacing w:after="0" w:line="252"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 in exchange for cancellation thereof an amount equal to the Sale Price multiplied by the number of shares subject to such Awards, to be paid at the time of the Sale Event or upon the later vesting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Grantees under the Plan will be such Eligible Employees to whom the Company may issue securities without stockholder approval in accordance with Rules 5635(c)(4) of the Marketplace Rules of The Nasdaq Stock Market LLC as are selected from time to time by the Administrator in its sole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62" w:lineRule="exact"/>
        <w:rPr>
          <w:sz w:val="20"/>
          <w:szCs w:val="20"/>
          <w:color w:val="auto"/>
        </w:rPr>
      </w:pPr>
    </w:p>
    <w:p>
      <w:pPr>
        <w:ind w:right="200" w:firstLine="656"/>
        <w:spacing w:after="0" w:line="282" w:lineRule="auto"/>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All Stock Options granted under the Plan shall be non-qualified stock options.</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w:t>
      </w:r>
    </w:p>
    <w:p>
      <w:pPr>
        <w:spacing w:after="0" w:line="161" w:lineRule="exact"/>
        <w:rPr>
          <w:rFonts w:ascii="Times New Roman" w:cs="Times New Roman" w:eastAsia="Times New Roman" w:hAnsi="Times New Roman"/>
          <w:sz w:val="18"/>
          <w:szCs w:val="18"/>
          <w:color w:val="auto"/>
        </w:rPr>
      </w:pPr>
    </w:p>
    <w:p>
      <w:pPr>
        <w:ind w:right="140" w:firstLine="656"/>
        <w:spacing w:after="0" w:line="261"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ind w:right="300" w:firstLine="656"/>
        <w:spacing w:after="0" w:line="266" w:lineRule="auto"/>
        <w:tabs>
          <w:tab w:leader="none" w:pos="8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to the extent provided in the Option Award Certificate: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5" w:lineRule="exact"/>
        <w:rPr>
          <w:rFonts w:ascii="Times New Roman" w:cs="Times New Roman" w:eastAsia="Times New Roman" w:hAnsi="Times New Roman"/>
          <w:sz w:val="18"/>
          <w:szCs w:val="18"/>
          <w:color w:val="auto"/>
        </w:rPr>
      </w:pPr>
    </w:p>
    <w:p>
      <w:pPr>
        <w:ind w:right="160" w:firstLine="1304"/>
        <w:spacing w:after="0" w:line="282" w:lineRule="auto"/>
        <w:tabs>
          <w:tab w:leader="none" w:pos="155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61" w:lineRule="exact"/>
        <w:rPr>
          <w:rFonts w:ascii="Times New Roman" w:cs="Times New Roman" w:eastAsia="Times New Roman" w:hAnsi="Times New Roman"/>
          <w:sz w:val="18"/>
          <w:szCs w:val="18"/>
          <w:color w:val="auto"/>
        </w:rPr>
      </w:pPr>
    </w:p>
    <w:p>
      <w:pPr>
        <w:ind w:right="160" w:firstLine="1304"/>
        <w:spacing w:after="0" w:line="261" w:lineRule="auto"/>
        <w:tabs>
          <w:tab w:leader="none" w:pos="16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arrangement pursuant to which the Company will reduce the number of shares of Stock issuable upon exercise by the largest whole number of shares with a Fair Market Value that does not exceed the 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or her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ind w:right="440" w:firstLine="656"/>
        <w:spacing w:after="0" w:line="282"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one hundred percent (100%) of the Fair Market Value of the Stock on the date of grant.</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ind w:right="520" w:firstLine="656"/>
        <w:spacing w:after="0" w:line="282" w:lineRule="auto"/>
        <w:tabs>
          <w:tab w:leader="none" w:pos="8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from time to time by the Administrator. The term of a Stock Appreciation Right may not exceed ten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ind w:right="60" w:firstLine="656"/>
        <w:spacing w:after="0" w:line="258"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Stock (the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83" w:lineRule="exact"/>
        <w:rPr>
          <w:rFonts w:ascii="Times New Roman" w:cs="Times New Roman" w:eastAsia="Times New Roman" w:hAnsi="Times New Roman"/>
          <w:sz w:val="18"/>
          <w:szCs w:val="18"/>
          <w:color w:val="auto"/>
        </w:rPr>
      </w:pPr>
    </w:p>
    <w:p>
      <w:pPr>
        <w:ind w:right="60" w:firstLine="656"/>
        <w:spacing w:after="0" w:line="254"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right="100" w:firstLine="656"/>
        <w:spacing w:after="0" w:line="254"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right="20" w:firstLine="656"/>
        <w:spacing w:after="0" w:line="254" w:lineRule="auto"/>
        <w:tabs>
          <w:tab w:leader="none" w:pos="8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13 and such terms and conditions as the Administrator may determine.</w:t>
      </w:r>
    </w:p>
    <w:p>
      <w:pPr>
        <w:spacing w:after="0" w:line="175" w:lineRule="exact"/>
        <w:rPr>
          <w:rFonts w:ascii="Times New Roman" w:cs="Times New Roman" w:eastAsia="Times New Roman" w:hAnsi="Times New Roman"/>
          <w:sz w:val="18"/>
          <w:szCs w:val="18"/>
          <w:color w:val="auto"/>
        </w:rPr>
      </w:pPr>
    </w:p>
    <w:p>
      <w:pPr>
        <w:ind w:right="340" w:firstLine="701"/>
        <w:spacing w:after="0" w:line="266" w:lineRule="auto"/>
        <w:tabs>
          <w:tab w:leader="none" w:pos="94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in its sole discretion, grant (or sell at par value or such higher purchase price determined by the Administrator) an Unrestricted Stock Award under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DIVIDEND EQUIVALENT RIGHTS</w:t>
      </w:r>
    </w:p>
    <w:p>
      <w:pPr>
        <w:spacing w:after="0" w:line="225" w:lineRule="exact"/>
        <w:rPr>
          <w:sz w:val="20"/>
          <w:szCs w:val="20"/>
          <w:color w:val="auto"/>
        </w:rPr>
      </w:pPr>
    </w:p>
    <w:p>
      <w:pPr>
        <w:ind w:right="60" w:firstLine="656"/>
        <w:spacing w:after="0" w:line="254" w:lineRule="auto"/>
        <w:tabs>
          <w:tab w:leader="none" w:pos="8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A Dividend Equivalent Right may be granted hereunder to any grantee as a component of an award of Restricted Stock Units, Restricted Stock Award or as a freestanding award under the Plan.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8" w:lineRule="exact"/>
        <w:rPr>
          <w:rFonts w:ascii="Times New Roman" w:cs="Times New Roman" w:eastAsia="Times New Roman" w:hAnsi="Times New Roman"/>
          <w:sz w:val="18"/>
          <w:szCs w:val="18"/>
          <w:color w:val="auto"/>
        </w:rPr>
      </w:pPr>
    </w:p>
    <w:p>
      <w:pPr>
        <w:ind w:right="400" w:firstLine="656"/>
        <w:spacing w:after="0" w:line="266"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ind w:firstLine="656"/>
        <w:spacing w:after="0" w:line="258" w:lineRule="auto"/>
        <w:tabs>
          <w:tab w:leader="none" w:pos="8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18"/>
          <w:szCs w:val="18"/>
          <w:color w:val="auto"/>
        </w:rPr>
      </w:pPr>
    </w:p>
    <w:p>
      <w:pPr>
        <w:ind w:right="60" w:firstLine="656"/>
        <w:spacing w:after="0" w:line="258"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14(a), the Administrator, in its discretion, may provide either in the Award Certificate regarding a given Award or by subsequent written approval that the grantee (who is an employee) may transfer his or her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jc w:val="both"/>
        <w:ind w:right="400" w:firstLine="656"/>
        <w:spacing w:after="0" w:line="258" w:lineRule="auto"/>
        <w:tabs>
          <w:tab w:leader="none" w:pos="8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183" w:lineRule="exact"/>
        <w:rPr>
          <w:rFonts w:ascii="Times New Roman" w:cs="Times New Roman" w:eastAsia="Times New Roman" w:hAnsi="Times New Roman"/>
          <w:sz w:val="18"/>
          <w:szCs w:val="18"/>
          <w:color w:val="auto"/>
        </w:rPr>
      </w:pPr>
    </w:p>
    <w:p>
      <w:pPr>
        <w:ind w:right="20" w:firstLine="656"/>
        <w:spacing w:after="0" w:line="261"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ind w:firstLine="656"/>
        <w:spacing w:after="0" w:line="256" w:lineRule="auto"/>
        <w:tabs>
          <w:tab w:leader="none" w:pos="8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7"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TRANSFER, LEAVE OF ABSENCE, ETC.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Plan, the following events shall not be deemed a termination of employment:</w:t>
      </w:r>
    </w:p>
    <w:p>
      <w:pPr>
        <w:spacing w:after="0" w:line="225"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 Subsidiary or from the Company to a Subsidiary, or from one Subsidiary to another; or</w:t>
      </w:r>
    </w:p>
    <w:p>
      <w:pPr>
        <w:spacing w:after="0" w:line="225" w:lineRule="exact"/>
        <w:rPr>
          <w:rFonts w:ascii="Times New Roman" w:cs="Times New Roman" w:eastAsia="Times New Roman" w:hAnsi="Times New Roman"/>
          <w:sz w:val="18"/>
          <w:szCs w:val="18"/>
          <w:color w:val="auto"/>
        </w:rPr>
      </w:pPr>
    </w:p>
    <w:p>
      <w:pPr>
        <w:ind w:right="40" w:firstLine="656"/>
        <w:spacing w:after="0" w:line="266"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Nothing in this Section 18 shall limit the Administrator’s authority to take any action permitted pursuant to Section 3(c) or 3(d).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settled or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right="20" w:firstLine="656"/>
        <w:spacing w:after="0" w:line="282" w:lineRule="auto"/>
        <w:tabs>
          <w:tab w:leader="none" w:pos="8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1" w:lineRule="exact"/>
        <w:rPr>
          <w:rFonts w:ascii="Times New Roman" w:cs="Times New Roman" w:eastAsia="Times New Roman" w:hAnsi="Times New Roman"/>
          <w:sz w:val="18"/>
          <w:szCs w:val="18"/>
          <w:color w:val="auto"/>
        </w:rPr>
      </w:pPr>
    </w:p>
    <w:p>
      <w:pPr>
        <w:ind w:right="20" w:firstLine="656"/>
        <w:spacing w:after="0" w:line="252"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56"/>
        <w:spacing w:after="0" w:line="266"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5" w:lineRule="exact"/>
        <w:rPr>
          <w:rFonts w:ascii="Times New Roman" w:cs="Times New Roman" w:eastAsia="Times New Roman" w:hAnsi="Times New Roman"/>
          <w:sz w:val="18"/>
          <w:szCs w:val="18"/>
          <w:color w:val="auto"/>
        </w:rPr>
      </w:pPr>
    </w:p>
    <w:p>
      <w:pPr>
        <w:ind w:firstLine="656"/>
        <w:spacing w:after="0" w:line="266"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Plan shall become effective immediately upon approval by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June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lowerLetter"/>
      <w:start w:val="1"/>
    </w:lvl>
    <w:lvl w:ilvl="1">
      <w:lvlJc w:val="left"/>
      <w:lvlText w:val="(%2)"/>
      <w:numFmt w:val="lowerRoman"/>
      <w:start w:val="1"/>
    </w:lvl>
  </w:abstractNum>
  <w:abstractNum w:abstractNumId="7">
    <w:nsid w:val="1BEFD79F"/>
    <w:multiLevelType w:val="hybridMultilevel"/>
    <w:lvl w:ilvl="0">
      <w:lvlJc w:val="left"/>
      <w:lvlText w:val="(%1)"/>
      <w:numFmt w:val="lowerLetter"/>
      <w:start w:val="3"/>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3"/>
    </w:lvl>
  </w:abstractNum>
  <w:abstractNum w:abstractNumId="10">
    <w:nsid w:val="4E6AFB66"/>
    <w:multiLevelType w:val="hybridMultilevel"/>
    <w:lvl w:ilvl="0">
      <w:lvlJc w:val="left"/>
      <w:lvlText w:val="(%1)"/>
      <w:numFmt w:val="lowerLetter"/>
      <w:start w:val="1"/>
    </w:lvl>
    <w:lvl w:ilvl="1">
      <w:lvlJc w:val="left"/>
      <w:lvlText w:val="(%2)"/>
      <w:numFmt w:val="lowerRoman"/>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3"/>
    </w:lvl>
  </w:abstractNum>
  <w:abstractNum w:abstractNumId="14">
    <w:nsid w:val="3F2DBA31"/>
    <w:multiLevelType w:val="hybridMultilevel"/>
    <w:lvl w:ilvl="0">
      <w:lvlJc w:val="left"/>
      <w:lvlText w:val="(%1)"/>
      <w:numFmt w:val="lowerLetter"/>
      <w:start w:val="1"/>
    </w:lvl>
    <w:lvl w:ilvl="1">
      <w:lvlJc w:val="left"/>
      <w:lvlText w:val="(%2)"/>
      <w:numFmt w:val="lowerLetter"/>
      <w:start w:val="4"/>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2022-06-27T18:48:02Z</dcterms:created>
  <dcterms:modified xsi:type="dcterms:W3CDTF">2022-06-27T18:48:02Z</dcterms:modified>
</cp:coreProperties>
</file>