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068"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40" w:type="dxa"/>
            <w:vAlign w:val="bottom"/>
            <w:vMerge w:val="restart"/>
          </w:tcPr>
          <w:p>
            <w:pPr>
              <w:ind w:left="20"/>
              <w:spacing w:after="0"/>
              <w:rPr>
                <w:rFonts w:ascii="Arial" w:cs="Arial" w:eastAsia="Arial" w:hAnsi="Arial"/>
                <w:sz w:val="21"/>
                <w:szCs w:val="21"/>
                <w:u w:val="single" w:color="auto"/>
                <w:color w:val="0000EE"/>
                <w:w w:val="91"/>
              </w:rPr>
            </w:pPr>
            <w:hyperlink r:id="rId13">
              <w:r>
                <w:rPr>
                  <w:rFonts w:ascii="Arial" w:cs="Arial" w:eastAsia="Arial" w:hAnsi="Arial"/>
                  <w:sz w:val="21"/>
                  <w:szCs w:val="21"/>
                  <w:u w:val="single" w:color="auto"/>
                  <w:color w:val="0000EE"/>
                  <w:w w:val="91"/>
                </w:rPr>
                <w:t>Haviland Kate</w:t>
              </w:r>
            </w:hyperlink>
          </w:p>
        </w:tc>
        <w:tc>
          <w:tcPr>
            <w:tcW w:w="7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03/15/2021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77"/>
        <w:spacing w:after="0"/>
        <w:rPr>
          <w:sz w:val="20"/>
          <w:szCs w:val="20"/>
          <w:color w:val="auto"/>
        </w:rPr>
      </w:pPr>
      <w:r>
        <w:rPr>
          <w:rFonts w:ascii="Arial" w:cs="Arial" w:eastAsia="Arial" w:hAnsi="Arial"/>
          <w:sz w:val="17"/>
          <w:szCs w:val="17"/>
          <w:color w:val="0000FF"/>
        </w:rPr>
        <w:t>Chief Operating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068"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1"/>
          </w:tcPr>
          <w:p>
            <w:pPr>
              <w:ind w:left="3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80" w:type="dxa"/>
            <w:vAlign w:val="bottom"/>
            <w:gridSpan w:val="11"/>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5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03/15/2021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9"/>
              </w:rPr>
              <w:t>1,000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36.05</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54,948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03/15/2021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rPr>
              <w:t>6</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108.16</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54,942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03/15/2021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1"/>
              </w:rPr>
              <w:t>138</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107.42</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54,804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03/15/2021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1"/>
              </w:rPr>
              <w:t>108</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106.62</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54,696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03/15/2021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1"/>
              </w:rPr>
              <w:t>426</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105.44</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54,270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03/15/2021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1"/>
              </w:rPr>
              <w:t>322</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104.65</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53,948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36.05</w:t>
            </w:r>
          </w:p>
        </w:tc>
        <w:tc>
          <w:tcPr>
            <w:tcW w:w="1040" w:type="dxa"/>
            <w:vAlign w:val="bottom"/>
          </w:tcPr>
          <w:p>
            <w:pPr>
              <w:jc w:val="right"/>
              <w:ind w:right="132"/>
              <w:spacing w:after="0"/>
              <w:rPr>
                <w:sz w:val="20"/>
                <w:szCs w:val="20"/>
                <w:color w:val="auto"/>
              </w:rPr>
            </w:pPr>
            <w:r>
              <w:rPr>
                <w:rFonts w:ascii="Arial" w:cs="Arial" w:eastAsia="Arial" w:hAnsi="Arial"/>
                <w:sz w:val="13"/>
                <w:szCs w:val="13"/>
                <w:color w:val="0000FF"/>
              </w:rPr>
              <w:t>03/15/2021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1,000</w:t>
            </w:r>
          </w:p>
        </w:tc>
        <w:tc>
          <w:tcPr>
            <w:tcW w:w="760" w:type="dxa"/>
            <w:vAlign w:val="bottom"/>
          </w:tcPr>
          <w:p>
            <w:pPr>
              <w:ind w:left="280"/>
              <w:spacing w:after="0"/>
              <w:rPr>
                <w:sz w:val="20"/>
                <w:szCs w:val="20"/>
                <w:color w:val="auto"/>
              </w:rPr>
            </w:pPr>
            <w:r>
              <w:rPr>
                <w:rFonts w:ascii="Arial" w:cs="Arial" w:eastAsia="Arial" w:hAnsi="Arial"/>
                <w:sz w:val="11"/>
                <w:szCs w:val="11"/>
                <w:color w:val="008000"/>
              </w:rPr>
              <w:t>(7)</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02/16/2027</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60" w:type="dxa"/>
            <w:vAlign w:val="bottom"/>
          </w:tcPr>
          <w:p>
            <w:pPr>
              <w:ind w:left="60"/>
              <w:spacing w:after="0" w:line="191" w:lineRule="exact"/>
              <w:rPr>
                <w:sz w:val="20"/>
                <w:szCs w:val="20"/>
                <w:color w:val="auto"/>
              </w:rPr>
            </w:pPr>
            <w:r>
              <w:rPr>
                <w:rFonts w:ascii="Arial" w:cs="Arial" w:eastAsia="Arial" w:hAnsi="Arial"/>
                <w:sz w:val="17"/>
                <w:szCs w:val="17"/>
                <w:color w:val="0000FF"/>
              </w:rPr>
              <w:t>1,000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3,591</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-4221480</wp:posOffset>
            </wp:positionV>
            <wp:extent cx="7033260" cy="4361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3618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January 12, 2021 pursuant to Rule 10b5-1 under the Securities Exchange Act of 1934, as amended.</w:t>
      </w:r>
    </w:p>
    <w:p>
      <w:pPr>
        <w:spacing w:after="0" w:line="45"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$108.11 to $108.22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(6) in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$107.07 to $107.93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$106.06 to $106.97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$105.04 to $106.00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$104.04 to $105.03 per share.</w:t>
      </w:r>
    </w:p>
    <w:p>
      <w:pPr>
        <w:spacing w:after="0" w:line="45" w:lineRule="exact"/>
        <w:rPr>
          <w:rFonts w:ascii="Arial" w:cs="Arial" w:eastAsia="Arial" w:hAnsi="Arial"/>
          <w:sz w:val="13"/>
          <w:szCs w:val="13"/>
          <w:color w:val="008000"/>
        </w:rPr>
      </w:pPr>
    </w:p>
    <w:p>
      <w:pPr>
        <w:ind w:left="40" w:right="4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16, 2017. This option vested with respect to 1/48th of the shares underlying the option on March 16, 2017 and as to an additional 1/48th of the shares underlying the option each month thereafter.</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Christopher Frankenfield,</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03/17/2021</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0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2021-03-17T16:49:38Z</dcterms:created>
  <dcterms:modified xsi:type="dcterms:W3CDTF">2021-03-17T16:49:38Z</dcterms:modified>
</cp:coreProperties>
</file>