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8621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86219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Kuvalanka Kyle D.</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15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04/30/2015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Blueprint Medicines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BPMC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BLUEPRINT MEDICINES</w:t>
      </w:r>
    </w:p>
    <w:p>
      <w:pPr>
        <w:spacing w:after="0" w:line="15"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CORPORATION,</w:t>
      </w:r>
    </w:p>
    <w:p>
      <w:pPr>
        <w:spacing w:after="0" w:line="57"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215 FIRST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02142</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6"/>
        <w:spacing w:after="0"/>
        <w:rPr>
          <w:sz w:val="20"/>
          <w:szCs w:val="20"/>
          <w:color w:val="auto"/>
        </w:rPr>
      </w:pPr>
      <w:r>
        <w:rPr>
          <w:rFonts w:ascii="Arial" w:cs="Arial" w:eastAsia="Arial" w:hAnsi="Arial"/>
          <w:sz w:val="18"/>
          <w:szCs w:val="18"/>
          <w:color w:val="0000FF"/>
        </w:rPr>
        <w:t>Chief Business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40"/>
              <w:spacing w:after="0"/>
              <w:rPr>
                <w:sz w:val="20"/>
                <w:szCs w:val="20"/>
                <w:color w:val="auto"/>
              </w:rPr>
            </w:pPr>
            <w:r>
              <w:rPr>
                <w:rFonts w:ascii="Arial" w:cs="Arial" w:eastAsia="Arial" w:hAnsi="Arial"/>
                <w:sz w:val="18"/>
                <w:szCs w:val="18"/>
                <w:color w:val="0000FF"/>
              </w:rPr>
              <w:t>33,670</w:t>
            </w:r>
          </w:p>
        </w:tc>
        <w:tc>
          <w:tcPr>
            <w:tcW w:w="920" w:type="dxa"/>
            <w:vAlign w:val="bottom"/>
          </w:tcPr>
          <w:p>
            <w:pPr>
              <w:ind w:left="6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48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7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09/17/2023</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6"/>
              </w:rPr>
              <w:t>102,693</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1.48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08/14/2024</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7"/>
              </w:rPr>
              <w:t>14,545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1.87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4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02/10/2025</w:t>
            </w:r>
          </w:p>
        </w:tc>
        <w:tc>
          <w:tcPr>
            <w:tcW w:w="1860" w:type="dxa"/>
            <w:vAlign w:val="bottom"/>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Pr>
          <w:p>
            <w:pPr>
              <w:jc w:val="center"/>
              <w:ind w:left="123"/>
              <w:spacing w:after="0"/>
              <w:rPr>
                <w:sz w:val="20"/>
                <w:szCs w:val="20"/>
                <w:color w:val="auto"/>
              </w:rPr>
            </w:pPr>
            <w:r>
              <w:rPr>
                <w:rFonts w:ascii="Arial" w:cs="Arial" w:eastAsia="Arial" w:hAnsi="Arial"/>
                <w:sz w:val="18"/>
                <w:szCs w:val="18"/>
                <w:color w:val="0000FF"/>
                <w:w w:val="87"/>
              </w:rPr>
              <w:t>36,363</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8.8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over a four-year period, at a rate of twenty-five percent (25%) on September 16, 2014 and in 36 equal monthly installments thereafter.</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in 48 equal monthly installments beginning on August 18, 2014.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option vests in 48 equal monthly installments beginning on February 10, 2015.</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Christine Bellon, Attorney-</w:t>
            </w:r>
          </w:p>
        </w:tc>
        <w:tc>
          <w:tcPr>
            <w:tcW w:w="8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04/30/2015</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POWER OF ATTORNEY</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undersigned hereby constitutes and appoints Christine Bellon individually, and with full power of substitution, the undersigned’s true and lawful attorney-in-fact to:</w:t>
      </w:r>
    </w:p>
    <w:p>
      <w:pPr>
        <w:spacing w:after="0" w:line="170" w:lineRule="exact"/>
        <w:rPr>
          <w:sz w:val="20"/>
          <w:szCs w:val="20"/>
          <w:color w:val="auto"/>
        </w:rPr>
      </w:pPr>
    </w:p>
    <w:p>
      <w:pPr>
        <w:ind w:right="100" w:firstLine="656"/>
        <w:spacing w:after="0" w:line="302" w:lineRule="auto"/>
        <w:tabs>
          <w:tab w:leader="none" w:pos="1353" w:val="left"/>
        </w:tabs>
        <w:numPr>
          <w:ilvl w:val="0"/>
          <w:numId w:val="6"/>
        </w:numPr>
        <w:rPr>
          <w:rFonts w:ascii="Arial" w:cs="Arial" w:eastAsia="Arial" w:hAnsi="Arial"/>
          <w:sz w:val="16"/>
          <w:szCs w:val="16"/>
          <w:color w:val="auto"/>
        </w:rPr>
      </w:pPr>
      <w:r>
        <w:rPr>
          <w:rFonts w:ascii="Arial" w:cs="Arial" w:eastAsia="Arial" w:hAnsi="Arial"/>
          <w:sz w:val="16"/>
          <w:szCs w:val="16"/>
          <w:color w:val="auto"/>
        </w:rPr>
        <w:t>Complete and execute for and on behalf of the undersigned, in the undersigned’s capacity as an officer, director and/or ten percent (10%) shareholder of Blueprint Medicines Corporation, a Delaware corporation (the “Company”) any and all instruments, certificates and documents required to be executed on behalf of the undersigned as an individual or on behalf of the undersigned’s company or partnership, as the case may be, pursuant to Section 13 and Section 16 of the Securities Exchange Act of 1934, as amended (the “Exchange Act”) or the rules and regulations thereunder;</w:t>
      </w:r>
    </w:p>
    <w:p>
      <w:pPr>
        <w:spacing w:after="0" w:line="154" w:lineRule="exact"/>
        <w:rPr>
          <w:rFonts w:ascii="Arial" w:cs="Arial" w:eastAsia="Arial" w:hAnsi="Arial"/>
          <w:sz w:val="16"/>
          <w:szCs w:val="16"/>
          <w:color w:val="auto"/>
        </w:rPr>
      </w:pPr>
    </w:p>
    <w:p>
      <w:pPr>
        <w:ind w:right="80" w:firstLine="656"/>
        <w:spacing w:after="0" w:line="286" w:lineRule="auto"/>
        <w:tabs>
          <w:tab w:leader="none" w:pos="1353" w:val="left"/>
        </w:tabs>
        <w:numPr>
          <w:ilvl w:val="0"/>
          <w:numId w:val="6"/>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 any such instruments, certificates or documents required to be filed pursuant to Sections 13 and 16 of the Exchange Act or the rules or regulations thereunder and timely file such forms with the United States Securities and Exchange Commission and any stock exchange or similar authority; and</w:t>
      </w:r>
    </w:p>
    <w:p>
      <w:pPr>
        <w:spacing w:after="0" w:line="165" w:lineRule="exact"/>
        <w:rPr>
          <w:rFonts w:ascii="Arial" w:cs="Arial" w:eastAsia="Arial" w:hAnsi="Arial"/>
          <w:sz w:val="17"/>
          <w:szCs w:val="17"/>
          <w:color w:val="auto"/>
        </w:rPr>
      </w:pPr>
    </w:p>
    <w:p>
      <w:pPr>
        <w:ind w:right="200" w:firstLine="656"/>
        <w:spacing w:after="0" w:line="259" w:lineRule="auto"/>
        <w:tabs>
          <w:tab w:leader="none" w:pos="1353"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any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undersigned hereby grants to each such attorney-in-fact, acting singly, full power and authority to do and perform any and every act which is necessary, proper or desirable to be done in the exercise of any of the rights and powers herein granted, as fully to all intents and purposes as the undersigned might or could do if personally present, with full power of substitution or revocation, hereby ratifying and confirming all that any such attorney-in-fact, or any such attorney-in-fact’s substitute or substitutes, shall lawfully do or cause to be done by virtue of this Power of Attorney and the rights and powers herein granted.</w:t>
      </w:r>
    </w:p>
    <w:p>
      <w:pPr>
        <w:spacing w:after="0" w:line="188"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undersigned acknowledges that each of the foregoing attorneys-in-fact, in serving in such capacity at the request of the undersigned, are not assuming, nor is the Company assuming, any of the undersigned’s responsibilities to comply with Section 13 or Section 16 of the Exchange Act or the rules or regulations thereunder. The undersigned hereby agrees to indemnify each attorney-in-fact and the Company from and against any demand, damage, loss, cost or expense arising from any false or misleading information provided by the undersigned to such attorney-in fact.</w:t>
      </w:r>
    </w:p>
    <w:p>
      <w:pPr>
        <w:spacing w:after="0" w:line="17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This Power of Attorney shall remain in full force and effect until the undersigned is no longer required to file any instruments, certificates and documents pursuant to Section 13 and 16 of the Exchange Act or the rules or regulations thereunder with respect to the undersigned’s holdings of and transactions in securities issued by the Company, unless earlier revoked by the undersigned in a signed writing delivered to the foregoing attorneys-in-fact.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as of April 28, 2015.</w:t>
      </w:r>
    </w:p>
    <w:p>
      <w:pPr>
        <w:spacing w:after="0" w:line="225" w:lineRule="exact"/>
        <w:rPr>
          <w:sz w:val="20"/>
          <w:szCs w:val="20"/>
          <w:color w:val="auto"/>
        </w:rPr>
      </w:pPr>
    </w:p>
    <w:p>
      <w:pPr>
        <w:ind w:left="5720"/>
        <w:spacing w:after="0"/>
        <w:tabs>
          <w:tab w:leader="none" w:pos="6160" w:val="left"/>
        </w:tabs>
        <w:rPr>
          <w:sz w:val="20"/>
          <w:szCs w:val="20"/>
          <w:color w:val="auto"/>
        </w:rPr>
      </w:pPr>
      <w:r>
        <w:rPr>
          <w:rFonts w:ascii="Arial" w:cs="Arial" w:eastAsia="Arial" w:hAnsi="Arial"/>
          <w:sz w:val="18"/>
          <w:szCs w:val="18"/>
          <w:color w:val="auto"/>
        </w:rPr>
        <w:t>By:</w:t>
        <w:tab/>
        <w:t>/s/ Kyle Kuvalanka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Kyle Kuvalanka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33274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638904" TargetMode="External"/><Relationship Id="rId12"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2019-12-09T02:36:15Z</dcterms:created>
  <dcterms:modified xsi:type="dcterms:W3CDTF">2019-12-09T02:36:15Z</dcterms:modified>
</cp:coreProperties>
</file>