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Borisy Alexis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6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02/07/2017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02/07/2017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60" w:type="dxa"/>
            <w:vAlign w:val="bottom"/>
          </w:tcPr>
          <w:p>
            <w:pPr>
              <w:spacing w:after="0"/>
              <w:rPr>
                <w:sz w:val="22"/>
                <w:szCs w:val="22"/>
                <w:color w:val="auto"/>
              </w:rPr>
            </w:pPr>
          </w:p>
        </w:tc>
        <w:tc>
          <w:tcPr>
            <w:tcW w:w="800" w:type="dxa"/>
            <w:vAlign w:val="bottom"/>
            <w:vMerge w:val="restart"/>
          </w:tcPr>
          <w:p>
            <w:pPr>
              <w:jc w:val="center"/>
              <w:ind w:right="460"/>
              <w:spacing w:after="0"/>
              <w:rPr>
                <w:sz w:val="20"/>
                <w:szCs w:val="20"/>
                <w:color w:val="auto"/>
              </w:rPr>
            </w:pPr>
            <w:r>
              <w:rPr>
                <w:rFonts w:ascii="Arial" w:cs="Arial" w:eastAsia="Arial" w:hAnsi="Arial"/>
                <w:sz w:val="35"/>
                <w:szCs w:val="35"/>
                <w:color w:val="0000FF"/>
                <w:w w:val="90"/>
                <w:vertAlign w:val="subscript"/>
              </w:rPr>
              <w:t>0</w:t>
            </w:r>
            <w:r>
              <w:rPr>
                <w:rFonts w:ascii="Arial" w:cs="Arial" w:eastAsia="Arial" w:hAnsi="Arial"/>
                <w:sz w:val="11"/>
                <w:szCs w:val="11"/>
                <w:color w:val="008000"/>
                <w:w w:val="90"/>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420" w:type="dxa"/>
            <w:vAlign w:val="bottom"/>
            <w:tcBorders>
              <w:top w:val="single" w:sz="8" w:color="2C2C2C"/>
            </w:tcBorders>
            <w:gridSpan w:val="3"/>
          </w:tcPr>
          <w:p>
            <w:pPr>
              <w:jc w:val="right"/>
              <w:ind w:right="360"/>
              <w:spacing w:after="0"/>
              <w:rPr>
                <w:sz w:val="20"/>
                <w:szCs w:val="20"/>
                <w:color w:val="auto"/>
              </w:rPr>
            </w:pPr>
            <w:r>
              <w:rPr>
                <w:rFonts w:ascii="Arial" w:cs="Arial" w:eastAsia="Arial" w:hAnsi="Arial"/>
                <w:sz w:val="18"/>
                <w:szCs w:val="18"/>
                <w:color w:val="0000FF"/>
              </w:rPr>
              <w:t>40,842</w:t>
            </w:r>
          </w:p>
        </w:tc>
        <w:tc>
          <w:tcPr>
            <w:tcW w:w="94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7, 2017, Third Rock Ventures II, L.P. ("TRV II") sold 1,000,000 shares of Common Stock of the Issuer in multiple transactions at prices ranging from $35.25 to $35.45,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4,453,753 shares of Common Stock of the Issuer. The reporting person is a partner of Third Rock Ventures GP II, L.P., which is the general partner of the TRV II. The reporting person disclaims beneficial ownership over such shares, except to the extent of his pecuniary interest therein, if any, and this report shall not be deemed an admission that he is the beneficial owner of such shares.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Alexis Borisy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02/09/2017</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2019-12-23T15:49:36Z</dcterms:created>
  <dcterms:modified xsi:type="dcterms:W3CDTF">2019-12-23T15:49:36Z</dcterms:modified>
</cp:coreProperties>
</file>