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74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7400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3"/>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260" w:type="dxa"/>
            <w:vAlign w:val="bottom"/>
            <w:vMerge w:val="restart"/>
          </w:tcPr>
          <w:p>
            <w:pPr>
              <w:spacing w:after="0"/>
              <w:rPr>
                <w:rFonts w:ascii="Arial" w:cs="Arial" w:eastAsia="Arial" w:hAnsi="Arial"/>
                <w:sz w:val="21"/>
                <w:szCs w:val="21"/>
                <w:color w:val="0000EE"/>
                <w:w w:val="94"/>
              </w:rPr>
            </w:pPr>
            <w:hyperlink r:id="rId12">
              <w:r>
                <w:rPr>
                  <w:rFonts w:ascii="Arial" w:cs="Arial" w:eastAsia="Arial" w:hAnsi="Arial"/>
                  <w:sz w:val="21"/>
                  <w:szCs w:val="21"/>
                  <w:color w:val="0000EE"/>
                  <w:w w:val="94"/>
                </w:rPr>
                <w:t>Haviland Kate</w:t>
              </w:r>
            </w:hyperlink>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260" w:type="dxa"/>
            <w:vAlign w:val="bottom"/>
            <w:tcBorders>
              <w:bottom w:val="single" w:sz="8" w:color="0000EE"/>
            </w:tcBorders>
            <w:vMerge w:val="continue"/>
          </w:tcPr>
          <w:p>
            <w:pPr>
              <w:spacing w:after="0"/>
              <w:rPr>
                <w:sz w:val="5"/>
                <w:szCs w:val="5"/>
                <w:color w:val="auto"/>
              </w:rPr>
            </w:pPr>
          </w:p>
        </w:tc>
        <w:tc>
          <w:tcPr>
            <w:tcW w:w="1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4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3"/>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7"/>
                <w:szCs w:val="17"/>
                <w:color w:val="0000FF"/>
              </w:rPr>
              <w:t>03/14/2017</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8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38 SIDNEY STREET,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46"/>
        <w:spacing w:after="0"/>
        <w:rPr>
          <w:sz w:val="20"/>
          <w:szCs w:val="20"/>
          <w:color w:val="auto"/>
        </w:rPr>
      </w:pPr>
      <w:r>
        <w:rPr>
          <w:rFonts w:ascii="Arial" w:cs="Arial" w:eastAsia="Arial" w:hAnsi="Arial"/>
          <w:sz w:val="17"/>
          <w:szCs w:val="17"/>
          <w:color w:val="0000FF"/>
        </w:rPr>
        <w:t>Chief Business Officer</w:t>
      </w:r>
    </w:p>
    <w:p>
      <w:pPr>
        <w:spacing w:after="0" w:line="408"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7"/>
          </w:tcPr>
          <w:p>
            <w:pPr>
              <w:jc w:val="center"/>
              <w:ind w:right="35"/>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02139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3"/>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03/14/2017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6"/>
              </w:rPr>
              <w:t>12,714</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16.28</w:t>
            </w:r>
          </w:p>
        </w:tc>
        <w:tc>
          <w:tcPr>
            <w:tcW w:w="1340" w:type="dxa"/>
            <w:vAlign w:val="bottom"/>
            <w:tcBorders>
              <w:bottom w:val="single" w:sz="8" w:color="2C2C2C"/>
            </w:tcBorders>
            <w:gridSpan w:val="3"/>
          </w:tcPr>
          <w:p>
            <w:pPr>
              <w:jc w:val="right"/>
              <w:ind w:right="337"/>
              <w:spacing w:after="0"/>
              <w:rPr>
                <w:sz w:val="20"/>
                <w:szCs w:val="20"/>
                <w:color w:val="auto"/>
              </w:rPr>
            </w:pPr>
            <w:r>
              <w:rPr>
                <w:rFonts w:ascii="Arial" w:cs="Arial" w:eastAsia="Arial" w:hAnsi="Arial"/>
                <w:sz w:val="17"/>
                <w:szCs w:val="17"/>
                <w:color w:val="0000FF"/>
              </w:rPr>
              <w:t>12,714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03/14/2017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(2)</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6"/>
              </w:rPr>
              <w:t>12,714</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40.01</w:t>
            </w:r>
            <w:r>
              <w:rPr>
                <w:rFonts w:ascii="Arial" w:cs="Arial" w:eastAsia="Arial" w:hAnsi="Arial"/>
                <w:sz w:val="22"/>
                <w:szCs w:val="22"/>
                <w:color w:val="008000"/>
                <w:w w:val="91"/>
                <w:vertAlign w:val="superscript"/>
              </w:rPr>
              <w:t>(3)</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537"/>
              <w:spacing w:after="0"/>
              <w:rPr>
                <w:sz w:val="20"/>
                <w:szCs w:val="20"/>
                <w:color w:val="auto"/>
              </w:rPr>
            </w:pPr>
            <w:r>
              <w:rPr>
                <w:rFonts w:ascii="Arial" w:cs="Arial" w:eastAsia="Arial" w:hAnsi="Arial"/>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3"/>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16.28</w:t>
            </w:r>
          </w:p>
        </w:tc>
        <w:tc>
          <w:tcPr>
            <w:tcW w:w="1080" w:type="dxa"/>
            <w:vAlign w:val="bottom"/>
          </w:tcPr>
          <w:p>
            <w:pPr>
              <w:ind w:left="260"/>
              <w:spacing w:after="0"/>
              <w:rPr>
                <w:sz w:val="20"/>
                <w:szCs w:val="20"/>
                <w:color w:val="auto"/>
              </w:rPr>
            </w:pPr>
            <w:r>
              <w:rPr>
                <w:rFonts w:ascii="Arial" w:cs="Arial" w:eastAsia="Arial" w:hAnsi="Arial"/>
                <w:sz w:val="13"/>
                <w:szCs w:val="13"/>
                <w:color w:val="0000FF"/>
              </w:rPr>
              <w:t>03/14/2017</w:t>
            </w:r>
          </w:p>
        </w:tc>
        <w:tc>
          <w:tcPr>
            <w:tcW w:w="1180" w:type="dxa"/>
            <w:vAlign w:val="bottom"/>
          </w:tcPr>
          <w:p>
            <w:pPr>
              <w:spacing w:after="0"/>
              <w:rPr>
                <w:sz w:val="17"/>
                <w:szCs w:val="17"/>
                <w:color w:val="auto"/>
              </w:rPr>
            </w:pPr>
          </w:p>
        </w:tc>
        <w:tc>
          <w:tcPr>
            <w:tcW w:w="640" w:type="dxa"/>
            <w:vAlign w:val="bottom"/>
            <w:gridSpan w:val="2"/>
          </w:tcPr>
          <w:p>
            <w:pPr>
              <w:ind w:left="100"/>
              <w:spacing w:after="0" w:line="199"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0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12,714</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40" w:type="dxa"/>
            <w:vAlign w:val="bottom"/>
          </w:tcPr>
          <w:p>
            <w:pPr>
              <w:ind w:left="40"/>
              <w:spacing w:after="0"/>
              <w:rPr>
                <w:sz w:val="20"/>
                <w:szCs w:val="20"/>
                <w:color w:val="auto"/>
              </w:rPr>
            </w:pPr>
            <w:r>
              <w:rPr>
                <w:rFonts w:ascii="Arial" w:cs="Arial" w:eastAsia="Arial" w:hAnsi="Arial"/>
                <w:sz w:val="13"/>
                <w:szCs w:val="13"/>
                <w:color w:val="0000FF"/>
              </w:rPr>
              <w:t>02/01/2026</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12,714</w:t>
            </w:r>
          </w:p>
        </w:tc>
        <w:tc>
          <w:tcPr>
            <w:tcW w:w="60" w:type="dxa"/>
            <w:vAlign w:val="bottom"/>
          </w:tcPr>
          <w:p>
            <w:pPr>
              <w:spacing w:after="0"/>
              <w:rPr>
                <w:sz w:val="17"/>
                <w:szCs w:val="17"/>
                <w:color w:val="auto"/>
              </w:rPr>
            </w:pPr>
          </w:p>
        </w:tc>
        <w:tc>
          <w:tcPr>
            <w:tcW w:w="6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340"/>
              <w:spacing w:after="0"/>
              <w:rPr>
                <w:sz w:val="20"/>
                <w:szCs w:val="20"/>
                <w:color w:val="auto"/>
              </w:rPr>
            </w:pPr>
            <w:r>
              <w:rPr>
                <w:rFonts w:ascii="Arial" w:cs="Arial" w:eastAsia="Arial" w:hAnsi="Arial"/>
                <w:sz w:val="13"/>
                <w:szCs w:val="13"/>
                <w:color w:val="0000FF"/>
                <w:w w:val="90"/>
              </w:rPr>
              <w:t>87,286</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75"/>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exercise reported on this Form 4 was effected pursuant to a trading plan adopted pursuant to Rule 10b5-1 under the Securities Exchange Act of 1934, as amended (the "Exchange Act").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trading plan adopted pursuant to Rule 10b5-1 under the Exchange Act.</w:t>
      </w:r>
    </w:p>
    <w:p>
      <w:pPr>
        <w:spacing w:after="0" w:line="51" w:lineRule="exact"/>
        <w:rPr>
          <w:rFonts w:ascii="Arial" w:cs="Arial" w:eastAsia="Arial" w:hAnsi="Arial"/>
          <w:sz w:val="13"/>
          <w:szCs w:val="13"/>
          <w:color w:val="008000"/>
        </w:rPr>
      </w:pPr>
    </w:p>
    <w:p>
      <w:pPr>
        <w:ind w:left="40" w:right="18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These shares were sold in multiple transactions at prices ranging from $39.77 to $40.27 per share. The Reporting Person undertakes to provide to the Issuer, any security holder of the Issuer or the staff of the Securities and Exchange Commission, upon request, full information regarding the number of shares sold at each separate price within the range.</w:t>
      </w:r>
    </w:p>
    <w:p>
      <w:pPr>
        <w:ind w:left="40" w:right="3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1, 2016. This option vests with respect to 25% of the shares underlying the option on January 5, 2017 and as to an additional 1/48th of the shares underlying the option each month thereafter.</w:t>
      </w:r>
    </w:p>
    <w:p>
      <w:pPr>
        <w:spacing w:after="0" w:line="26"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03/16/2017</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2019-12-04T02:29:46Z</dcterms:created>
  <dcterms:modified xsi:type="dcterms:W3CDTF">2019-12-04T02:29:46Z</dcterms:modified>
</cp:coreProperties>
</file>