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Blueprint Medicines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09627Y109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M.H. Davidson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09627Y109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3059"/>
        <w:spacing w:after="0" w:line="312" w:lineRule="auto"/>
        <w:rPr>
          <w:sz w:val="20"/>
          <w:szCs w:val="20"/>
          <w:color w:val="auto"/>
        </w:rPr>
      </w:pPr>
      <w:r>
        <w:rPr>
          <w:rFonts w:ascii="Times New Roman" w:cs="Times New Roman" w:eastAsia="Times New Roman" w:hAnsi="Times New Roman"/>
          <w:sz w:val="21"/>
          <w:szCs w:val="21"/>
          <w:color w:val="auto"/>
        </w:rPr>
        <w:t>Davidson Kempner Arbitrage, Equities and Relative Value LP 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09627Y109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Davidson Kempner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09627Y109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Anthony A. Yoseloff</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00"/>
          </w:cols>
          <w:pgMar w:left="360" w:top="12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Blueprint Medicines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 Sidney Street, Cambridge, Massachusetts 02139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This Statement is filed by each of the entities and persons listed below, all of whom together are referred to herein as the "Reporting Persons": (i) M.H. Davidson &amp; Co., a New York limited partnership ("CO"). M.H. Davidson &amp; Co. GP, L.L.C., a Delaware limited liability company ("CO GP"), is the general partner of CO and Davidson Kempner Liquid GP Topco LLC, a Delaware limited liability company, is the managing member of CO GP. DKCM (as defined below) is responsible for the voting and investment decisions of CO; (ii) Davidson Kempner Arbitrage, Equities and Relative Value LP, a Cayman Islands exempted limited partnership ("DKAERV"). Davidson Kempner Multi-Strategy GP II LLC, a Delaware limited liability company ("DKAERV GP"), is the general partner of DKAERV and Davidson</w:t>
      </w:r>
    </w:p>
    <w:p>
      <w:pPr>
        <w:spacing w:after="0" w:line="6" w:lineRule="exact"/>
        <w:rPr>
          <w:sz w:val="20"/>
          <w:szCs w:val="20"/>
          <w:color w:val="auto"/>
        </w:rPr>
      </w:pPr>
    </w:p>
    <w:p>
      <w:pPr>
        <w:ind w:left="920" w:right="40" w:hanging="912"/>
        <w:spacing w:after="0" w:line="243"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Kempner Liquid GP Topco LLC, a Delaware limited liability company, is the managing member of DKAERV GP. DKCM is responsible for the voting and investment decisions of DKAERV; (iii) Davidson Kempner Capital Management LP, a Delaware limited partnership and a registered investment adviser with the U.S. Securities and Exchange Commission, acts as investment manager to a certain managed account (the "Managed Account") and each of CO and DKAERV ("DKCM"). DKCM GP LLC, a Delaware limited liability company, is the general partner of DKCM. The managing members of DKCM are Anthony A. Yoseloff, Conor Bastable, Shulamit Leviant, Morgan P. Blackwell, Patrick W. Dennis, Gabriel T. Schwartz, Zachary Z. Altschuler, Joshua D. Morris, Suzanne K. Gibbons, Gregory S. Feldman, Melanie Levine and James Li; and Anthony A. Yoseloff, through DKCM, is responsible for the voting and investment decisions relating to the common stock, par value $0.001 per share ("Common Stock") of Blueprint Medicines Corporation (the "Company") that were held by the Managed Account, CO and DKAERV.</w:t>
      </w:r>
    </w:p>
    <w:p>
      <w:pPr>
        <w:sectPr>
          <w:pgSz w:w="11900" w:h="16838" w:orient="portrait"/>
          <w:cols w:equalWidth="0" w:num="1">
            <w:col w:w="11120"/>
          </w:cols>
          <w:pgMar w:left="360" w:top="126" w:right="419" w:bottom="0" w:gutter="0" w:footer="0" w:header="0"/>
          <w:type w:val="continuous"/>
        </w:sectPr>
      </w:pPr>
    </w:p>
    <w:bookmarkStart w:id="4" w:name="page5"/>
    <w:bookmarkEnd w:id="4"/>
    <w:p>
      <w:pPr>
        <w:spacing w:after="0" w:line="49"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62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each of the Reporting Persons is c/o Davidson Kempner Capital Management LP, 9 West 57th Street, 29th Floor, New York, NY 10019.</w:t>
      </w: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1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CO - a New York limited partnership (ii) DKAERV - a Cayman Islands exempted limited partnership (iii) DKCM - a Delaware limited partnership (iv) Anthony A. Yoseloff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09627Y109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 As of the date of the event which requires the filing of this Schedule 13G, the Reporting Persons may have been deemed to beneficially own more than 5% of the shares of Common Stock outstanding.</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87" w:orient="portrait"/>
          <w:cols w:equalWidth="0" w:num="1">
            <w:col w:w="11120"/>
          </w:cols>
          <w:pgMar w:left="360" w:top="112" w:right="419" w:bottom="0" w:gutter="0" w:footer="0" w:header="0"/>
        </w:sectPr>
      </w:pPr>
    </w:p>
    <w:bookmarkStart w:id="5" w:name="page6"/>
    <w:bookmarkEnd w:id="5"/>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66"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M.H. Davidson &amp; Co.</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Anthony A. Yoseloff, Executive Managing</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Member of Davidson Kempner Liquid GP Topco</w:t>
      </w:r>
    </w:p>
    <w:p>
      <w:pPr>
        <w:ind w:left="6740"/>
        <w:spacing w:after="0" w:line="231" w:lineRule="auto"/>
        <w:rPr>
          <w:sz w:val="20"/>
          <w:szCs w:val="20"/>
          <w:color w:val="auto"/>
        </w:rPr>
      </w:pPr>
      <w:r>
        <w:rPr>
          <w:rFonts w:ascii="Times New Roman" w:cs="Times New Roman" w:eastAsia="Times New Roman" w:hAnsi="Times New Roman"/>
          <w:sz w:val="22"/>
          <w:szCs w:val="22"/>
          <w:color w:val="auto"/>
        </w:rPr>
        <w:t>LLC, Managing Member of CO GP,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CO</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07/21/2025</w:t>
      </w:r>
    </w:p>
    <w:p>
      <w:pPr>
        <w:spacing w:after="0" w:line="1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Davidson Kempner Arbitrage, Equities and Relative Value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Anthony A. Yoseloff, Executive Managing</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Member of Davidson Kempner Liquid GP Topco</w:t>
      </w:r>
    </w:p>
    <w:p>
      <w:pPr>
        <w:ind w:left="6740"/>
        <w:spacing w:after="0" w:line="231" w:lineRule="auto"/>
        <w:rPr>
          <w:sz w:val="20"/>
          <w:szCs w:val="20"/>
          <w:color w:val="auto"/>
        </w:rPr>
      </w:pPr>
      <w:r>
        <w:rPr>
          <w:rFonts w:ascii="Times New Roman" w:cs="Times New Roman" w:eastAsia="Times New Roman" w:hAnsi="Times New Roman"/>
          <w:sz w:val="22"/>
          <w:szCs w:val="22"/>
          <w:color w:val="auto"/>
        </w:rPr>
        <w:t>LLC, Managing Member of DKAERV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of DKAERV</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07/21/2025</w:t>
      </w:r>
    </w:p>
    <w:p>
      <w:pPr>
        <w:spacing w:after="0" w:line="15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Davidson Kempner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Anthony</w:t>
      </w:r>
      <w:r>
        <w:rPr>
          <w:rFonts w:ascii="Times New Roman" w:cs="Times New Roman" w:eastAsia="Times New Roman" w:hAnsi="Times New Roman"/>
          <w:sz w:val="37"/>
          <w:szCs w:val="37"/>
          <w:color w:val="auto"/>
          <w:vertAlign w:val="subscript"/>
        </w:rPr>
        <w:t>Member</w:t>
      </w:r>
      <w:r>
        <w:rPr>
          <w:rFonts w:ascii="Times New Roman" w:cs="Times New Roman" w:eastAsia="Times New Roman" w:hAnsi="Times New Roman"/>
          <w:sz w:val="19"/>
          <w:szCs w:val="19"/>
          <w:color w:val="auto"/>
        </w:rPr>
        <w:t xml:space="preserve"> A. Yoseloff, Executive Managing</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07/21/2025</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Anthony A. Yoseloff</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Anthony A. Yoseloff, Individually</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07/21/2025</w:t>
      </w:r>
    </w:p>
    <w:p>
      <w:pPr>
        <w:sectPr>
          <w:pgSz w:w="11900" w:h="16838" w:orient="portrait"/>
          <w:cols w:equalWidth="0" w:num="1">
            <w:col w:w="11140"/>
          </w:cols>
          <w:pgMar w:left="360" w:top="166" w:right="39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66"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DATE: July 21, 2025</w:t>
            </w: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/s/ Anthony A. Yoseloff</w:t>
            </w:r>
          </w:p>
        </w:tc>
        <w:tc>
          <w:tcPr>
            <w:tcW w:w="3640" w:type="dxa"/>
            <w:vAlign w:val="bottom"/>
          </w:tcPr>
          <w:p>
            <w:pPr>
              <w:spacing w:after="0"/>
              <w:rPr>
                <w:sz w:val="19"/>
                <w:szCs w:val="19"/>
                <w:color w:val="auto"/>
              </w:rPr>
            </w:pPr>
          </w:p>
        </w:tc>
      </w:tr>
      <w:tr>
        <w:trPr>
          <w:trHeight w:val="227"/>
        </w:trPr>
        <w:tc>
          <w:tcPr>
            <w:tcW w:w="5400" w:type="dxa"/>
            <w:vAlign w:val="bottom"/>
          </w:tcPr>
          <w:p>
            <w:pPr>
              <w:spacing w:after="0"/>
              <w:rPr>
                <w:sz w:val="19"/>
                <w:szCs w:val="19"/>
                <w:color w:val="auto"/>
              </w:rPr>
            </w:pPr>
          </w:p>
        </w:tc>
        <w:tc>
          <w:tcPr>
            <w:tcW w:w="55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ANTHONY A. YOSELOFF, (i) individually, (ii) as Executive</w:t>
            </w:r>
          </w:p>
        </w:tc>
      </w:tr>
      <w:tr>
        <w:trPr>
          <w:trHeight w:val="229"/>
        </w:trPr>
        <w:tc>
          <w:tcPr>
            <w:tcW w:w="540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Managing Member of: (a) Davidson Kempner Capital Management</w:t>
            </w:r>
          </w:p>
        </w:tc>
      </w:tr>
      <w:tr>
        <w:trPr>
          <w:trHeight w:val="230"/>
        </w:trPr>
        <w:tc>
          <w:tcPr>
            <w:tcW w:w="540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LP, , and (b) Davidson Kempner Liquid GP Topco LLC, as Managing</w:t>
            </w:r>
          </w:p>
        </w:tc>
      </w:tr>
      <w:tr>
        <w:trPr>
          <w:trHeight w:val="229"/>
        </w:trPr>
        <w:tc>
          <w:tcPr>
            <w:tcW w:w="540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Member of (1) M.H. Davidson &amp; Co. GP, L.L.C., as General Partner</w:t>
            </w:r>
          </w:p>
        </w:tc>
      </w:tr>
      <w:tr>
        <w:trPr>
          <w:trHeight w:val="229"/>
        </w:trPr>
        <w:tc>
          <w:tcPr>
            <w:tcW w:w="540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 M.H. Davidson &amp; Co. and (2) Davidson Kempner Multi-Strategy</w:t>
            </w:r>
          </w:p>
        </w:tc>
      </w:tr>
      <w:tr>
        <w:trPr>
          <w:trHeight w:val="230"/>
        </w:trPr>
        <w:tc>
          <w:tcPr>
            <w:tcW w:w="540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GP II LLC, as General Partner of Davidson Kempner Arbitrage,</w:t>
            </w:r>
          </w:p>
        </w:tc>
      </w:tr>
      <w:tr>
        <w:trPr>
          <w:trHeight w:val="258"/>
        </w:trPr>
        <w:tc>
          <w:tcPr>
            <w:tcW w:w="5400" w:type="dxa"/>
            <w:vAlign w:val="bottom"/>
          </w:tcPr>
          <w:p>
            <w:pPr>
              <w:spacing w:after="0"/>
              <w:rPr>
                <w:sz w:val="22"/>
                <w:szCs w:val="22"/>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Equities and Relative Value LP.</w:t>
            </w:r>
          </w:p>
        </w:tc>
      </w:tr>
    </w:tbl>
    <w:p>
      <w:pPr>
        <w:spacing w:after="0" w:line="1" w:lineRule="exact"/>
        <w:rPr>
          <w:sz w:val="20"/>
          <w:szCs w:val="20"/>
          <w:color w:val="auto"/>
        </w:rPr>
      </w:pP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2025-07-21T15:18:41Z</dcterms:created>
  <dcterms:modified xsi:type="dcterms:W3CDTF">2025-07-21T15:18:41Z</dcterms:modified>
</cp:coreProperties>
</file>