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54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Murray Christopher K.</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03/01/2023</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0000FF"/>
        </w:rPr>
        <w:t>CHIEF TECHNICAL OPERATIONS</w:t>
      </w:r>
    </w:p>
    <w:p>
      <w:pPr>
        <w:spacing w:after="0" w:line="387"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39"/>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03/01/2023</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8,750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27,570</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6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03/01/2023</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17,500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03/01/2033</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17,500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17,500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grant of 8,750 restricted stock units under Issuer's 2015 Stock Option and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1/48th of the shares underlying the option on April 1, 2023 and as to an additional 1/48th of the shares underlying the option each month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31,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Christopher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Christopher Murray</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1864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2023-03-03T19:07:32Z</dcterms:created>
  <dcterms:modified xsi:type="dcterms:W3CDTF">2023-03-03T19:07:32Z</dcterms:modified>
</cp:coreProperties>
</file>