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Lengauer Christoph</w:t>
              </w:r>
            </w:hyperlink>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92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6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920" w:type="dxa"/>
            <w:vAlign w:val="bottom"/>
            <w:tcBorders>
              <w:top w:val="single" w:sz="8" w:color="EEEEEE"/>
            </w:tcBorders>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16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32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66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8"/>
                <w:szCs w:val="18"/>
                <w:color w:val="0000FF"/>
              </w:rPr>
              <w:t>04/13/2016</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38 SIDNEY STREET,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Chief Scientific Officer</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40" w:type="dxa"/>
            <w:vAlign w:val="bottom"/>
            <w:gridSpan w:val="6"/>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tcPr>
          <w:p>
            <w:pPr>
              <w:ind w:left="30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3"/>
            <w:vMerge w:val="restart"/>
          </w:tcPr>
          <w:p>
            <w:pPr>
              <w:spacing w:after="0"/>
              <w:rPr>
                <w:sz w:val="20"/>
                <w:szCs w:val="20"/>
                <w:color w:val="auto"/>
              </w:rPr>
            </w:pPr>
            <w:r>
              <w:rPr>
                <w:rFonts w:ascii="Arial" w:cs="Arial" w:eastAsia="Arial" w:hAnsi="Arial"/>
                <w:sz w:val="18"/>
                <w:szCs w:val="18"/>
                <w:color w:val="0000FF"/>
              </w:rPr>
              <w:t>CAMBRIDGE   MA</w:t>
            </w:r>
          </w:p>
        </w:tc>
        <w:tc>
          <w:tcPr>
            <w:tcW w:w="1200" w:type="dxa"/>
            <w:vAlign w:val="bottom"/>
            <w:vMerge w:val="restart"/>
          </w:tcPr>
          <w:p>
            <w:pPr>
              <w:spacing w:after="0"/>
              <w:rPr>
                <w:sz w:val="20"/>
                <w:szCs w:val="20"/>
                <w:color w:val="auto"/>
              </w:rPr>
            </w:pPr>
            <w:r>
              <w:rPr>
                <w:rFonts w:ascii="Arial" w:cs="Arial" w:eastAsia="Arial" w:hAnsi="Arial"/>
                <w:sz w:val="18"/>
                <w:szCs w:val="18"/>
                <w:color w:val="0000FF"/>
              </w:rPr>
              <w:t>02139</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3"/>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3"/>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780"/>
              <w:spacing w:after="0"/>
              <w:rPr>
                <w:sz w:val="20"/>
                <w:szCs w:val="20"/>
                <w:color w:val="auto"/>
              </w:rPr>
            </w:pPr>
            <w:r>
              <w:rPr>
                <w:rFonts w:ascii="Arial" w:cs="Arial" w:eastAsia="Arial" w:hAnsi="Arial"/>
                <w:sz w:val="18"/>
                <w:szCs w:val="18"/>
                <w:color w:val="0000FF"/>
              </w:rPr>
              <w:t>04/13/2016</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15,872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20.01</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56,657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jc w:val="center"/>
              <w:ind w:left="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0"/>
          </w:tcPr>
          <w:p>
            <w:pPr>
              <w:jc w:val="center"/>
              <w:ind w:left="2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trading plan adopted pursuant to Rule 10b5-1 under the Securities Exchange Act of 1934, as amended.</w:t>
      </w:r>
    </w:p>
    <w:p>
      <w:pPr>
        <w:spacing w:after="0" w:line="41" w:lineRule="exact"/>
        <w:rPr>
          <w:rFonts w:ascii="Arial" w:cs="Arial" w:eastAsia="Arial" w:hAnsi="Arial"/>
          <w:sz w:val="14"/>
          <w:szCs w:val="14"/>
          <w:color w:val="008000"/>
        </w:rPr>
      </w:pPr>
    </w:p>
    <w:p>
      <w:pPr>
        <w:ind w:left="40" w:right="24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These shares were sold in multiple transactions at prices ranging from $20.00 to $20.08 per share. The Reporting Person undertakes to provide to the Issuer, any security holder of the Issuer or the staff of the Securities and Exchange Commission, upon request, full information regarding the number of shares sold at each separate price within the range.</w:t>
      </w:r>
    </w:p>
    <w:tbl>
      <w:tblPr>
        <w:tblLayout w:type="fixed"/>
        <w:tblInd w:w="6860" w:type="dxa"/>
        <w:tblCellMar>
          <w:top w:w="0" w:type="dxa"/>
          <w:left w:w="0" w:type="dxa"/>
          <w:bottom w:w="0" w:type="dxa"/>
          <w:right w:w="0" w:type="dxa"/>
        </w:tblCellMar>
      </w:tblPr>
      <w:tr>
        <w:trPr>
          <w:trHeight w:val="199"/>
        </w:trPr>
        <w:tc>
          <w:tcPr>
            <w:tcW w:w="2140" w:type="dxa"/>
            <w:vAlign w:val="bottom"/>
            <w:tcBorders>
              <w:bottom w:val="single" w:sz="8" w:color="auto"/>
            </w:tcBorders>
            <w:gridSpan w:val="2"/>
          </w:tcPr>
          <w:p>
            <w:pPr>
              <w:spacing w:after="0" w:line="179" w:lineRule="exact"/>
              <w:rPr>
                <w:sz w:val="20"/>
                <w:szCs w:val="20"/>
                <w:color w:val="auto"/>
              </w:rPr>
            </w:pPr>
            <w:r>
              <w:rPr>
                <w:rFonts w:ascii="Arial" w:cs="Arial" w:eastAsia="Arial" w:hAnsi="Arial"/>
                <w:sz w:val="18"/>
                <w:szCs w:val="18"/>
                <w:color w:val="0000FF"/>
                <w:w w:val="90"/>
              </w:rPr>
              <w:t>/s/ Christine Bellon,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04/14/2016</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469"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2019-12-08T23:32:57Z</dcterms:created>
  <dcterms:modified xsi:type="dcterms:W3CDTF">2019-12-08T23:32:57Z</dcterms:modified>
</cp:coreProperties>
</file>