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As filed with the Securities and Exchange Commission on February 13, 2025</w:t>
      </w:r>
    </w:p>
    <w:p>
      <w:pPr>
        <w:spacing w:after="0" w:line="28" w:lineRule="exact"/>
        <w:rPr>
          <w:sz w:val="24"/>
          <w:szCs w:val="24"/>
          <w:color w:val="auto"/>
        </w:rPr>
      </w:pPr>
    </w:p>
    <w:p>
      <w:pPr>
        <w:ind w:left="8420"/>
        <w:spacing w:after="0"/>
        <w:rPr>
          <w:sz w:val="20"/>
          <w:szCs w:val="20"/>
          <w:color w:val="auto"/>
        </w:rPr>
      </w:pPr>
      <w:r>
        <w:rPr>
          <w:rFonts w:ascii="Times New Roman" w:cs="Times New Roman" w:eastAsia="Times New Roman" w:hAnsi="Times New Roman"/>
          <w:sz w:val="16"/>
          <w:szCs w:val="16"/>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109855</wp:posOffset>
            </wp:positionV>
            <wp:extent cx="64979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127000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5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39370</wp:posOffset>
            </wp:positionV>
            <wp:extent cx="16287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10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FORM S-8</w:t>
      </w:r>
    </w:p>
    <w:p>
      <w:pPr>
        <w:spacing w:after="0" w:line="4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REGISTRATION STATEMENT</w:t>
      </w:r>
    </w:p>
    <w:p>
      <w:pPr>
        <w:spacing w:after="0" w:line="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i w:val="1"/>
          <w:iCs w:val="1"/>
          <w:color w:val="auto"/>
        </w:rPr>
        <w:t>UNDER THE</w:t>
      </w:r>
    </w:p>
    <w:p>
      <w:pPr>
        <w:spacing w:after="0" w:line="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i w:val="1"/>
          <w:iCs w:val="1"/>
          <w:color w:val="auto"/>
        </w:rPr>
        <w:t>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48895</wp:posOffset>
            </wp:positionV>
            <wp:extent cx="16287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9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Blueprint Medicines Corporation</w:t>
      </w:r>
    </w:p>
    <w:p>
      <w:pPr>
        <w:spacing w:after="0" w:line="3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47625</wp:posOffset>
            </wp:positionV>
            <wp:extent cx="16287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88" w:lineRule="exact"/>
        <w:rPr>
          <w:sz w:val="24"/>
          <w:szCs w:val="24"/>
          <w:color w:val="auto"/>
        </w:rPr>
      </w:pPr>
    </w:p>
    <w:tbl>
      <w:tblPr>
        <w:tblLayout w:type="fixed"/>
        <w:tblInd w:w="1360" w:type="dxa"/>
        <w:tblCellMar>
          <w:top w:w="0" w:type="dxa"/>
          <w:left w:w="0" w:type="dxa"/>
          <w:bottom w:w="0" w:type="dxa"/>
          <w:right w:w="0" w:type="dxa"/>
        </w:tblCellMar>
      </w:tblPr>
      <w:tr>
        <w:trPr>
          <w:trHeight w:val="161"/>
        </w:trPr>
        <w:tc>
          <w:tcPr>
            <w:tcW w:w="242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446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26-3632015</w:t>
            </w:r>
          </w:p>
        </w:tc>
        <w:tc>
          <w:tcPr>
            <w:tcW w:w="0" w:type="dxa"/>
            <w:vAlign w:val="bottom"/>
          </w:tcPr>
          <w:p>
            <w:pPr>
              <w:spacing w:after="0"/>
              <w:rPr>
                <w:sz w:val="1"/>
                <w:szCs w:val="1"/>
                <w:color w:val="auto"/>
              </w:rPr>
            </w:pPr>
          </w:p>
        </w:tc>
      </w:tr>
      <w:tr>
        <w:trPr>
          <w:trHeight w:val="149"/>
        </w:trPr>
        <w:tc>
          <w:tcPr>
            <w:tcW w:w="242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color w:val="auto"/>
              </w:rPr>
              <w:t>(State or other jurisdiction</w:t>
            </w:r>
          </w:p>
        </w:tc>
        <w:tc>
          <w:tcPr>
            <w:tcW w:w="4460" w:type="dxa"/>
            <w:vAlign w:val="bottom"/>
          </w:tcPr>
          <w:p>
            <w:pPr>
              <w:jc w:val="center"/>
              <w:ind w:left="3328"/>
              <w:spacing w:after="0" w:line="149" w:lineRule="exact"/>
              <w:rPr>
                <w:sz w:val="20"/>
                <w:szCs w:val="20"/>
                <w:color w:val="auto"/>
              </w:rPr>
            </w:pPr>
            <w:r>
              <w:rPr>
                <w:rFonts w:ascii="Times New Roman" w:cs="Times New Roman" w:eastAsia="Times New Roman" w:hAnsi="Times New Roman"/>
                <w:sz w:val="14"/>
                <w:szCs w:val="14"/>
                <w:color w:val="auto"/>
              </w:rPr>
              <w:t>(I.R.S. Employer</w:t>
            </w:r>
          </w:p>
        </w:tc>
        <w:tc>
          <w:tcPr>
            <w:tcW w:w="0" w:type="dxa"/>
            <w:vAlign w:val="bottom"/>
          </w:tcPr>
          <w:p>
            <w:pPr>
              <w:spacing w:after="0"/>
              <w:rPr>
                <w:sz w:val="1"/>
                <w:szCs w:val="1"/>
                <w:color w:val="auto"/>
              </w:rPr>
            </w:pPr>
          </w:p>
        </w:tc>
      </w:tr>
      <w:tr>
        <w:trPr>
          <w:trHeight w:val="188"/>
        </w:trPr>
        <w:tc>
          <w:tcPr>
            <w:tcW w:w="2420" w:type="dxa"/>
            <w:vAlign w:val="bottom"/>
          </w:tcPr>
          <w:p>
            <w:pPr>
              <w:jc w:val="center"/>
              <w:ind w:right="88"/>
              <w:spacing w:after="0"/>
              <w:rPr>
                <w:sz w:val="20"/>
                <w:szCs w:val="20"/>
                <w:color w:val="auto"/>
              </w:rPr>
            </w:pPr>
            <w:r>
              <w:rPr>
                <w:rFonts w:ascii="Times New Roman" w:cs="Times New Roman" w:eastAsia="Times New Roman" w:hAnsi="Times New Roman"/>
                <w:sz w:val="14"/>
                <w:szCs w:val="14"/>
                <w:color w:val="auto"/>
              </w:rPr>
              <w:t>of incorporation)</w:t>
            </w:r>
          </w:p>
        </w:tc>
        <w:tc>
          <w:tcPr>
            <w:tcW w:w="4460" w:type="dxa"/>
            <w:vAlign w:val="bottom"/>
          </w:tcPr>
          <w:p>
            <w:pPr>
              <w:jc w:val="center"/>
              <w:ind w:left="3328"/>
              <w:spacing w:after="0"/>
              <w:rPr>
                <w:sz w:val="20"/>
                <w:szCs w:val="20"/>
                <w:color w:val="auto"/>
              </w:rPr>
            </w:pPr>
            <w:r>
              <w:rPr>
                <w:rFonts w:ascii="Times New Roman" w:cs="Times New Roman" w:eastAsia="Times New Roman" w:hAnsi="Times New Roman"/>
                <w:sz w:val="14"/>
                <w:szCs w:val="14"/>
                <w:color w:val="auto"/>
              </w:rPr>
              <w:t>Identification No.)</w:t>
            </w:r>
          </w:p>
        </w:tc>
        <w:tc>
          <w:tcPr>
            <w:tcW w:w="0" w:type="dxa"/>
            <w:vAlign w:val="bottom"/>
          </w:tcPr>
          <w:p>
            <w:pPr>
              <w:spacing w:after="0"/>
              <w:rPr>
                <w:sz w:val="1"/>
                <w:szCs w:val="1"/>
                <w:color w:val="auto"/>
              </w:rPr>
            </w:pPr>
          </w:p>
        </w:tc>
      </w:tr>
      <w:tr>
        <w:trPr>
          <w:trHeight w:val="255"/>
        </w:trPr>
        <w:tc>
          <w:tcPr>
            <w:tcW w:w="242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45 Sidney Street</w:t>
            </w:r>
          </w:p>
        </w:tc>
        <w:tc>
          <w:tcPr>
            <w:tcW w:w="446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02139</w:t>
            </w:r>
          </w:p>
        </w:tc>
        <w:tc>
          <w:tcPr>
            <w:tcW w:w="0" w:type="dxa"/>
            <w:vAlign w:val="bottom"/>
          </w:tcPr>
          <w:p>
            <w:pPr>
              <w:spacing w:after="0"/>
              <w:rPr>
                <w:sz w:val="1"/>
                <w:szCs w:val="1"/>
                <w:color w:val="auto"/>
              </w:rPr>
            </w:pPr>
          </w:p>
        </w:tc>
      </w:tr>
      <w:tr>
        <w:trPr>
          <w:trHeight w:val="151"/>
        </w:trPr>
        <w:tc>
          <w:tcPr>
            <w:tcW w:w="2420" w:type="dxa"/>
            <w:vAlign w:val="bottom"/>
          </w:tcPr>
          <w:p>
            <w:pPr>
              <w:jc w:val="center"/>
              <w:ind w:right="68"/>
              <w:spacing w:after="0" w:line="151" w:lineRule="exact"/>
              <w:rPr>
                <w:sz w:val="20"/>
                <w:szCs w:val="20"/>
                <w:color w:val="auto"/>
              </w:rPr>
            </w:pPr>
            <w:r>
              <w:rPr>
                <w:rFonts w:ascii="Times New Roman" w:cs="Times New Roman" w:eastAsia="Times New Roman" w:hAnsi="Times New Roman"/>
                <w:sz w:val="14"/>
                <w:szCs w:val="14"/>
                <w:b w:val="1"/>
                <w:bCs w:val="1"/>
                <w:color w:val="auto"/>
              </w:rPr>
              <w:t>Cambridge, Massachusetts</w:t>
            </w:r>
          </w:p>
        </w:tc>
        <w:tc>
          <w:tcPr>
            <w:tcW w:w="44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242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4460" w:type="dxa"/>
            <w:vAlign w:val="bottom"/>
          </w:tcPr>
          <w:p>
            <w:pPr>
              <w:jc w:val="center"/>
              <w:ind w:left="3328"/>
              <w:spacing w:after="0"/>
              <w:rPr>
                <w:sz w:val="20"/>
                <w:szCs w:val="20"/>
                <w:color w:val="auto"/>
              </w:rPr>
            </w:pPr>
            <w:r>
              <w:rPr>
                <w:rFonts w:ascii="Times New Roman" w:cs="Times New Roman" w:eastAsia="Times New Roman" w:hAnsi="Times New Roman"/>
                <w:sz w:val="14"/>
                <w:szCs w:val="14"/>
                <w:color w:val="auto"/>
              </w:rPr>
              <w:t>(Zip Code)</w:t>
            </w:r>
          </w:p>
        </w:tc>
        <w:tc>
          <w:tcPr>
            <w:tcW w:w="0" w:type="dxa"/>
            <w:vAlign w:val="bottom"/>
          </w:tcPr>
          <w:p>
            <w:pPr>
              <w:spacing w:after="0"/>
              <w:rPr>
                <w:sz w:val="1"/>
                <w:szCs w:val="1"/>
                <w:color w:val="auto"/>
              </w:rPr>
            </w:pPr>
          </w:p>
        </w:tc>
      </w:tr>
      <w:tr>
        <w:trPr>
          <w:trHeight w:val="151"/>
        </w:trPr>
        <w:tc>
          <w:tcPr>
            <w:tcW w:w="2420" w:type="dxa"/>
            <w:vAlign w:val="bottom"/>
          </w:tcPr>
          <w:p>
            <w:pPr>
              <w:spacing w:after="0"/>
              <w:rPr>
                <w:sz w:val="13"/>
                <w:szCs w:val="13"/>
                <w:color w:val="auto"/>
              </w:rPr>
            </w:pPr>
          </w:p>
        </w:tc>
        <w:tc>
          <w:tcPr>
            <w:tcW w:w="4460" w:type="dxa"/>
            <w:vAlign w:val="bottom"/>
          </w:tcPr>
          <w:p>
            <w:pPr>
              <w:jc w:val="center"/>
              <w:ind w:right="1728"/>
              <w:spacing w:after="0" w:line="151" w:lineRule="exact"/>
              <w:rPr>
                <w:sz w:val="20"/>
                <w:szCs w:val="20"/>
                <w:color w:val="auto"/>
              </w:rPr>
            </w:pPr>
            <w:r>
              <w:rPr>
                <w:rFonts w:ascii="Times New Roman" w:cs="Times New Roman" w:eastAsia="Times New Roman" w:hAnsi="Times New Roman"/>
                <w:sz w:val="14"/>
                <w:szCs w:val="14"/>
                <w:b w:val="1"/>
                <w:bCs w:val="1"/>
                <w:color w:val="auto"/>
              </w:rPr>
              <w:t>2015 Employee Stock Purchase Plan</w:t>
            </w:r>
          </w:p>
        </w:tc>
        <w:tc>
          <w:tcPr>
            <w:tcW w:w="0" w:type="dxa"/>
            <w:vAlign w:val="bottom"/>
          </w:tcPr>
          <w:p>
            <w:pPr>
              <w:spacing w:after="0"/>
              <w:rPr>
                <w:sz w:val="1"/>
                <w:szCs w:val="1"/>
                <w:color w:val="auto"/>
              </w:rPr>
            </w:pPr>
          </w:p>
        </w:tc>
      </w:tr>
      <w:tr>
        <w:trPr>
          <w:trHeight w:val="187"/>
        </w:trPr>
        <w:tc>
          <w:tcPr>
            <w:tcW w:w="2420" w:type="dxa"/>
            <w:vAlign w:val="bottom"/>
          </w:tcPr>
          <w:p>
            <w:pPr>
              <w:spacing w:after="0"/>
              <w:rPr>
                <w:sz w:val="16"/>
                <w:szCs w:val="16"/>
                <w:color w:val="auto"/>
              </w:rPr>
            </w:pPr>
          </w:p>
        </w:tc>
        <w:tc>
          <w:tcPr>
            <w:tcW w:w="4460" w:type="dxa"/>
            <w:vAlign w:val="bottom"/>
          </w:tcPr>
          <w:p>
            <w:pPr>
              <w:jc w:val="center"/>
              <w:ind w:right="1748"/>
              <w:spacing w:after="0"/>
              <w:rPr>
                <w:sz w:val="20"/>
                <w:szCs w:val="20"/>
                <w:color w:val="auto"/>
              </w:rPr>
            </w:pPr>
            <w:r>
              <w:rPr>
                <w:rFonts w:ascii="Times New Roman" w:cs="Times New Roman" w:eastAsia="Times New Roman" w:hAnsi="Times New Roman"/>
                <w:sz w:val="14"/>
                <w:szCs w:val="14"/>
                <w:color w:val="auto"/>
              </w:rPr>
              <w:t>(Full titles of the plans)</w:t>
            </w:r>
          </w:p>
        </w:tc>
        <w:tc>
          <w:tcPr>
            <w:tcW w:w="0" w:type="dxa"/>
            <w:vAlign w:val="bottom"/>
          </w:tcPr>
          <w:p>
            <w:pPr>
              <w:spacing w:after="0"/>
              <w:rPr>
                <w:sz w:val="1"/>
                <w:szCs w:val="1"/>
                <w:color w:val="auto"/>
              </w:rPr>
            </w:pPr>
          </w:p>
        </w:tc>
      </w:tr>
      <w:tr>
        <w:trPr>
          <w:trHeight w:val="148"/>
        </w:trPr>
        <w:tc>
          <w:tcPr>
            <w:tcW w:w="2420" w:type="dxa"/>
            <w:vAlign w:val="bottom"/>
          </w:tcPr>
          <w:p>
            <w:pPr>
              <w:spacing w:after="0"/>
              <w:rPr>
                <w:sz w:val="12"/>
                <w:szCs w:val="12"/>
                <w:color w:val="auto"/>
              </w:rPr>
            </w:pPr>
          </w:p>
        </w:tc>
        <w:tc>
          <w:tcPr>
            <w:tcW w:w="4460" w:type="dxa"/>
            <w:vAlign w:val="bottom"/>
          </w:tcPr>
          <w:p>
            <w:pPr>
              <w:jc w:val="center"/>
              <w:ind w:right="1748"/>
              <w:spacing w:after="0" w:line="149" w:lineRule="exact"/>
              <w:rPr>
                <w:sz w:val="20"/>
                <w:szCs w:val="20"/>
                <w:color w:val="auto"/>
              </w:rPr>
            </w:pPr>
            <w:r>
              <w:rPr>
                <w:rFonts w:ascii="Times New Roman" w:cs="Times New Roman" w:eastAsia="Times New Roman" w:hAnsi="Times New Roman"/>
                <w:sz w:val="14"/>
                <w:szCs w:val="14"/>
                <w:b w:val="1"/>
                <w:bCs w:val="1"/>
                <w:color w:val="auto"/>
              </w:rPr>
              <w:t>Kathryn Haviland</w:t>
            </w:r>
          </w:p>
        </w:tc>
        <w:tc>
          <w:tcPr>
            <w:tcW w:w="0" w:type="dxa"/>
            <w:vAlign w:val="bottom"/>
          </w:tcPr>
          <w:p>
            <w:pPr>
              <w:spacing w:after="0"/>
              <w:rPr>
                <w:sz w:val="1"/>
                <w:szCs w:val="1"/>
                <w:color w:val="auto"/>
              </w:rPr>
            </w:pPr>
          </w:p>
        </w:tc>
      </w:tr>
      <w:tr>
        <w:trPr>
          <w:trHeight w:val="148"/>
        </w:trPr>
        <w:tc>
          <w:tcPr>
            <w:tcW w:w="2420" w:type="dxa"/>
            <w:vAlign w:val="bottom"/>
          </w:tcPr>
          <w:p>
            <w:pPr>
              <w:spacing w:after="0"/>
              <w:rPr>
                <w:sz w:val="12"/>
                <w:szCs w:val="12"/>
                <w:color w:val="auto"/>
              </w:rPr>
            </w:pPr>
          </w:p>
        </w:tc>
        <w:tc>
          <w:tcPr>
            <w:tcW w:w="4460" w:type="dxa"/>
            <w:vAlign w:val="bottom"/>
          </w:tcPr>
          <w:p>
            <w:pPr>
              <w:jc w:val="center"/>
              <w:ind w:right="1748"/>
              <w:spacing w:after="0" w:line="149" w:lineRule="exact"/>
              <w:rPr>
                <w:sz w:val="20"/>
                <w:szCs w:val="20"/>
                <w:color w:val="auto"/>
              </w:rPr>
            </w:pPr>
            <w:r>
              <w:rPr>
                <w:rFonts w:ascii="Times New Roman" w:cs="Times New Roman" w:eastAsia="Times New Roman" w:hAnsi="Times New Roman"/>
                <w:sz w:val="14"/>
                <w:szCs w:val="14"/>
                <w:b w:val="1"/>
                <w:bCs w:val="1"/>
                <w:color w:val="auto"/>
              </w:rPr>
              <w:t>President and Chief Executive Officer</w:t>
            </w: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4460" w:type="dxa"/>
            <w:vAlign w:val="bottom"/>
          </w:tcPr>
          <w:p>
            <w:pPr>
              <w:jc w:val="center"/>
              <w:ind w:right="1728"/>
              <w:spacing w:after="0" w:line="149" w:lineRule="exact"/>
              <w:rPr>
                <w:sz w:val="20"/>
                <w:szCs w:val="20"/>
                <w:color w:val="auto"/>
              </w:rPr>
            </w:pPr>
            <w:r>
              <w:rPr>
                <w:rFonts w:ascii="Times New Roman" w:cs="Times New Roman" w:eastAsia="Times New Roman" w:hAnsi="Times New Roman"/>
                <w:sz w:val="14"/>
                <w:szCs w:val="14"/>
                <w:b w:val="1"/>
                <w:bCs w:val="1"/>
                <w:color w:val="auto"/>
              </w:rPr>
              <w:t>Blueprint Medicines Corporation</w:t>
            </w:r>
          </w:p>
        </w:tc>
        <w:tc>
          <w:tcPr>
            <w:tcW w:w="0" w:type="dxa"/>
            <w:vAlign w:val="bottom"/>
          </w:tcPr>
          <w:p>
            <w:pPr>
              <w:spacing w:after="0"/>
              <w:rPr>
                <w:sz w:val="1"/>
                <w:szCs w:val="1"/>
                <w:color w:val="auto"/>
              </w:rPr>
            </w:pPr>
          </w:p>
        </w:tc>
      </w:tr>
      <w:tr>
        <w:trPr>
          <w:trHeight w:val="148"/>
        </w:trPr>
        <w:tc>
          <w:tcPr>
            <w:tcW w:w="2420" w:type="dxa"/>
            <w:vAlign w:val="bottom"/>
          </w:tcPr>
          <w:p>
            <w:pPr>
              <w:spacing w:after="0"/>
              <w:rPr>
                <w:sz w:val="12"/>
                <w:szCs w:val="12"/>
                <w:color w:val="auto"/>
              </w:rPr>
            </w:pPr>
          </w:p>
        </w:tc>
        <w:tc>
          <w:tcPr>
            <w:tcW w:w="4460" w:type="dxa"/>
            <w:vAlign w:val="bottom"/>
          </w:tcPr>
          <w:p>
            <w:pPr>
              <w:jc w:val="center"/>
              <w:ind w:right="1748"/>
              <w:spacing w:after="0" w:line="149" w:lineRule="exact"/>
              <w:rPr>
                <w:sz w:val="20"/>
                <w:szCs w:val="20"/>
                <w:color w:val="auto"/>
              </w:rPr>
            </w:pPr>
            <w:r>
              <w:rPr>
                <w:rFonts w:ascii="Times New Roman" w:cs="Times New Roman" w:eastAsia="Times New Roman" w:hAnsi="Times New Roman"/>
                <w:sz w:val="14"/>
                <w:szCs w:val="14"/>
                <w:b w:val="1"/>
                <w:bCs w:val="1"/>
                <w:color w:val="auto"/>
              </w:rPr>
              <w:t>45 Sidney Street</w:t>
            </w:r>
          </w:p>
        </w:tc>
        <w:tc>
          <w:tcPr>
            <w:tcW w:w="0" w:type="dxa"/>
            <w:vAlign w:val="bottom"/>
          </w:tcPr>
          <w:p>
            <w:pPr>
              <w:spacing w:after="0"/>
              <w:rPr>
                <w:sz w:val="1"/>
                <w:szCs w:val="1"/>
                <w:color w:val="auto"/>
              </w:rPr>
            </w:pPr>
          </w:p>
        </w:tc>
      </w:tr>
      <w:tr>
        <w:trPr>
          <w:trHeight w:val="151"/>
        </w:trPr>
        <w:tc>
          <w:tcPr>
            <w:tcW w:w="2420" w:type="dxa"/>
            <w:vAlign w:val="bottom"/>
          </w:tcPr>
          <w:p>
            <w:pPr>
              <w:spacing w:after="0"/>
              <w:rPr>
                <w:sz w:val="13"/>
                <w:szCs w:val="13"/>
                <w:color w:val="auto"/>
              </w:rPr>
            </w:pPr>
          </w:p>
        </w:tc>
        <w:tc>
          <w:tcPr>
            <w:tcW w:w="4460" w:type="dxa"/>
            <w:vAlign w:val="bottom"/>
          </w:tcPr>
          <w:p>
            <w:pPr>
              <w:jc w:val="center"/>
              <w:ind w:right="1748"/>
              <w:spacing w:after="0" w:line="151" w:lineRule="exact"/>
              <w:rPr>
                <w:sz w:val="20"/>
                <w:szCs w:val="20"/>
                <w:color w:val="auto"/>
              </w:rPr>
            </w:pPr>
            <w:r>
              <w:rPr>
                <w:rFonts w:ascii="Times New Roman" w:cs="Times New Roman" w:eastAsia="Times New Roman" w:hAnsi="Times New Roman"/>
                <w:sz w:val="14"/>
                <w:szCs w:val="14"/>
                <w:b w:val="1"/>
                <w:bCs w:val="1"/>
                <w:color w:val="auto"/>
              </w:rPr>
              <w:t>Cambridge, Massachusetts 02139</w:t>
            </w:r>
          </w:p>
        </w:tc>
        <w:tc>
          <w:tcPr>
            <w:tcW w:w="0" w:type="dxa"/>
            <w:vAlign w:val="bottom"/>
          </w:tcPr>
          <w:p>
            <w:pPr>
              <w:spacing w:after="0"/>
              <w:rPr>
                <w:sz w:val="1"/>
                <w:szCs w:val="1"/>
                <w:color w:val="auto"/>
              </w:rPr>
            </w:pPr>
          </w:p>
        </w:tc>
      </w:tr>
      <w:tr>
        <w:trPr>
          <w:trHeight w:val="188"/>
        </w:trPr>
        <w:tc>
          <w:tcPr>
            <w:tcW w:w="2420" w:type="dxa"/>
            <w:vAlign w:val="bottom"/>
          </w:tcPr>
          <w:p>
            <w:pPr>
              <w:spacing w:after="0"/>
              <w:rPr>
                <w:sz w:val="16"/>
                <w:szCs w:val="16"/>
                <w:color w:val="auto"/>
              </w:rPr>
            </w:pPr>
          </w:p>
        </w:tc>
        <w:tc>
          <w:tcPr>
            <w:tcW w:w="4460" w:type="dxa"/>
            <w:vAlign w:val="bottom"/>
          </w:tcPr>
          <w:p>
            <w:pPr>
              <w:jc w:val="center"/>
              <w:ind w:right="1728"/>
              <w:spacing w:after="0"/>
              <w:rPr>
                <w:sz w:val="20"/>
                <w:szCs w:val="20"/>
                <w:color w:val="auto"/>
              </w:rPr>
            </w:pPr>
            <w:r>
              <w:rPr>
                <w:rFonts w:ascii="Times New Roman" w:cs="Times New Roman" w:eastAsia="Times New Roman" w:hAnsi="Times New Roman"/>
                <w:sz w:val="14"/>
                <w:szCs w:val="14"/>
                <w:color w:val="auto"/>
              </w:rPr>
              <w:t>(Name and address of agent for service)</w:t>
            </w:r>
          </w:p>
        </w:tc>
        <w:tc>
          <w:tcPr>
            <w:tcW w:w="0" w:type="dxa"/>
            <w:vAlign w:val="bottom"/>
          </w:tcPr>
          <w:p>
            <w:pPr>
              <w:spacing w:after="0"/>
              <w:rPr>
                <w:sz w:val="1"/>
                <w:szCs w:val="1"/>
                <w:color w:val="auto"/>
              </w:rPr>
            </w:pPr>
          </w:p>
        </w:tc>
      </w:tr>
    </w:tbl>
    <w:p>
      <w:pPr>
        <w:spacing w:after="0" w:line="1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(617) 374-7580</w:t>
      </w:r>
    </w:p>
    <w:p>
      <w:pPr>
        <w:spacing w:after="0" w:line="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(Telephone number, including area code, of agent for service)</w:t>
      </w:r>
    </w:p>
    <w:p>
      <w:pPr>
        <w:spacing w:after="0" w:line="2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Please send copies of all communications to:</w:t>
      </w:r>
    </w:p>
    <w:p>
      <w:pPr>
        <w:jc w:val="center"/>
        <w:ind w:right="-119"/>
        <w:spacing w:after="0" w:line="229" w:lineRule="auto"/>
        <w:rPr>
          <w:sz w:val="20"/>
          <w:szCs w:val="20"/>
          <w:color w:val="auto"/>
        </w:rPr>
      </w:pPr>
      <w:r>
        <w:rPr>
          <w:rFonts w:ascii="Times New Roman" w:cs="Times New Roman" w:eastAsia="Times New Roman" w:hAnsi="Times New Roman"/>
          <w:sz w:val="14"/>
          <w:szCs w:val="14"/>
          <w:b w:val="1"/>
          <w:bCs w:val="1"/>
          <w:color w:val="auto"/>
        </w:rPr>
        <w:t>Kingsley L. Taft, Esq.</w:t>
      </w:r>
    </w:p>
    <w:p>
      <w:pPr>
        <w:jc w:val="center"/>
        <w:ind w:right="-119"/>
        <w:spacing w:after="0" w:line="221" w:lineRule="auto"/>
        <w:rPr>
          <w:sz w:val="20"/>
          <w:szCs w:val="20"/>
          <w:color w:val="auto"/>
        </w:rPr>
      </w:pPr>
      <w:r>
        <w:rPr>
          <w:rFonts w:ascii="Times New Roman" w:cs="Times New Roman" w:eastAsia="Times New Roman" w:hAnsi="Times New Roman"/>
          <w:sz w:val="14"/>
          <w:szCs w:val="14"/>
          <w:b w:val="1"/>
          <w:bCs w:val="1"/>
          <w:color w:val="auto"/>
        </w:rPr>
        <w:t>Danielle M. Lauzon, Esq.</w:t>
      </w:r>
    </w:p>
    <w:p>
      <w:pPr>
        <w:jc w:val="center"/>
        <w:ind w:right="-119"/>
        <w:spacing w:after="0" w:line="222" w:lineRule="auto"/>
        <w:rPr>
          <w:sz w:val="20"/>
          <w:szCs w:val="20"/>
          <w:color w:val="auto"/>
        </w:rPr>
      </w:pPr>
      <w:r>
        <w:rPr>
          <w:rFonts w:ascii="Times New Roman" w:cs="Times New Roman" w:eastAsia="Times New Roman" w:hAnsi="Times New Roman"/>
          <w:sz w:val="14"/>
          <w:szCs w:val="14"/>
          <w:b w:val="1"/>
          <w:bCs w:val="1"/>
          <w:color w:val="auto"/>
        </w:rPr>
        <w:t>Yasin Akbari, Esq.</w:t>
      </w:r>
    </w:p>
    <w:p>
      <w:pPr>
        <w:jc w:val="center"/>
        <w:ind w:right="-119"/>
        <w:spacing w:after="0" w:line="221" w:lineRule="auto"/>
        <w:rPr>
          <w:sz w:val="20"/>
          <w:szCs w:val="20"/>
          <w:color w:val="auto"/>
        </w:rPr>
      </w:pPr>
      <w:r>
        <w:rPr>
          <w:rFonts w:ascii="Times New Roman" w:cs="Times New Roman" w:eastAsia="Times New Roman" w:hAnsi="Times New Roman"/>
          <w:sz w:val="14"/>
          <w:szCs w:val="14"/>
          <w:b w:val="1"/>
          <w:bCs w:val="1"/>
          <w:color w:val="auto"/>
        </w:rPr>
        <w:t>Goodwin Procter LLP</w:t>
      </w:r>
    </w:p>
    <w:p>
      <w:pPr>
        <w:jc w:val="center"/>
        <w:ind w:right="-119"/>
        <w:spacing w:after="0" w:line="222" w:lineRule="auto"/>
        <w:rPr>
          <w:sz w:val="20"/>
          <w:szCs w:val="20"/>
          <w:color w:val="auto"/>
        </w:rPr>
      </w:pPr>
      <w:r>
        <w:rPr>
          <w:rFonts w:ascii="Times New Roman" w:cs="Times New Roman" w:eastAsia="Times New Roman" w:hAnsi="Times New Roman"/>
          <w:sz w:val="14"/>
          <w:szCs w:val="14"/>
          <w:b w:val="1"/>
          <w:bCs w:val="1"/>
          <w:color w:val="auto"/>
        </w:rPr>
        <w:t>100 Northern Avenue</w:t>
      </w:r>
    </w:p>
    <w:p>
      <w:pPr>
        <w:jc w:val="center"/>
        <w:ind w:right="-119"/>
        <w:spacing w:after="0" w:line="221" w:lineRule="auto"/>
        <w:rPr>
          <w:sz w:val="20"/>
          <w:szCs w:val="20"/>
          <w:color w:val="auto"/>
        </w:rPr>
      </w:pPr>
      <w:r>
        <w:rPr>
          <w:rFonts w:ascii="Times New Roman" w:cs="Times New Roman" w:eastAsia="Times New Roman" w:hAnsi="Times New Roman"/>
          <w:sz w:val="14"/>
          <w:szCs w:val="14"/>
          <w:b w:val="1"/>
          <w:bCs w:val="1"/>
          <w:color w:val="auto"/>
        </w:rPr>
        <w:t>Boston, Massachusetts 02210</w:t>
      </w: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(617) 570-1000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22225</wp:posOffset>
            </wp:positionV>
            <wp:extent cx="16287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60" w:lineRule="exact"/>
        <w:rPr>
          <w:sz w:val="24"/>
          <w:szCs w:val="24"/>
          <w:color w:val="auto"/>
        </w:rPr>
      </w:pPr>
    </w:p>
    <w:p>
      <w:pPr>
        <w:ind w:right="180" w:firstLine="648"/>
        <w:spacing w:after="0" w:line="24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100"/>
          </w:cols>
          <w:pgMar w:left="840" w:top="664" w:right="959" w:bottom="1440" w:gutter="0" w:footer="0" w:header="0"/>
        </w:sectPr>
      </w:pPr>
    </w:p>
    <w:p>
      <w:pPr>
        <w:spacing w:after="0" w:line="42" w:lineRule="exact"/>
        <w:rPr>
          <w:sz w:val="24"/>
          <w:szCs w:val="24"/>
          <w:color w:val="auto"/>
        </w:rPr>
      </w:pPr>
    </w:p>
    <w:p>
      <w:pPr>
        <w:ind w:left="1840"/>
        <w:spacing w:after="0"/>
        <w:rPr>
          <w:sz w:val="20"/>
          <w:szCs w:val="20"/>
          <w:color w:val="auto"/>
        </w:rPr>
      </w:pPr>
      <w:r>
        <w:rPr>
          <w:rFonts w:ascii="Times New Roman" w:cs="Times New Roman" w:eastAsia="Times New Roman" w:hAnsi="Times New Roman"/>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11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Accelerated filer</w:t>
      </w:r>
    </w:p>
    <w:p>
      <w:pPr>
        <w:spacing w:after="0" w:line="20" w:lineRule="exact"/>
        <w:rPr>
          <w:sz w:val="24"/>
          <w:szCs w:val="24"/>
          <w:color w:val="auto"/>
        </w:rPr>
      </w:pPr>
      <w:r>
        <w:rPr>
          <w:sz w:val="24"/>
          <w:szCs w:val="24"/>
          <w:color w:val="auto"/>
        </w:rPr>
        <w:br w:type="column"/>
      </w:r>
    </w:p>
    <w:p>
      <w:pPr>
        <w:spacing w:after="0" w:line="111" w:lineRule="exact"/>
        <w:rPr>
          <w:sz w:val="20"/>
          <w:szCs w:val="20"/>
          <w:color w:val="auto"/>
        </w:rPr>
      </w:pPr>
      <w:r>
        <w:rPr>
          <w:rFonts w:ascii="MS PGothic" w:cs="MS PGothic" w:eastAsia="MS PGothic" w:hAnsi="MS PGothic"/>
          <w:sz w:val="12"/>
          <w:szCs w:val="12"/>
          <w:color w:val="auto"/>
        </w:rPr>
        <w:t>☐</w:t>
      </w:r>
    </w:p>
    <w:p>
      <w:pPr>
        <w:spacing w:after="0" w:line="121" w:lineRule="exact"/>
        <w:rPr>
          <w:sz w:val="24"/>
          <w:szCs w:val="24"/>
          <w:color w:val="auto"/>
        </w:rPr>
      </w:pPr>
    </w:p>
    <w:p>
      <w:pPr>
        <w:sectPr>
          <w:pgSz w:w="11900" w:h="16838" w:orient="portrait"/>
          <w:cols w:equalWidth="0" w:num="4">
            <w:col w:w="3120" w:space="80"/>
            <w:col w:w="3120" w:space="720"/>
            <w:col w:w="960" w:space="80"/>
            <w:col w:w="2020"/>
          </w:cols>
          <w:pgMar w:left="840" w:top="664" w:right="959" w:bottom="1440" w:gutter="0" w:footer="0" w:header="0"/>
          <w:type w:val="continuous"/>
        </w:sectPr>
      </w:pPr>
    </w:p>
    <w:p>
      <w:pPr>
        <w:spacing w:after="0" w:line="6" w:lineRule="exact"/>
        <w:rPr>
          <w:sz w:val="24"/>
          <w:szCs w:val="24"/>
          <w:color w:val="auto"/>
        </w:rPr>
      </w:pPr>
    </w:p>
    <w:p>
      <w:pPr>
        <w:ind w:left="1860"/>
        <w:spacing w:after="0"/>
        <w:rPr>
          <w:sz w:val="20"/>
          <w:szCs w:val="20"/>
          <w:color w:val="auto"/>
        </w:rPr>
      </w:pPr>
      <w:r>
        <w:rPr>
          <w:rFonts w:ascii="Times New Roman" w:cs="Times New Roman" w:eastAsia="Times New Roman" w:hAnsi="Times New Roman"/>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75" w:lineRule="exact"/>
        <w:rPr>
          <w:sz w:val="24"/>
          <w:szCs w:val="24"/>
          <w:color w:val="auto"/>
        </w:rPr>
      </w:pPr>
    </w:p>
    <w:p>
      <w:pPr>
        <w:sectPr>
          <w:pgSz w:w="11900" w:h="16838" w:orient="portrait"/>
          <w:cols w:equalWidth="0" w:num="4">
            <w:col w:w="3080" w:space="80"/>
            <w:col w:w="2860" w:space="720"/>
            <w:col w:w="1580" w:space="60"/>
            <w:col w:w="1720"/>
          </w:cols>
          <w:pgMar w:left="840" w:top="664" w:right="959" w:bottom="1440" w:gutter="0" w:footer="0" w:header="0"/>
          <w:type w:val="continuous"/>
        </w:sectPr>
      </w:pPr>
    </w:p>
    <w:p>
      <w:pPr>
        <w:spacing w:after="0" w:line="6" w:lineRule="exact"/>
        <w:rPr>
          <w:sz w:val="24"/>
          <w:szCs w:val="24"/>
          <w:color w:val="auto"/>
        </w:rPr>
      </w:pPr>
    </w:p>
    <w:p>
      <w:pPr>
        <w:ind w:left="6740"/>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08" w:lineRule="exact"/>
        <w:rPr>
          <w:sz w:val="24"/>
          <w:szCs w:val="24"/>
          <w:color w:val="auto"/>
        </w:rPr>
      </w:pPr>
    </w:p>
    <w:p>
      <w:pPr>
        <w:sectPr>
          <w:pgSz w:w="11900" w:h="16838" w:orient="portrait"/>
          <w:cols w:equalWidth="0" w:num="2">
            <w:col w:w="8320" w:space="60"/>
            <w:col w:w="1720"/>
          </w:cols>
          <w:pgMar w:left="840" w:top="664" w:right="959" w:bottom="1440" w:gutter="0" w:footer="0" w:header="0"/>
          <w:type w:val="continuous"/>
        </w:sectPr>
      </w:pPr>
    </w:p>
    <w:p>
      <w:pPr>
        <w:ind w:firstLine="648"/>
        <w:spacing w:after="0" w:line="186" w:lineRule="exact"/>
        <w:rPr>
          <w:sz w:val="20"/>
          <w:szCs w:val="20"/>
          <w:color w:val="auto"/>
        </w:rPr>
      </w:pPr>
      <w:r>
        <w:rPr>
          <w:rFonts w:ascii="Times New Roman" w:cs="Times New Roman" w:eastAsia="Times New Roman" w:hAnsi="Times New Roman"/>
          <w:sz w:val="14"/>
          <w:szCs w:val="14"/>
          <w:color w:val="auto"/>
        </w:rPr>
        <w:t>If an emerging growth company, indicate by check mark if the registrant has elected not to use the extended transition period for complying with any new or revised financial accounting standards provided pursuant to Section 7(a)(2)(B) of the Securities Act.</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455930</wp:posOffset>
            </wp:positionV>
            <wp:extent cx="649795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2426335</wp:posOffset>
            </wp:positionH>
            <wp:positionV relativeFrom="paragraph">
              <wp:posOffset>61595</wp:posOffset>
            </wp:positionV>
            <wp:extent cx="16287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ectPr>
          <w:pgSz w:w="11900" w:h="16838" w:orient="portrait"/>
          <w:cols w:equalWidth="0" w:num="1">
            <w:col w:w="10100"/>
          </w:cols>
          <w:pgMar w:left="840" w:top="664" w:right="959" w:bottom="1440"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left="60" w:right="79"/>
        <w:spacing w:after="0" w:line="251"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This Registration Statement on Form S-8 relating to the 2015 Stock Option and Incentive Plan the 2015 Employee Stock Purchase Plan (as amended, the “2015 ESPP”) of Blueprint Medicines Corporation (the “Registrant”) is being filed for the purpose of registering additional securities of the same class as other securities for which a Registration Statement on Form S-8 has previously been filed and is effective. Accordingly, this Registration Statement on Form S-8 incorporates by reference the contents of (i) the </w:t>
      </w:r>
      <w:hyperlink r:id="rId16">
        <w:r>
          <w:rPr>
            <w:rFonts w:ascii="Times New Roman" w:cs="Times New Roman" w:eastAsia="Times New Roman" w:hAnsi="Times New Roman"/>
            <w:sz w:val="18"/>
            <w:szCs w:val="18"/>
            <w:u w:val="single" w:color="auto"/>
            <w:color w:val="0000EE"/>
          </w:rPr>
          <w:t>Registration Statement on Form S-8 (File No. 333-203749)</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filed with the Securities and </w:t>
      </w:r>
      <w:hyperlink r:id="rId17">
        <w:r>
          <w:rPr>
            <w:rFonts w:ascii="Times New Roman" w:cs="Times New Roman" w:eastAsia="Times New Roman" w:hAnsi="Times New Roman"/>
            <w:sz w:val="18"/>
            <w:szCs w:val="18"/>
            <w:color w:val="auto"/>
          </w:rPr>
          <w:t xml:space="preserve">Exchange Commission (the “SEC”) on April 30, 2015 by the Registrant, relating to the 2015 ESPP, (ii) the </w:t>
        </w:r>
        <w:r>
          <w:rPr>
            <w:rFonts w:ascii="Times New Roman" w:cs="Times New Roman" w:eastAsia="Times New Roman" w:hAnsi="Times New Roman"/>
            <w:sz w:val="18"/>
            <w:szCs w:val="18"/>
            <w:u w:val="single" w:color="auto"/>
            <w:color w:val="0000EE"/>
          </w:rPr>
          <w:t>Registration</w:t>
        </w:r>
      </w:hyperlink>
      <w:r>
        <w:rPr>
          <w:rFonts w:ascii="Times New Roman" w:cs="Times New Roman" w:eastAsia="Times New Roman" w:hAnsi="Times New Roman"/>
          <w:sz w:val="18"/>
          <w:szCs w:val="18"/>
          <w:color w:val="auto"/>
        </w:rPr>
        <w:t xml:space="preserve"> </w:t>
      </w:r>
      <w:hyperlink r:id="rId17">
        <w:r>
          <w:rPr>
            <w:rFonts w:ascii="Times New Roman" w:cs="Times New Roman" w:eastAsia="Times New Roman" w:hAnsi="Times New Roman"/>
            <w:sz w:val="18"/>
            <w:szCs w:val="18"/>
            <w:u w:val="single" w:color="auto"/>
            <w:color w:val="0000EE"/>
          </w:rPr>
          <w:t>Statement on Form S-8 (File No. 333-210125)</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 xml:space="preserve">filed with the SEC on March 11, 2016 by the Registrant, relating to the </w:t>
        </w:r>
      </w:hyperlink>
      <w:r>
        <w:rPr>
          <w:rFonts w:ascii="Times New Roman" w:cs="Times New Roman" w:eastAsia="Times New Roman" w:hAnsi="Times New Roman"/>
          <w:sz w:val="18"/>
          <w:szCs w:val="18"/>
          <w:color w:val="0000EE"/>
        </w:rPr>
        <w:t xml:space="preserve">2015 </w:t>
      </w:r>
      <w:r>
        <w:rPr>
          <w:rFonts w:ascii="Times New Roman" w:cs="Times New Roman" w:eastAsia="Times New Roman" w:hAnsi="Times New Roman"/>
          <w:sz w:val="18"/>
          <w:szCs w:val="18"/>
          <w:color w:val="000000"/>
        </w:rPr>
        <w:t xml:space="preserve">ESPP, (iii) the </w:t>
      </w:r>
      <w:hyperlink r:id="rId18">
        <w:r>
          <w:rPr>
            <w:rFonts w:ascii="Times New Roman" w:cs="Times New Roman" w:eastAsia="Times New Roman" w:hAnsi="Times New Roman"/>
            <w:sz w:val="18"/>
            <w:szCs w:val="18"/>
            <w:u w:val="single" w:color="auto"/>
            <w:color w:val="0000EE"/>
          </w:rPr>
          <w:t>Registration Statement on Form S-8 (File No. 333-216575)</w:t>
        </w:r>
        <w:r>
          <w:rPr>
            <w:rFonts w:ascii="Times New Roman" w:cs="Times New Roman" w:eastAsia="Times New Roman" w:hAnsi="Times New Roman"/>
            <w:sz w:val="18"/>
            <w:szCs w:val="18"/>
            <w:u w:val="single" w:color="auto"/>
            <w:color w:val="000000"/>
          </w:rPr>
          <w:t xml:space="preserve"> </w:t>
        </w:r>
      </w:hyperlink>
      <w:r>
        <w:rPr>
          <w:rFonts w:ascii="Times New Roman" w:cs="Times New Roman" w:eastAsia="Times New Roman" w:hAnsi="Times New Roman"/>
          <w:sz w:val="18"/>
          <w:szCs w:val="18"/>
          <w:color w:val="000000"/>
        </w:rPr>
        <w:t xml:space="preserve">filed with the SEC on March 9, 2017 by the Registrant, relating to the 2015 ESPP, (iv) the </w:t>
      </w:r>
      <w:hyperlink r:id="rId19">
        <w:r>
          <w:rPr>
            <w:rFonts w:ascii="Times New Roman" w:cs="Times New Roman" w:eastAsia="Times New Roman" w:hAnsi="Times New Roman"/>
            <w:sz w:val="18"/>
            <w:szCs w:val="18"/>
            <w:u w:val="single" w:color="auto"/>
            <w:color w:val="0000EE"/>
          </w:rPr>
          <w:t>Registration Statement on Form S-8 (File No. 333-223131)</w:t>
        </w:r>
        <w:r>
          <w:rPr>
            <w:rFonts w:ascii="Times New Roman" w:cs="Times New Roman" w:eastAsia="Times New Roman" w:hAnsi="Times New Roman"/>
            <w:sz w:val="18"/>
            <w:szCs w:val="18"/>
            <w:u w:val="single" w:color="auto"/>
            <w:color w:val="000000"/>
          </w:rPr>
          <w:t xml:space="preserve"> </w:t>
        </w:r>
      </w:hyperlink>
      <w:r>
        <w:rPr>
          <w:rFonts w:ascii="Times New Roman" w:cs="Times New Roman" w:eastAsia="Times New Roman" w:hAnsi="Times New Roman"/>
          <w:sz w:val="18"/>
          <w:szCs w:val="18"/>
          <w:color w:val="000000"/>
        </w:rPr>
        <w:t xml:space="preserve">filed with the </w:t>
      </w:r>
      <w:hyperlink r:id="rId20">
        <w:r>
          <w:rPr>
            <w:rFonts w:ascii="Times New Roman" w:cs="Times New Roman" w:eastAsia="Times New Roman" w:hAnsi="Times New Roman"/>
            <w:sz w:val="18"/>
            <w:szCs w:val="18"/>
            <w:color w:val="000000"/>
          </w:rPr>
          <w:t xml:space="preserve">SEC on February 21, 2018 by the Registrant, relating to the 2015 ESPP, (v) the </w:t>
        </w:r>
        <w:r>
          <w:rPr>
            <w:rFonts w:ascii="Times New Roman" w:cs="Times New Roman" w:eastAsia="Times New Roman" w:hAnsi="Times New Roman"/>
            <w:sz w:val="18"/>
            <w:szCs w:val="18"/>
            <w:u w:val="single" w:color="auto"/>
            <w:color w:val="0000EE"/>
          </w:rPr>
          <w:t>Registration Statement on Form S-8 (File</w:t>
        </w:r>
      </w:hyperlink>
      <w:r>
        <w:rPr>
          <w:rFonts w:ascii="Times New Roman" w:cs="Times New Roman" w:eastAsia="Times New Roman" w:hAnsi="Times New Roman"/>
          <w:sz w:val="18"/>
          <w:szCs w:val="18"/>
          <w:color w:val="000000"/>
        </w:rPr>
        <w:t xml:space="preserve"> </w:t>
      </w:r>
      <w:hyperlink r:id="rId20">
        <w:r>
          <w:rPr>
            <w:rFonts w:ascii="Times New Roman" w:cs="Times New Roman" w:eastAsia="Times New Roman" w:hAnsi="Times New Roman"/>
            <w:sz w:val="18"/>
            <w:szCs w:val="18"/>
            <w:u w:val="single" w:color="auto"/>
            <w:color w:val="0000EE"/>
          </w:rPr>
          <w:t>No. 333-229885)</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filed with the SEC on February 26, 2019 by the Registrant, relating to the 2015 ESPP, (vi) the</w:t>
        </w:r>
      </w:hyperlink>
      <w:r>
        <w:rPr>
          <w:rFonts w:ascii="Times New Roman" w:cs="Times New Roman" w:eastAsia="Times New Roman" w:hAnsi="Times New Roman"/>
          <w:sz w:val="18"/>
          <w:szCs w:val="18"/>
          <w:color w:val="0000EE"/>
        </w:rPr>
        <w:t xml:space="preserve"> </w:t>
      </w:r>
      <w:hyperlink r:id="rId21">
        <w:r>
          <w:rPr>
            <w:rFonts w:ascii="Times New Roman" w:cs="Times New Roman" w:eastAsia="Times New Roman" w:hAnsi="Times New Roman"/>
            <w:sz w:val="18"/>
            <w:szCs w:val="18"/>
            <w:u w:val="single" w:color="auto"/>
            <w:color w:val="0000EE"/>
          </w:rPr>
          <w:t>Registration Statement on Form S-8 (File No. 333-236421)</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filed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with the SEC on February 13, 2020 by the Registrant,</w:t>
      </w:r>
      <w:r>
        <w:rPr>
          <w:rFonts w:ascii="Times New Roman" w:cs="Times New Roman" w:eastAsia="Times New Roman" w:hAnsi="Times New Roman"/>
          <w:sz w:val="18"/>
          <w:szCs w:val="18"/>
          <w:color w:val="0000EE"/>
        </w:rPr>
        <w:t xml:space="preserve"> </w:t>
      </w:r>
      <w:hyperlink r:id="rId22">
        <w:r>
          <w:rPr>
            <w:rFonts w:ascii="Times New Roman" w:cs="Times New Roman" w:eastAsia="Times New Roman" w:hAnsi="Times New Roman"/>
            <w:sz w:val="18"/>
            <w:szCs w:val="18"/>
            <w:color w:val="000000"/>
          </w:rPr>
          <w:t xml:space="preserve">relating to the 2015 ESPP, (vii) the </w:t>
        </w:r>
        <w:r>
          <w:rPr>
            <w:rFonts w:ascii="Times New Roman" w:cs="Times New Roman" w:eastAsia="Times New Roman" w:hAnsi="Times New Roman"/>
            <w:sz w:val="18"/>
            <w:szCs w:val="18"/>
            <w:u w:val="single" w:color="auto"/>
            <w:color w:val="0000EE"/>
          </w:rPr>
          <w:t>Registration Statement on Form S-8 (File No. 333-253215) filed with the SEC on</w:t>
        </w:r>
      </w:hyperlink>
      <w:r>
        <w:rPr>
          <w:rFonts w:ascii="Times New Roman" w:cs="Times New Roman" w:eastAsia="Times New Roman" w:hAnsi="Times New Roman"/>
          <w:sz w:val="18"/>
          <w:szCs w:val="18"/>
          <w:color w:val="000000"/>
        </w:rPr>
        <w:t xml:space="preserve"> </w:t>
      </w:r>
      <w:hyperlink r:id="rId23">
        <w:r>
          <w:rPr>
            <w:rFonts w:ascii="Times New Roman" w:cs="Times New Roman" w:eastAsia="Times New Roman" w:hAnsi="Times New Roman"/>
            <w:sz w:val="18"/>
            <w:szCs w:val="18"/>
            <w:u w:val="single" w:color="auto"/>
            <w:color w:val="0000EE"/>
          </w:rPr>
          <w:t>February 17, 2021</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the Registrant, relating to the 2015 ESPP, (viii) the</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Registration Statement on Form S-8 (File No.</w:t>
        </w:r>
      </w:hyperlink>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871220</wp:posOffset>
            </wp:positionH>
            <wp:positionV relativeFrom="paragraph">
              <wp:posOffset>-128905</wp:posOffset>
            </wp:positionV>
            <wp:extent cx="4088765" cy="2654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extLst>
                    </a:blip>
                    <a:srcRect/>
                    <a:stretch>
                      <a:fillRect/>
                    </a:stretch>
                  </pic:blipFill>
                  <pic:spPr bwMode="auto">
                    <a:xfrm>
                      <a:off x="0" y="0"/>
                      <a:ext cx="4088765" cy="265430"/>
                    </a:xfrm>
                    <a:prstGeom prst="rect">
                      <a:avLst/>
                    </a:prstGeom>
                    <a:noFill/>
                  </pic:spPr>
                </pic:pic>
              </a:graphicData>
            </a:graphic>
          </wp:anchor>
        </w:drawing>
      </w:r>
    </w:p>
    <w:p>
      <w:pPr>
        <w:ind w:left="60" w:right="159"/>
        <w:spacing w:after="0" w:line="253" w:lineRule="auto"/>
        <w:rPr>
          <w:rFonts w:ascii="Times New Roman" w:cs="Times New Roman" w:eastAsia="Times New Roman" w:hAnsi="Times New Roman"/>
          <w:sz w:val="18"/>
          <w:szCs w:val="18"/>
          <w:color w:val="0000EE"/>
        </w:rPr>
      </w:pPr>
      <w:hyperlink r:id="rId25">
        <w:r>
          <w:rPr>
            <w:rFonts w:ascii="Times New Roman" w:cs="Times New Roman" w:eastAsia="Times New Roman" w:hAnsi="Times New Roman"/>
            <w:sz w:val="18"/>
            <w:szCs w:val="18"/>
            <w:u w:val="single" w:color="auto"/>
            <w:color w:val="0000EE"/>
          </w:rPr>
          <w:t>333-262800) filed with the SEC on February 17, 2022</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the Registrant, relating to the 2015 ESPP, (ix) the</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Registration</w:t>
        </w:r>
      </w:hyperlink>
      <w:r>
        <w:rPr>
          <w:rFonts w:ascii="Times New Roman" w:cs="Times New Roman" w:eastAsia="Times New Roman" w:hAnsi="Times New Roman"/>
          <w:sz w:val="18"/>
          <w:szCs w:val="18"/>
          <w:color w:val="0000EE"/>
        </w:rPr>
        <w:t xml:space="preserve"> </w:t>
      </w:r>
      <w:hyperlink r:id="rId25">
        <w:r>
          <w:rPr>
            <w:rFonts w:ascii="Times New Roman" w:cs="Times New Roman" w:eastAsia="Times New Roman" w:hAnsi="Times New Roman"/>
            <w:sz w:val="18"/>
            <w:szCs w:val="18"/>
            <w:u w:val="single" w:color="auto"/>
            <w:color w:val="0000EE"/>
          </w:rPr>
          <w:t>Statement on Form S-8 (File No. 333-269844) filed with the SEC on February 17, 2023</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the Registrant, and (x) the</w:t>
        </w:r>
      </w:hyperlink>
      <w:r>
        <w:rPr>
          <w:rFonts w:ascii="Times New Roman" w:cs="Times New Roman" w:eastAsia="Times New Roman" w:hAnsi="Times New Roman"/>
          <w:sz w:val="18"/>
          <w:szCs w:val="18"/>
          <w:color w:val="0000EE"/>
        </w:rPr>
        <w:t xml:space="preserve"> </w:t>
      </w:r>
      <w:hyperlink r:id="rId26">
        <w:r>
          <w:rPr>
            <w:rFonts w:ascii="Times New Roman" w:cs="Times New Roman" w:eastAsia="Times New Roman" w:hAnsi="Times New Roman"/>
            <w:sz w:val="18"/>
            <w:szCs w:val="18"/>
            <w:u w:val="single" w:color="auto"/>
            <w:color w:val="0000EE"/>
          </w:rPr>
          <w:t>Registration Statement on Form S-8 (File No. 333-280405)</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highlight w:val="white"/>
        </w:rPr>
        <w:t>filed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highlight w:val="white"/>
        </w:rPr>
        <w:t>with the SEC on February 16, 2024,</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in each case, except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for “Item 8. Exhibits” with respect to which the Exhibit Index set forth below is incorporated herein by reference.</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4043045</wp:posOffset>
            </wp:positionH>
            <wp:positionV relativeFrom="paragraph">
              <wp:posOffset>-416560</wp:posOffset>
            </wp:positionV>
            <wp:extent cx="1363345" cy="128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a:extLst>
                        <a:ext uri="{28A0092B-C50C-407E-A947-70E740481C1C}"/>
                      </a:extLst>
                    </a:blip>
                    <a:srcRect/>
                    <a:stretch>
                      <a:fillRect/>
                    </a:stretch>
                  </pic:blipFill>
                  <pic:spPr bwMode="auto">
                    <a:xfrm>
                      <a:off x="0" y="0"/>
                      <a:ext cx="1363345" cy="128905"/>
                    </a:xfrm>
                    <a:prstGeom prst="rect">
                      <a:avLst/>
                    </a:prstGeom>
                    <a:noFill/>
                  </pic:spPr>
                </pic:pic>
              </a:graphicData>
            </a:graphic>
          </wp:anchor>
        </w:drawing>
      </w:r>
    </w:p>
    <w:p>
      <w:pPr>
        <w:spacing w:after="0" w:line="165" w:lineRule="exact"/>
        <w:rPr>
          <w:rFonts w:ascii="Times New Roman" w:cs="Times New Roman" w:eastAsia="Times New Roman" w:hAnsi="Times New Roman"/>
          <w:sz w:val="18"/>
          <w:szCs w:val="18"/>
          <w:color w:val="0000EE"/>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317" w:lineRule="exact"/>
        <w:rPr>
          <w:rFonts w:ascii="Times New Roman" w:cs="Times New Roman" w:eastAsia="Times New Roman" w:hAnsi="Times New Roman"/>
          <w:sz w:val="18"/>
          <w:szCs w:val="18"/>
          <w:color w:val="0000EE"/>
        </w:rPr>
      </w:pPr>
    </w:p>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00" w:type="dxa"/>
            <w:vAlign w:val="bottom"/>
            <w:gridSpan w:val="6"/>
          </w:tcPr>
          <w:p>
            <w:pPr>
              <w:ind w:left="28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40" w:type="dxa"/>
            <w:vAlign w:val="bottom"/>
            <w:gridSpan w:val="1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540" w:type="dxa"/>
            <w:vAlign w:val="bottom"/>
            <w:tcBorders>
              <w:top w:val="single" w:sz="8" w:color="auto"/>
            </w:tcBorders>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Form</w:t>
            </w:r>
          </w:p>
        </w:tc>
        <w:tc>
          <w:tcPr>
            <w:tcW w:w="940" w:type="dxa"/>
            <w:vAlign w:val="bottom"/>
            <w:tcBorders>
              <w:top w:val="single" w:sz="8" w:color="auto"/>
            </w:tcBorders>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7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60" w:type="dxa"/>
            <w:vAlign w:val="bottom"/>
          </w:tcPr>
          <w:p>
            <w:pPr>
              <w:spacing w:after="0"/>
              <w:rPr>
                <w:sz w:val="15"/>
                <w:szCs w:val="15"/>
                <w:color w:val="auto"/>
              </w:rPr>
            </w:pP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40" w:type="dxa"/>
            <w:vAlign w:val="bottom"/>
            <w:gridSpan w:val="12"/>
            <w:vMerge w:val="continue"/>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8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6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14"/>
                <w:szCs w:val="14"/>
                <w:color w:val="auto"/>
              </w:rPr>
            </w:pPr>
          </w:p>
        </w:tc>
        <w:tc>
          <w:tcPr>
            <w:tcW w:w="4260" w:type="dxa"/>
            <w:vAlign w:val="bottom"/>
            <w:tcBorders>
              <w:top w:val="single" w:sz="8" w:color="auto"/>
              <w:bottom w:val="single" w:sz="8" w:color="0000EE"/>
            </w:tcBorders>
            <w:gridSpan w:val="12"/>
          </w:tcPr>
          <w:p>
            <w:pPr>
              <w:spacing w:after="0" w:line="169" w:lineRule="exact"/>
              <w:rPr>
                <w:rFonts w:ascii="Times New Roman" w:cs="Times New Roman" w:eastAsia="Times New Roman" w:hAnsi="Times New Roman"/>
                <w:sz w:val="18"/>
                <w:szCs w:val="18"/>
                <w:color w:val="0000EE"/>
                <w:w w:val="98"/>
              </w:rPr>
            </w:pPr>
            <w:hyperlink r:id="rId28">
              <w:r>
                <w:rPr>
                  <w:rFonts w:ascii="Times New Roman" w:cs="Times New Roman" w:eastAsia="Times New Roman" w:hAnsi="Times New Roman"/>
                  <w:sz w:val="18"/>
                  <w:szCs w:val="18"/>
                  <w:color w:val="0000EE"/>
                  <w:w w:val="98"/>
                </w:rPr>
                <w:t>Fifth Amended and Restated Certificate of Incorporation of</w:t>
              </w:r>
            </w:hyperlink>
          </w:p>
        </w:tc>
        <w:tc>
          <w:tcPr>
            <w:tcW w:w="12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10-Q</w:t>
            </w:r>
          </w:p>
        </w:tc>
        <w:tc>
          <w:tcPr>
            <w:tcW w:w="60" w:type="dxa"/>
            <w:vAlign w:val="bottom"/>
          </w:tcPr>
          <w:p>
            <w:pPr>
              <w:spacing w:after="0"/>
              <w:rPr>
                <w:sz w:val="14"/>
                <w:szCs w:val="14"/>
                <w:color w:val="auto"/>
              </w:rPr>
            </w:pPr>
          </w:p>
        </w:tc>
        <w:tc>
          <w:tcPr>
            <w:tcW w:w="90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001-37359</w:t>
            </w:r>
          </w:p>
        </w:tc>
        <w:tc>
          <w:tcPr>
            <w:tcW w:w="40" w:type="dxa"/>
            <w:vAlign w:val="bottom"/>
          </w:tcPr>
          <w:p>
            <w:pPr>
              <w:spacing w:after="0"/>
              <w:rPr>
                <w:sz w:val="14"/>
                <w:szCs w:val="14"/>
                <w:color w:val="auto"/>
              </w:rPr>
            </w:pPr>
          </w:p>
        </w:tc>
        <w:tc>
          <w:tcPr>
            <w:tcW w:w="76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3.1</w:t>
            </w:r>
          </w:p>
        </w:tc>
        <w:tc>
          <w:tcPr>
            <w:tcW w:w="60" w:type="dxa"/>
            <w:vAlign w:val="bottom"/>
          </w:tcPr>
          <w:p>
            <w:pPr>
              <w:spacing w:after="0"/>
              <w:rPr>
                <w:sz w:val="14"/>
                <w:szCs w:val="14"/>
                <w:color w:val="auto"/>
              </w:rPr>
            </w:pPr>
          </w:p>
        </w:tc>
        <w:tc>
          <w:tcPr>
            <w:tcW w:w="140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November 9, 2015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5"/>
              </w:rPr>
            </w:pPr>
            <w:hyperlink r:id="rId28">
              <w:r>
                <w:rPr>
                  <w:rFonts w:ascii="Times New Roman" w:cs="Times New Roman" w:eastAsia="Times New Roman" w:hAnsi="Times New Roman"/>
                  <w:sz w:val="18"/>
                  <w:szCs w:val="18"/>
                  <w:color w:val="0000EE"/>
                  <w:w w:val="95"/>
                </w:rPr>
                <w:t>the Registrant</w:t>
              </w:r>
            </w:hyperlink>
          </w:p>
        </w:tc>
        <w:tc>
          <w:tcPr>
            <w:tcW w:w="3540" w:type="dxa"/>
            <w:vAlign w:val="bottom"/>
            <w:gridSpan w:val="13"/>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24"/>
                <w:szCs w:val="24"/>
                <w:color w:val="auto"/>
              </w:rPr>
            </w:pPr>
          </w:p>
        </w:tc>
        <w:tc>
          <w:tcPr>
            <w:tcW w:w="4520" w:type="dxa"/>
            <w:vAlign w:val="bottom"/>
            <w:gridSpan w:val="14"/>
          </w:tcPr>
          <w:p>
            <w:pPr>
              <w:spacing w:after="0"/>
              <w:rPr>
                <w:rFonts w:ascii="Times New Roman" w:cs="Times New Roman" w:eastAsia="Times New Roman" w:hAnsi="Times New Roman"/>
                <w:sz w:val="18"/>
                <w:szCs w:val="18"/>
                <w:color w:val="0000EE"/>
              </w:rPr>
            </w:pPr>
            <w:hyperlink r:id="rId29">
              <w:r>
                <w:rPr>
                  <w:rFonts w:ascii="Times New Roman" w:cs="Times New Roman" w:eastAsia="Times New Roman" w:hAnsi="Times New Roman"/>
                  <w:sz w:val="18"/>
                  <w:szCs w:val="18"/>
                  <w:color w:val="0000EE"/>
                </w:rPr>
                <w:t>Amended and Restated Bylaws, as amended on November</w:t>
              </w:r>
            </w:hyperlink>
          </w:p>
        </w:tc>
        <w:tc>
          <w:tcPr>
            <w:tcW w:w="5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001-37359</w:t>
            </w:r>
          </w:p>
        </w:tc>
        <w:tc>
          <w:tcPr>
            <w:tcW w:w="4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6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6, 2022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0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7"/>
              </w:rPr>
            </w:pPr>
            <w:hyperlink r:id="rId29">
              <w:r>
                <w:rPr>
                  <w:rFonts w:ascii="Times New Roman" w:cs="Times New Roman" w:eastAsia="Times New Roman" w:hAnsi="Times New Roman"/>
                  <w:sz w:val="18"/>
                  <w:szCs w:val="18"/>
                  <w:color w:val="0000EE"/>
                  <w:w w:val="97"/>
                </w:rPr>
                <w:t>30, 2022, of the Registrant</w:t>
              </w:r>
            </w:hyperlink>
          </w:p>
        </w:tc>
        <w:tc>
          <w:tcPr>
            <w:tcW w:w="2280" w:type="dxa"/>
            <w:vAlign w:val="bottom"/>
            <w:tcBorders>
              <w:top w:val="single" w:sz="8" w:color="0000EE"/>
            </w:tcBorders>
            <w:gridSpan w:val="5"/>
          </w:tcPr>
          <w:p>
            <w:pPr>
              <w:spacing w:after="0"/>
              <w:rPr>
                <w:sz w:val="17"/>
                <w:szCs w:val="17"/>
                <w:color w:val="auto"/>
              </w:rPr>
            </w:pPr>
          </w:p>
        </w:tc>
        <w:tc>
          <w:tcPr>
            <w:tcW w:w="340" w:type="dxa"/>
            <w:vAlign w:val="bottom"/>
            <w:gridSpan w:val="4"/>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Pr>
          <w:p>
            <w:pPr>
              <w:spacing w:after="0"/>
              <w:rPr>
                <w:sz w:val="24"/>
                <w:szCs w:val="24"/>
                <w:color w:val="auto"/>
              </w:rPr>
            </w:pPr>
          </w:p>
        </w:tc>
        <w:tc>
          <w:tcPr>
            <w:tcW w:w="266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8"/>
              </w:rPr>
            </w:pPr>
            <w:hyperlink r:id="rId30">
              <w:r>
                <w:rPr>
                  <w:rFonts w:ascii="Times New Roman" w:cs="Times New Roman" w:eastAsia="Times New Roman" w:hAnsi="Times New Roman"/>
                  <w:sz w:val="18"/>
                  <w:szCs w:val="18"/>
                  <w:color w:val="0000EE"/>
                  <w:w w:val="98"/>
                </w:rPr>
                <w:t>Specimen Common Stock Certificate</w:t>
              </w:r>
            </w:hyperlink>
          </w:p>
        </w:tc>
        <w:tc>
          <w:tcPr>
            <w:tcW w:w="1860" w:type="dxa"/>
            <w:vAlign w:val="bottom"/>
            <w:gridSpan w:val="7"/>
          </w:tcPr>
          <w:p>
            <w:pPr>
              <w:spacing w:after="0"/>
              <w:rPr>
                <w:sz w:val="24"/>
                <w:szCs w:val="24"/>
                <w:color w:val="auto"/>
              </w:rPr>
            </w:pPr>
          </w:p>
        </w:tc>
        <w:tc>
          <w:tcPr>
            <w:tcW w:w="5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rPr>
              <w:t>S-1/A</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333-202938</w:t>
            </w:r>
          </w:p>
        </w:tc>
        <w:tc>
          <w:tcPr>
            <w:tcW w:w="4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6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20, 2015</w:t>
            </w:r>
          </w:p>
        </w:tc>
        <w:tc>
          <w:tcPr>
            <w:tcW w:w="0" w:type="dxa"/>
            <w:vAlign w:val="bottom"/>
          </w:tcPr>
          <w:p>
            <w:pPr>
              <w:spacing w:after="0"/>
              <w:rPr>
                <w:sz w:val="1"/>
                <w:szCs w:val="1"/>
                <w:color w:val="auto"/>
              </w:rPr>
            </w:pPr>
          </w:p>
        </w:tc>
      </w:tr>
      <w:tr>
        <w:trPr>
          <w:trHeight w:val="304"/>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tcPr>
          <w:p>
            <w:pPr>
              <w:spacing w:after="0"/>
              <w:rPr>
                <w:sz w:val="24"/>
                <w:szCs w:val="24"/>
                <w:color w:val="auto"/>
              </w:rPr>
            </w:pPr>
          </w:p>
        </w:tc>
        <w:tc>
          <w:tcPr>
            <w:tcW w:w="426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8"/>
              </w:rPr>
              <w:t>Opinion of Goodwin Procter LLP, counsel to the Registrant</w:t>
            </w:r>
          </w:p>
        </w:tc>
        <w:tc>
          <w:tcPr>
            <w:tcW w:w="260" w:type="dxa"/>
            <w:vAlign w:val="bottom"/>
            <w:gridSpan w:val="2"/>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04"/>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23.1</w:t>
            </w:r>
          </w:p>
        </w:tc>
        <w:tc>
          <w:tcPr>
            <w:tcW w:w="80" w:type="dxa"/>
            <w:vAlign w:val="bottom"/>
          </w:tcPr>
          <w:p>
            <w:pPr>
              <w:spacing w:after="0"/>
              <w:rPr>
                <w:sz w:val="24"/>
                <w:szCs w:val="24"/>
                <w:color w:val="auto"/>
              </w:rPr>
            </w:pPr>
          </w:p>
        </w:tc>
        <w:tc>
          <w:tcPr>
            <w:tcW w:w="452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Consent of Ernst &amp; Young LLP, an independent registered</w:t>
            </w: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public accounting firm</w:t>
            </w:r>
          </w:p>
        </w:tc>
        <w:tc>
          <w:tcPr>
            <w:tcW w:w="2540" w:type="dxa"/>
            <w:vAlign w:val="bottom"/>
            <w:tcBorders>
              <w:top w:val="single" w:sz="8" w:color="0000EE"/>
            </w:tcBorders>
            <w:gridSpan w:val="5"/>
          </w:tcPr>
          <w:p>
            <w:pPr>
              <w:spacing w:after="0"/>
              <w:rPr>
                <w:sz w:val="17"/>
                <w:szCs w:val="17"/>
                <w:color w:val="auto"/>
              </w:rPr>
            </w:pPr>
          </w:p>
        </w:tc>
        <w:tc>
          <w:tcPr>
            <w:tcW w:w="360" w:type="dxa"/>
            <w:vAlign w:val="bottom"/>
            <w:gridSpan w:val="5"/>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23.2</w:t>
            </w:r>
          </w:p>
        </w:tc>
        <w:tc>
          <w:tcPr>
            <w:tcW w:w="80" w:type="dxa"/>
            <w:vAlign w:val="bottom"/>
          </w:tcPr>
          <w:p>
            <w:pPr>
              <w:spacing w:after="0"/>
              <w:rPr>
                <w:sz w:val="24"/>
                <w:szCs w:val="24"/>
                <w:color w:val="auto"/>
              </w:rPr>
            </w:pPr>
          </w:p>
        </w:tc>
        <w:tc>
          <w:tcPr>
            <w:tcW w:w="422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8"/>
              </w:rPr>
              <w:t>Consent of Goodwin Procter LLP (included in Exhibit 5.1)</w:t>
            </w:r>
          </w:p>
        </w:tc>
        <w:tc>
          <w:tcPr>
            <w:tcW w:w="300" w:type="dxa"/>
            <w:vAlign w:val="bottom"/>
            <w:gridSpan w:val="3"/>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04"/>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24.1</w:t>
            </w:r>
          </w:p>
        </w:tc>
        <w:tc>
          <w:tcPr>
            <w:tcW w:w="80" w:type="dxa"/>
            <w:vAlign w:val="bottom"/>
          </w:tcPr>
          <w:p>
            <w:pPr>
              <w:spacing w:after="0"/>
              <w:rPr>
                <w:sz w:val="24"/>
                <w:szCs w:val="24"/>
                <w:color w:val="auto"/>
              </w:rPr>
            </w:pPr>
          </w:p>
        </w:tc>
        <w:tc>
          <w:tcPr>
            <w:tcW w:w="414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8"/>
              </w:rPr>
              <w:t>Power of attorney (included on the signature pages of this</w:t>
            </w:r>
          </w:p>
        </w:tc>
        <w:tc>
          <w:tcPr>
            <w:tcW w:w="380" w:type="dxa"/>
            <w:vAlign w:val="bottom"/>
            <w:gridSpan w:val="6"/>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52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registration statement)</w:t>
            </w: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gridSpan w:val="2"/>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1900" w:type="dxa"/>
            <w:vAlign w:val="bottom"/>
            <w:gridSpan w:val="8"/>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99.1</w:t>
            </w:r>
          </w:p>
        </w:tc>
        <w:tc>
          <w:tcPr>
            <w:tcW w:w="80" w:type="dxa"/>
            <w:vAlign w:val="bottom"/>
          </w:tcPr>
          <w:p>
            <w:pPr>
              <w:spacing w:after="0"/>
              <w:rPr>
                <w:sz w:val="24"/>
                <w:szCs w:val="24"/>
                <w:color w:val="auto"/>
              </w:rPr>
            </w:pPr>
          </w:p>
        </w:tc>
        <w:tc>
          <w:tcPr>
            <w:tcW w:w="4520" w:type="dxa"/>
            <w:vAlign w:val="bottom"/>
            <w:gridSpan w:val="14"/>
          </w:tcPr>
          <w:p>
            <w:pPr>
              <w:spacing w:after="0"/>
              <w:rPr>
                <w:rFonts w:ascii="Times New Roman" w:cs="Times New Roman" w:eastAsia="Times New Roman" w:hAnsi="Times New Roman"/>
                <w:sz w:val="18"/>
                <w:szCs w:val="18"/>
                <w:color w:val="0000EE"/>
              </w:rPr>
            </w:pPr>
            <w:hyperlink r:id="rId31">
              <w:r>
                <w:rPr>
                  <w:rFonts w:ascii="Times New Roman" w:cs="Times New Roman" w:eastAsia="Times New Roman" w:hAnsi="Times New Roman"/>
                  <w:sz w:val="18"/>
                  <w:szCs w:val="18"/>
                  <w:color w:val="0000EE"/>
                </w:rPr>
                <w:t>2015 Employee Stock Purchase Plan</w:t>
              </w:r>
            </w:hyperlink>
          </w:p>
        </w:tc>
        <w:tc>
          <w:tcPr>
            <w:tcW w:w="5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7"/>
              </w:rPr>
              <w:t>10-K</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001-37359</w:t>
            </w:r>
          </w:p>
        </w:tc>
        <w:tc>
          <w:tcPr>
            <w:tcW w:w="4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10.3</w:t>
            </w:r>
          </w:p>
        </w:tc>
        <w:tc>
          <w:tcPr>
            <w:tcW w:w="6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13, 2020</w:t>
            </w:r>
          </w:p>
        </w:tc>
        <w:tc>
          <w:tcPr>
            <w:tcW w:w="0" w:type="dxa"/>
            <w:vAlign w:val="bottom"/>
          </w:tcPr>
          <w:p>
            <w:pPr>
              <w:spacing w:after="0"/>
              <w:rPr>
                <w:sz w:val="1"/>
                <w:szCs w:val="1"/>
                <w:color w:val="auto"/>
              </w:rPr>
            </w:pPr>
          </w:p>
        </w:tc>
      </w:tr>
      <w:tr>
        <w:trPr>
          <w:trHeight w:val="304"/>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107</w:t>
            </w:r>
          </w:p>
        </w:tc>
        <w:tc>
          <w:tcPr>
            <w:tcW w:w="80" w:type="dxa"/>
            <w:vAlign w:val="bottom"/>
          </w:tcPr>
          <w:p>
            <w:pPr>
              <w:spacing w:after="0"/>
              <w:rPr>
                <w:sz w:val="24"/>
                <w:szCs w:val="24"/>
                <w:color w:val="auto"/>
              </w:rPr>
            </w:pPr>
          </w:p>
        </w:tc>
        <w:tc>
          <w:tcPr>
            <w:tcW w:w="262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rPr>
              <w:t>Filing Fee Exhibit</w:t>
            </w:r>
          </w:p>
        </w:tc>
        <w:tc>
          <w:tcPr>
            <w:tcW w:w="1900" w:type="dxa"/>
            <w:vAlign w:val="bottom"/>
            <w:gridSpan w:val="8"/>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171450</wp:posOffset>
            </wp:positionV>
            <wp:extent cx="141414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2">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272" w:lineRule="exact"/>
        <w:rPr>
          <w:sz w:val="20"/>
          <w:szCs w:val="20"/>
          <w:color w:val="auto"/>
        </w:rPr>
      </w:pPr>
    </w:p>
    <w:p>
      <w:pPr>
        <w:ind w:left="220"/>
        <w:spacing w:after="0"/>
        <w:tabs>
          <w:tab w:leader="none" w:pos="420" w:val="left"/>
        </w:tabs>
        <w:rPr>
          <w:sz w:val="20"/>
          <w:szCs w:val="20"/>
          <w:color w:val="auto"/>
        </w:rPr>
      </w:pPr>
      <w:r>
        <w:rPr>
          <w:rFonts w:ascii="Times New Roman" w:cs="Times New Roman" w:eastAsia="Times New Roman" w:hAnsi="Times New Roman"/>
          <w:sz w:val="18"/>
          <w:szCs w:val="18"/>
          <w:color w:val="auto"/>
        </w:rPr>
        <w:t>*</w:t>
        <w:tab/>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497205</wp:posOffset>
            </wp:positionV>
            <wp:extent cx="565785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left="60" w:right="279" w:firstLine="648"/>
        <w:spacing w:after="0" w:line="261"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Cambridge, Commonwealth of Massachusetts, on this 13th day of February, 2025.</w:t>
      </w:r>
    </w:p>
    <w:p>
      <w:pPr>
        <w:spacing w:after="0" w:line="18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BLUEPRINT MEDICINES CORPORATION</w:t>
      </w:r>
    </w:p>
    <w:p>
      <w:pPr>
        <w:spacing w:after="0" w:line="200" w:lineRule="exact"/>
        <w:rPr>
          <w:sz w:val="20"/>
          <w:szCs w:val="20"/>
          <w:color w:val="auto"/>
        </w:rPr>
      </w:pPr>
    </w:p>
    <w:p>
      <w:pPr>
        <w:spacing w:after="0" w:line="24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Kathryn Haviland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4043045</wp:posOffset>
            </wp:positionH>
            <wp:positionV relativeFrom="paragraph">
              <wp:posOffset>-7620</wp:posOffset>
            </wp:positionV>
            <wp:extent cx="14655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4">
                      <a:extLst>
                        <a:ext uri="{28A0092B-C50C-407E-A947-70E740481C1C}"/>
                      </a:extLst>
                    </a:blip>
                    <a:srcRect/>
                    <a:stretch>
                      <a:fillRect/>
                    </a:stretch>
                  </pic:blipFill>
                  <pic:spPr bwMode="auto">
                    <a:xfrm>
                      <a:off x="0" y="0"/>
                      <a:ext cx="1465580" cy="8890"/>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Kathryn Haviland</w:t>
      </w:r>
    </w:p>
    <w:p>
      <w:pPr>
        <w:spacing w:after="0" w:line="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POWER OF ATTORNEY AND SIGNATURES</w:t>
      </w:r>
    </w:p>
    <w:p>
      <w:pPr>
        <w:spacing w:after="0" w:line="121"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We, the undersigned officers and directors of Blueprint Medicines Corporation, hereby severally constitute and appoint Kathryn Haviland and Michael Landsittel, and each of them singly, our true and lawful attorneys with full power to any of them, and to each of them singly, to sign for us and in our names in the capacities indicated below the Registration Statement on Form S-8 filed herewith and any and all amendments to said Registration Statement, and generally to do all such things in our name and on our behalf in our capacities as officers and directors to enable Blueprint Medicines Corporation to comply with the provisions of the Securities Act of 1933, as amended, and all requirements of the Securities and Exchange Commission, hereby ratifying and confirming our signatures as they may be signed by our said attorneys, or any of them, to said registration statement and any and all amendments thereto.</w:t>
      </w:r>
    </w:p>
    <w:p>
      <w:pPr>
        <w:spacing w:after="0" w:line="84" w:lineRule="exact"/>
        <w:rPr>
          <w:sz w:val="20"/>
          <w:szCs w:val="20"/>
          <w:color w:val="auto"/>
        </w:rPr>
      </w:pPr>
    </w:p>
    <w:p>
      <w:pPr>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persons in the capacities and on the dates indicated.</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060" w:type="dxa"/>
            <w:vAlign w:val="bottom"/>
            <w:tcBorders>
              <w:bottom w:val="single" w:sz="8" w:color="auto"/>
            </w:tcBorders>
          </w:tcPr>
          <w:p>
            <w:pPr>
              <w:ind w:left="122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240" w:type="dxa"/>
            <w:vAlign w:val="bottom"/>
          </w:tcPr>
          <w:p>
            <w:pPr>
              <w:spacing w:after="0"/>
              <w:rPr>
                <w:sz w:val="15"/>
                <w:szCs w:val="15"/>
                <w:color w:val="auto"/>
              </w:rPr>
            </w:pPr>
          </w:p>
        </w:tc>
        <w:tc>
          <w:tcPr>
            <w:tcW w:w="3640" w:type="dxa"/>
            <w:vAlign w:val="bottom"/>
            <w:tcBorders>
              <w:bottom w:val="single" w:sz="8" w:color="auto"/>
            </w:tcBorders>
          </w:tcPr>
          <w:p>
            <w:pPr>
              <w:ind w:left="166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40" w:type="dxa"/>
            <w:vAlign w:val="bottom"/>
          </w:tcPr>
          <w:p>
            <w:pPr>
              <w:spacing w:after="0"/>
              <w:rPr>
                <w:sz w:val="15"/>
                <w:szCs w:val="15"/>
                <w:color w:val="auto"/>
              </w:rPr>
            </w:pP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304"/>
        </w:trPr>
        <w:tc>
          <w:tcPr>
            <w:tcW w:w="20" w:type="dxa"/>
            <w:vAlign w:val="bottom"/>
          </w:tcPr>
          <w:p>
            <w:pPr>
              <w:spacing w:after="0"/>
              <w:rPr>
                <w:sz w:val="24"/>
                <w:szCs w:val="24"/>
                <w:color w:val="auto"/>
              </w:rPr>
            </w:pPr>
          </w:p>
        </w:tc>
        <w:tc>
          <w:tcPr>
            <w:tcW w:w="3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Kathryn Haviland</w:t>
            </w:r>
          </w:p>
        </w:tc>
        <w:tc>
          <w:tcPr>
            <w:tcW w:w="41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13, 2025</w:t>
            </w:r>
          </w:p>
        </w:tc>
      </w:tr>
      <w:tr>
        <w:trPr>
          <w:trHeight w:val="228"/>
        </w:trPr>
        <w:tc>
          <w:tcPr>
            <w:tcW w:w="20" w:type="dxa"/>
            <w:vAlign w:val="bottom"/>
          </w:tcPr>
          <w:p>
            <w:pPr>
              <w:spacing w:after="0"/>
              <w:rPr>
                <w:sz w:val="19"/>
                <w:szCs w:val="19"/>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Kathryn Haviland</w:t>
            </w:r>
          </w:p>
        </w:tc>
        <w:tc>
          <w:tcPr>
            <w:tcW w:w="4120" w:type="dxa"/>
            <w:vAlign w:val="bottom"/>
            <w:gridSpan w:val="3"/>
          </w:tcPr>
          <w:p>
            <w:pPr>
              <w:ind w:left="2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1720" w:type="dxa"/>
            <w:vAlign w:val="bottom"/>
          </w:tcPr>
          <w:p>
            <w:pPr>
              <w:spacing w:after="0"/>
              <w:rPr>
                <w:sz w:val="19"/>
                <w:szCs w:val="19"/>
                <w:color w:val="auto"/>
              </w:rPr>
            </w:pPr>
          </w:p>
        </w:tc>
      </w:tr>
      <w:tr>
        <w:trPr>
          <w:trHeight w:val="292"/>
        </w:trPr>
        <w:tc>
          <w:tcPr>
            <w:tcW w:w="20" w:type="dxa"/>
            <w:vAlign w:val="bottom"/>
          </w:tcPr>
          <w:p>
            <w:pPr>
              <w:spacing w:after="0"/>
              <w:rPr>
                <w:sz w:val="24"/>
                <w:szCs w:val="24"/>
                <w:color w:val="auto"/>
              </w:rPr>
            </w:pPr>
          </w:p>
        </w:tc>
        <w:tc>
          <w:tcPr>
            <w:tcW w:w="3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Landsittel</w:t>
            </w:r>
          </w:p>
        </w:tc>
        <w:tc>
          <w:tcPr>
            <w:tcW w:w="41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Chief Financial Officer</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13, 2025</w:t>
            </w:r>
          </w:p>
        </w:tc>
      </w:tr>
      <w:tr>
        <w:trPr>
          <w:trHeight w:val="228"/>
        </w:trPr>
        <w:tc>
          <w:tcPr>
            <w:tcW w:w="20" w:type="dxa"/>
            <w:vAlign w:val="bottom"/>
          </w:tcPr>
          <w:p>
            <w:pPr>
              <w:spacing w:after="0"/>
              <w:rPr>
                <w:sz w:val="19"/>
                <w:szCs w:val="19"/>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Michael Landsittel</w:t>
            </w:r>
          </w:p>
        </w:tc>
        <w:tc>
          <w:tcPr>
            <w:tcW w:w="4120" w:type="dxa"/>
            <w:vAlign w:val="bottom"/>
            <w:gridSpan w:val="3"/>
          </w:tcPr>
          <w:p>
            <w:pPr>
              <w:ind w:left="2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c>
          <w:tcPr>
            <w:tcW w:w="1720" w:type="dxa"/>
            <w:vAlign w:val="bottom"/>
          </w:tcPr>
          <w:p>
            <w:pPr>
              <w:spacing w:after="0"/>
              <w:rPr>
                <w:sz w:val="19"/>
                <w:szCs w:val="19"/>
                <w:color w:val="auto"/>
              </w:rPr>
            </w:pPr>
          </w:p>
        </w:tc>
      </w:tr>
      <w:tr>
        <w:trPr>
          <w:trHeight w:val="346"/>
        </w:trPr>
        <w:tc>
          <w:tcPr>
            <w:tcW w:w="20" w:type="dxa"/>
            <w:vAlign w:val="bottom"/>
          </w:tcPr>
          <w:p>
            <w:pPr>
              <w:spacing w:after="0"/>
              <w:rPr>
                <w:sz w:val="24"/>
                <w:szCs w:val="24"/>
                <w:color w:val="auto"/>
              </w:rPr>
            </w:pPr>
          </w:p>
        </w:tc>
        <w:tc>
          <w:tcPr>
            <w:tcW w:w="3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Ariel Hurley</w:t>
            </w:r>
          </w:p>
        </w:tc>
        <w:tc>
          <w:tcPr>
            <w:tcW w:w="41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Vice President, Finance and Controller</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13, 2025</w:t>
            </w:r>
          </w:p>
        </w:tc>
      </w:tr>
      <w:tr>
        <w:trPr>
          <w:trHeight w:val="228"/>
        </w:trPr>
        <w:tc>
          <w:tcPr>
            <w:tcW w:w="20" w:type="dxa"/>
            <w:vAlign w:val="bottom"/>
          </w:tcPr>
          <w:p>
            <w:pPr>
              <w:spacing w:after="0"/>
              <w:rPr>
                <w:sz w:val="19"/>
                <w:szCs w:val="19"/>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Ariel Hurley</w:t>
            </w:r>
          </w:p>
        </w:tc>
        <w:tc>
          <w:tcPr>
            <w:tcW w:w="4120" w:type="dxa"/>
            <w:vAlign w:val="bottom"/>
            <w:gridSpan w:val="3"/>
          </w:tcPr>
          <w:p>
            <w:pPr>
              <w:ind w:left="220"/>
              <w:spacing w:after="0"/>
              <w:rPr>
                <w:sz w:val="20"/>
                <w:szCs w:val="20"/>
                <w:color w:val="auto"/>
              </w:rPr>
            </w:pPr>
            <w:r>
              <w:rPr>
                <w:rFonts w:ascii="Times New Roman" w:cs="Times New Roman" w:eastAsia="Times New Roman" w:hAnsi="Times New Roman"/>
                <w:sz w:val="18"/>
                <w:szCs w:val="18"/>
                <w:i w:val="1"/>
                <w:iCs w:val="1"/>
                <w:color w:val="auto"/>
              </w:rPr>
              <w:t>(Principal Accounting Officer)</w:t>
            </w:r>
          </w:p>
        </w:tc>
        <w:tc>
          <w:tcPr>
            <w:tcW w:w="1720" w:type="dxa"/>
            <w:vAlign w:val="bottom"/>
          </w:tcPr>
          <w:p>
            <w:pPr>
              <w:spacing w:after="0"/>
              <w:rPr>
                <w:sz w:val="19"/>
                <w:szCs w:val="19"/>
                <w:color w:val="auto"/>
              </w:rPr>
            </w:pPr>
          </w:p>
        </w:tc>
      </w:tr>
      <w:tr>
        <w:trPr>
          <w:trHeight w:val="292"/>
        </w:trPr>
        <w:tc>
          <w:tcPr>
            <w:tcW w:w="20" w:type="dxa"/>
            <w:vAlign w:val="bottom"/>
          </w:tcPr>
          <w:p>
            <w:pPr>
              <w:spacing w:after="0"/>
              <w:rPr>
                <w:sz w:val="24"/>
                <w:szCs w:val="24"/>
                <w:color w:val="auto"/>
              </w:rPr>
            </w:pPr>
          </w:p>
        </w:tc>
        <w:tc>
          <w:tcPr>
            <w:tcW w:w="3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Jeffery W. Albers</w:t>
            </w:r>
          </w:p>
        </w:tc>
        <w:tc>
          <w:tcPr>
            <w:tcW w:w="41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Chairman of the Board</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13, 2025</w:t>
            </w:r>
          </w:p>
        </w:tc>
      </w:tr>
      <w:tr>
        <w:trPr>
          <w:trHeight w:val="228"/>
        </w:trPr>
        <w:tc>
          <w:tcPr>
            <w:tcW w:w="20" w:type="dxa"/>
            <w:vAlign w:val="bottom"/>
          </w:tcPr>
          <w:p>
            <w:pPr>
              <w:spacing w:after="0"/>
              <w:rPr>
                <w:sz w:val="19"/>
                <w:szCs w:val="19"/>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Daniel S. Lynch</w:t>
            </w:r>
          </w:p>
        </w:tc>
        <w:tc>
          <w:tcPr>
            <w:tcW w:w="24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92"/>
        </w:trPr>
        <w:tc>
          <w:tcPr>
            <w:tcW w:w="20" w:type="dxa"/>
            <w:vAlign w:val="bottom"/>
          </w:tcPr>
          <w:p>
            <w:pPr>
              <w:spacing w:after="0"/>
              <w:rPr>
                <w:sz w:val="24"/>
                <w:szCs w:val="24"/>
                <w:color w:val="auto"/>
              </w:rPr>
            </w:pPr>
          </w:p>
        </w:tc>
        <w:tc>
          <w:tcPr>
            <w:tcW w:w="3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Daniella Beckman</w:t>
            </w:r>
          </w:p>
        </w:tc>
        <w:tc>
          <w:tcPr>
            <w:tcW w:w="41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13, 2025</w:t>
            </w:r>
          </w:p>
        </w:tc>
      </w:tr>
      <w:tr>
        <w:trPr>
          <w:trHeight w:val="228"/>
        </w:trPr>
        <w:tc>
          <w:tcPr>
            <w:tcW w:w="20" w:type="dxa"/>
            <w:vAlign w:val="bottom"/>
          </w:tcPr>
          <w:p>
            <w:pPr>
              <w:spacing w:after="0"/>
              <w:rPr>
                <w:sz w:val="19"/>
                <w:szCs w:val="19"/>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Daniella Beckman</w:t>
            </w:r>
          </w:p>
        </w:tc>
        <w:tc>
          <w:tcPr>
            <w:tcW w:w="24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92"/>
        </w:trPr>
        <w:tc>
          <w:tcPr>
            <w:tcW w:w="20" w:type="dxa"/>
            <w:vAlign w:val="bottom"/>
          </w:tcPr>
          <w:p>
            <w:pPr>
              <w:spacing w:after="0"/>
              <w:rPr>
                <w:sz w:val="24"/>
                <w:szCs w:val="24"/>
                <w:color w:val="auto"/>
              </w:rPr>
            </w:pPr>
          </w:p>
        </w:tc>
        <w:tc>
          <w:tcPr>
            <w:tcW w:w="3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Alexis Borisy</w:t>
            </w:r>
          </w:p>
        </w:tc>
        <w:tc>
          <w:tcPr>
            <w:tcW w:w="41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13, 2025</w:t>
            </w:r>
          </w:p>
        </w:tc>
      </w:tr>
      <w:tr>
        <w:trPr>
          <w:trHeight w:val="228"/>
        </w:trPr>
        <w:tc>
          <w:tcPr>
            <w:tcW w:w="20" w:type="dxa"/>
            <w:vAlign w:val="bottom"/>
          </w:tcPr>
          <w:p>
            <w:pPr>
              <w:spacing w:after="0"/>
              <w:rPr>
                <w:sz w:val="19"/>
                <w:szCs w:val="19"/>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Alexis Borisy</w:t>
            </w:r>
          </w:p>
        </w:tc>
        <w:tc>
          <w:tcPr>
            <w:tcW w:w="24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92"/>
        </w:trPr>
        <w:tc>
          <w:tcPr>
            <w:tcW w:w="20" w:type="dxa"/>
            <w:vAlign w:val="bottom"/>
          </w:tcPr>
          <w:p>
            <w:pPr>
              <w:spacing w:after="0"/>
              <w:rPr>
                <w:sz w:val="24"/>
                <w:szCs w:val="24"/>
                <w:color w:val="auto"/>
              </w:rPr>
            </w:pPr>
          </w:p>
        </w:tc>
        <w:tc>
          <w:tcPr>
            <w:tcW w:w="3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Lonnel Coats</w:t>
            </w:r>
          </w:p>
        </w:tc>
        <w:tc>
          <w:tcPr>
            <w:tcW w:w="41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13, 2025</w:t>
            </w:r>
          </w:p>
        </w:tc>
      </w:tr>
      <w:tr>
        <w:trPr>
          <w:trHeight w:val="228"/>
        </w:trPr>
        <w:tc>
          <w:tcPr>
            <w:tcW w:w="20" w:type="dxa"/>
            <w:vAlign w:val="bottom"/>
          </w:tcPr>
          <w:p>
            <w:pPr>
              <w:spacing w:after="0"/>
              <w:rPr>
                <w:sz w:val="19"/>
                <w:szCs w:val="19"/>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Lonnel Coats</w:t>
            </w:r>
          </w:p>
        </w:tc>
        <w:tc>
          <w:tcPr>
            <w:tcW w:w="24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92"/>
        </w:trPr>
        <w:tc>
          <w:tcPr>
            <w:tcW w:w="20" w:type="dxa"/>
            <w:vAlign w:val="bottom"/>
          </w:tcPr>
          <w:p>
            <w:pPr>
              <w:spacing w:after="0"/>
              <w:rPr>
                <w:sz w:val="24"/>
                <w:szCs w:val="24"/>
                <w:color w:val="auto"/>
              </w:rPr>
            </w:pPr>
          </w:p>
        </w:tc>
        <w:tc>
          <w:tcPr>
            <w:tcW w:w="3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Habib Dable</w:t>
            </w:r>
          </w:p>
        </w:tc>
        <w:tc>
          <w:tcPr>
            <w:tcW w:w="41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13, 2025</w:t>
            </w:r>
          </w:p>
        </w:tc>
      </w:tr>
      <w:tr>
        <w:trPr>
          <w:trHeight w:val="228"/>
        </w:trPr>
        <w:tc>
          <w:tcPr>
            <w:tcW w:w="20" w:type="dxa"/>
            <w:vAlign w:val="bottom"/>
          </w:tcPr>
          <w:p>
            <w:pPr>
              <w:spacing w:after="0"/>
              <w:rPr>
                <w:sz w:val="19"/>
                <w:szCs w:val="19"/>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Habib Dable</w:t>
            </w:r>
          </w:p>
        </w:tc>
        <w:tc>
          <w:tcPr>
            <w:tcW w:w="24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92"/>
        </w:trPr>
        <w:tc>
          <w:tcPr>
            <w:tcW w:w="20" w:type="dxa"/>
            <w:vAlign w:val="bottom"/>
          </w:tcPr>
          <w:p>
            <w:pPr>
              <w:spacing w:after="0"/>
              <w:rPr>
                <w:sz w:val="24"/>
                <w:szCs w:val="24"/>
                <w:color w:val="auto"/>
              </w:rPr>
            </w:pPr>
          </w:p>
        </w:tc>
        <w:tc>
          <w:tcPr>
            <w:tcW w:w="3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Mark Goldberg</w:t>
            </w:r>
          </w:p>
        </w:tc>
        <w:tc>
          <w:tcPr>
            <w:tcW w:w="41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13, 2025</w:t>
            </w:r>
          </w:p>
        </w:tc>
      </w:tr>
      <w:tr>
        <w:trPr>
          <w:trHeight w:val="228"/>
        </w:trPr>
        <w:tc>
          <w:tcPr>
            <w:tcW w:w="20" w:type="dxa"/>
            <w:vAlign w:val="bottom"/>
          </w:tcPr>
          <w:p>
            <w:pPr>
              <w:spacing w:after="0"/>
              <w:rPr>
                <w:sz w:val="19"/>
                <w:szCs w:val="19"/>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Mark Goldberg, M.D.</w:t>
            </w:r>
          </w:p>
        </w:tc>
        <w:tc>
          <w:tcPr>
            <w:tcW w:w="24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92"/>
        </w:trPr>
        <w:tc>
          <w:tcPr>
            <w:tcW w:w="20" w:type="dxa"/>
            <w:vAlign w:val="bottom"/>
          </w:tcPr>
          <w:p>
            <w:pPr>
              <w:spacing w:after="0"/>
              <w:rPr>
                <w:sz w:val="24"/>
                <w:szCs w:val="24"/>
                <w:color w:val="auto"/>
              </w:rPr>
            </w:pPr>
          </w:p>
        </w:tc>
        <w:tc>
          <w:tcPr>
            <w:tcW w:w="3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Nicholas Lyndon</w:t>
            </w:r>
          </w:p>
        </w:tc>
        <w:tc>
          <w:tcPr>
            <w:tcW w:w="41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13, 2025</w:t>
            </w:r>
          </w:p>
        </w:tc>
      </w:tr>
      <w:tr>
        <w:trPr>
          <w:trHeight w:val="228"/>
        </w:trPr>
        <w:tc>
          <w:tcPr>
            <w:tcW w:w="20" w:type="dxa"/>
            <w:vAlign w:val="bottom"/>
          </w:tcPr>
          <w:p>
            <w:pPr>
              <w:spacing w:after="0"/>
              <w:rPr>
                <w:sz w:val="19"/>
                <w:szCs w:val="19"/>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Nicholas Lyndon, Ph.D.</w:t>
            </w:r>
          </w:p>
        </w:tc>
        <w:tc>
          <w:tcPr>
            <w:tcW w:w="24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92"/>
        </w:trPr>
        <w:tc>
          <w:tcPr>
            <w:tcW w:w="20" w:type="dxa"/>
            <w:vAlign w:val="bottom"/>
          </w:tcPr>
          <w:p>
            <w:pPr>
              <w:spacing w:after="0"/>
              <w:rPr>
                <w:sz w:val="24"/>
                <w:szCs w:val="24"/>
                <w:color w:val="auto"/>
              </w:rPr>
            </w:pPr>
          </w:p>
        </w:tc>
        <w:tc>
          <w:tcPr>
            <w:tcW w:w="3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Lynn Seely</w:t>
            </w:r>
          </w:p>
        </w:tc>
        <w:tc>
          <w:tcPr>
            <w:tcW w:w="41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13, 2025</w:t>
            </w:r>
          </w:p>
        </w:tc>
      </w:tr>
      <w:tr>
        <w:trPr>
          <w:trHeight w:val="228"/>
        </w:trPr>
        <w:tc>
          <w:tcPr>
            <w:tcW w:w="20" w:type="dxa"/>
            <w:vAlign w:val="bottom"/>
          </w:tcPr>
          <w:p>
            <w:pPr>
              <w:spacing w:after="0"/>
              <w:rPr>
                <w:sz w:val="19"/>
                <w:szCs w:val="19"/>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Lynn Seely, M.D.</w:t>
            </w:r>
          </w:p>
        </w:tc>
        <w:tc>
          <w:tcPr>
            <w:tcW w:w="24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92"/>
        </w:trPr>
        <w:tc>
          <w:tcPr>
            <w:tcW w:w="20" w:type="dxa"/>
            <w:vAlign w:val="bottom"/>
          </w:tcPr>
          <w:p>
            <w:pPr>
              <w:spacing w:after="0"/>
              <w:rPr>
                <w:sz w:val="24"/>
                <w:szCs w:val="24"/>
                <w:color w:val="auto"/>
              </w:rPr>
            </w:pPr>
          </w:p>
        </w:tc>
        <w:tc>
          <w:tcPr>
            <w:tcW w:w="3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John Tsai</w:t>
            </w:r>
          </w:p>
        </w:tc>
        <w:tc>
          <w:tcPr>
            <w:tcW w:w="41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13, 2025</w:t>
            </w:r>
          </w:p>
        </w:tc>
      </w:tr>
      <w:tr>
        <w:trPr>
          <w:trHeight w:val="228"/>
        </w:trPr>
        <w:tc>
          <w:tcPr>
            <w:tcW w:w="20" w:type="dxa"/>
            <w:vAlign w:val="bottom"/>
          </w:tcPr>
          <w:p>
            <w:pPr>
              <w:spacing w:after="0"/>
              <w:rPr>
                <w:sz w:val="19"/>
                <w:szCs w:val="19"/>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John Tsai, M.D.</w:t>
            </w:r>
          </w:p>
        </w:tc>
        <w:tc>
          <w:tcPr>
            <w:tcW w:w="24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758"/>
        </w:trPr>
        <w:tc>
          <w:tcPr>
            <w:tcW w:w="2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3" w:name="page4"/>
    <w:bookmarkEnd w:id="3"/>
    <w:p>
      <w:pPr>
        <w:ind w:left="7960"/>
        <w:spacing w:after="0"/>
        <w:rPr>
          <w:sz w:val="20"/>
          <w:szCs w:val="20"/>
          <w:color w:val="auto"/>
        </w:rPr>
      </w:pPr>
      <w:r>
        <w:rPr>
          <w:rFonts w:ascii="Times New Roman" w:cs="Times New Roman" w:eastAsia="Times New Roman" w:hAnsi="Times New Roman"/>
          <w:sz w:val="17"/>
          <w:szCs w:val="17"/>
          <w:b w:val="1"/>
          <w:bCs w:val="1"/>
          <w:color w:val="auto"/>
        </w:rPr>
        <w:t>Exhibit 5.1</w:t>
      </w:r>
    </w:p>
    <w:p>
      <w:pPr>
        <w:spacing w:after="0" w:line="268"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Goodwin Procter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-119380</wp:posOffset>
            </wp:positionV>
            <wp:extent cx="1705610" cy="3771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5">
                      <a:extLst>
                        <a:ext uri="{28A0092B-C50C-407E-A947-70E740481C1C}"/>
                      </a:extLst>
                    </a:blip>
                    <a:srcRect/>
                    <a:stretch>
                      <a:fillRect/>
                    </a:stretch>
                  </pic:blipFill>
                  <pic:spPr bwMode="auto">
                    <a:xfrm>
                      <a:off x="0" y="0"/>
                      <a:ext cx="1705610" cy="377190"/>
                    </a:xfrm>
                    <a:prstGeom prst="rect">
                      <a:avLst/>
                    </a:prstGeom>
                    <a:noFill/>
                  </pic:spPr>
                </pic:pic>
              </a:graphicData>
            </a:graphic>
          </wp:anchor>
        </w:drawing>
      </w:r>
    </w:p>
    <w:p>
      <w:pPr>
        <w:spacing w:after="0" w:line="7"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100 Northern Avenue</w:t>
      </w:r>
    </w:p>
    <w:p>
      <w:pPr>
        <w:spacing w:after="0" w:line="9"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Boston, MA 02210</w:t>
      </w:r>
    </w:p>
    <w:p>
      <w:pPr>
        <w:spacing w:after="0" w:line="9"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goodwinlaw.com</w:t>
      </w:r>
    </w:p>
    <w:p>
      <w:pPr>
        <w:spacing w:after="0" w:line="9"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+1 617 570 1000</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February 13, 2025</w:t>
      </w:r>
    </w:p>
    <w:p>
      <w:pPr>
        <w:spacing w:after="0" w:line="2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Blueprint Medicines Corporation</w:t>
      </w:r>
    </w:p>
    <w:p>
      <w:pPr>
        <w:spacing w:after="0" w:line="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45 Sidney Street</w:t>
      </w:r>
    </w:p>
    <w:p>
      <w:pPr>
        <w:ind w:left="200"/>
        <w:spacing w:after="0"/>
        <w:rPr>
          <w:sz w:val="20"/>
          <w:szCs w:val="20"/>
          <w:color w:val="auto"/>
        </w:rPr>
      </w:pPr>
      <w:r>
        <w:rPr>
          <w:rFonts w:ascii="Times New Roman" w:cs="Times New Roman" w:eastAsia="Times New Roman" w:hAnsi="Times New Roman"/>
          <w:sz w:val="20"/>
          <w:szCs w:val="20"/>
          <w:color w:val="auto"/>
        </w:rPr>
        <w:t>Cambridge, MA 02139</w:t>
      </w:r>
    </w:p>
    <w:p>
      <w:pPr>
        <w:spacing w:after="0" w:line="200" w:lineRule="exact"/>
        <w:rPr>
          <w:sz w:val="20"/>
          <w:szCs w:val="20"/>
          <w:color w:val="auto"/>
        </w:rPr>
      </w:pPr>
    </w:p>
    <w:p>
      <w:pPr>
        <w:spacing w:after="0" w:line="237" w:lineRule="exact"/>
        <w:rPr>
          <w:sz w:val="20"/>
          <w:szCs w:val="20"/>
          <w:color w:val="auto"/>
        </w:rPr>
      </w:pPr>
    </w:p>
    <w:p>
      <w:pPr>
        <w:ind w:left="200"/>
        <w:spacing w:after="0"/>
        <w:tabs>
          <w:tab w:leader="none" w:pos="840" w:val="left"/>
        </w:tabs>
        <w:rPr>
          <w:sz w:val="20"/>
          <w:szCs w:val="20"/>
          <w:color w:val="auto"/>
        </w:rPr>
      </w:pPr>
      <w:r>
        <w:rPr>
          <w:rFonts w:ascii="Times New Roman" w:cs="Times New Roman" w:eastAsia="Times New Roman" w:hAnsi="Times New Roman"/>
          <w:sz w:val="20"/>
          <w:szCs w:val="20"/>
          <w:color w:val="auto"/>
        </w:rPr>
        <w:t>Re:</w:t>
      </w:r>
      <w:r>
        <w:rPr>
          <w:sz w:val="20"/>
          <w:szCs w:val="20"/>
          <w:color w:val="auto"/>
        </w:rPr>
        <w:tab/>
      </w:r>
      <w:r>
        <w:rPr>
          <w:rFonts w:ascii="Times New Roman" w:cs="Times New Roman" w:eastAsia="Times New Roman" w:hAnsi="Times New Roman"/>
          <w:sz w:val="20"/>
          <w:szCs w:val="20"/>
          <w:u w:val="single" w:color="auto"/>
          <w:color w:val="auto"/>
        </w:rPr>
        <w:t>Securities Being Registered under Registration Statement on Form S-8</w:t>
      </w:r>
    </w:p>
    <w:p>
      <w:pPr>
        <w:spacing w:after="0" w:line="229" w:lineRule="exact"/>
        <w:rPr>
          <w:sz w:val="20"/>
          <w:szCs w:val="20"/>
          <w:color w:val="auto"/>
        </w:rPr>
      </w:pPr>
    </w:p>
    <w:p>
      <w:pPr>
        <w:ind w:left="200" w:right="279"/>
        <w:spacing w:after="0" w:line="245" w:lineRule="auto"/>
        <w:rPr>
          <w:sz w:val="20"/>
          <w:szCs w:val="20"/>
          <w:color w:val="auto"/>
        </w:rPr>
      </w:pPr>
      <w:r>
        <w:rPr>
          <w:rFonts w:ascii="Times New Roman" w:cs="Times New Roman" w:eastAsia="Times New Roman" w:hAnsi="Times New Roman"/>
          <w:sz w:val="20"/>
          <w:szCs w:val="20"/>
          <w:color w:val="auto"/>
        </w:rPr>
        <w:t>We have acted as your counsel in connection with your filing of a Registration Statement on Form S-8 (the “Registration Statement”) pursuant to the Securities Act of 1933, as amended (the “Securities Act”), on or about the date hereof relating to an aggregate of 637,122 shares (the “Shares”) of Common Stock, par value $0.001 per share (“Common Stock”), of Blueprint Medicines Corporation, a Delaware corporation (the “Company”), that may be issued pursuant to the Company’s 2015 Employee Stock Purchase Plan (the “Plan”).</w:t>
      </w:r>
    </w:p>
    <w:p>
      <w:pPr>
        <w:spacing w:after="0" w:line="198" w:lineRule="exact"/>
        <w:rPr>
          <w:sz w:val="20"/>
          <w:szCs w:val="20"/>
          <w:color w:val="auto"/>
        </w:rPr>
      </w:pPr>
    </w:p>
    <w:p>
      <w:pPr>
        <w:ind w:left="200" w:right="279"/>
        <w:spacing w:after="0" w:line="249" w:lineRule="auto"/>
        <w:rPr>
          <w:sz w:val="20"/>
          <w:szCs w:val="20"/>
          <w:color w:val="auto"/>
        </w:rPr>
      </w:pPr>
      <w:r>
        <w:rPr>
          <w:rFonts w:ascii="Times New Roman" w:cs="Times New Roman" w:eastAsia="Times New Roman" w:hAnsi="Times New Roman"/>
          <w:sz w:val="20"/>
          <w:szCs w:val="20"/>
          <w:color w:val="auto"/>
        </w:rPr>
        <w:t>We have reviewed such documents and made such examination of law as we have deemed appropriate to give the opinion set forth below. We have relied, without independent verification, on certificates of public officials and, as to matters of fact material to the opinion set forth below, on certificates of officers of the Company.</w:t>
      </w:r>
    </w:p>
    <w:p>
      <w:pPr>
        <w:spacing w:after="0" w:line="193" w:lineRule="exact"/>
        <w:rPr>
          <w:sz w:val="20"/>
          <w:szCs w:val="20"/>
          <w:color w:val="auto"/>
        </w:rPr>
      </w:pPr>
    </w:p>
    <w:p>
      <w:pPr>
        <w:ind w:left="200" w:right="339"/>
        <w:spacing w:after="0" w:line="249" w:lineRule="auto"/>
        <w:rPr>
          <w:sz w:val="20"/>
          <w:szCs w:val="20"/>
          <w:color w:val="auto"/>
        </w:rPr>
      </w:pPr>
      <w:r>
        <w:rPr>
          <w:rFonts w:ascii="Times New Roman" w:cs="Times New Roman" w:eastAsia="Times New Roman" w:hAnsi="Times New Roman"/>
          <w:sz w:val="20"/>
          <w:szCs w:val="20"/>
          <w:color w:val="auto"/>
        </w:rPr>
        <w:t>For purposes of the opinion set forth below, we have assumed that, at the time Shares are issued, the total number of then unissued Shares, when added to the number of shares of Common Stock issued, subscribed for, or otherwise committed to be issued, does not exceed the number of shares of Common Stock authorized by the Company’s certificate of incorporation.</w:t>
      </w:r>
    </w:p>
    <w:p>
      <w:pPr>
        <w:spacing w:after="0" w:line="19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The opinion set forth below is limited to the Delaware General Corporation Law.</w:t>
      </w:r>
    </w:p>
    <w:p>
      <w:pPr>
        <w:spacing w:after="0" w:line="229" w:lineRule="exact"/>
        <w:rPr>
          <w:sz w:val="20"/>
          <w:szCs w:val="20"/>
          <w:color w:val="auto"/>
        </w:rPr>
      </w:pPr>
    </w:p>
    <w:p>
      <w:pPr>
        <w:ind w:left="200" w:right="559"/>
        <w:spacing w:after="0" w:line="254" w:lineRule="auto"/>
        <w:rPr>
          <w:sz w:val="20"/>
          <w:szCs w:val="20"/>
          <w:color w:val="auto"/>
        </w:rPr>
      </w:pPr>
      <w:r>
        <w:rPr>
          <w:rFonts w:ascii="Times New Roman" w:cs="Times New Roman" w:eastAsia="Times New Roman" w:hAnsi="Times New Roman"/>
          <w:sz w:val="20"/>
          <w:szCs w:val="20"/>
          <w:color w:val="auto"/>
        </w:rPr>
        <w:t>Based on the foregoing, we are of the opinion that the Shares have been duly authorized and, when delivered against payment therefor in accordance with the terms of the Plan, will be validly issued, fully paid and nonassessable.</w:t>
      </w:r>
    </w:p>
    <w:p>
      <w:pPr>
        <w:spacing w:after="0" w:line="188" w:lineRule="exact"/>
        <w:rPr>
          <w:sz w:val="20"/>
          <w:szCs w:val="20"/>
          <w:color w:val="auto"/>
        </w:rPr>
      </w:pPr>
    </w:p>
    <w:p>
      <w:pPr>
        <w:ind w:left="200" w:right="659"/>
        <w:spacing w:after="0" w:line="269" w:lineRule="auto"/>
        <w:rPr>
          <w:sz w:val="20"/>
          <w:szCs w:val="20"/>
          <w:color w:val="auto"/>
        </w:rPr>
      </w:pPr>
      <w:r>
        <w:rPr>
          <w:rFonts w:ascii="Times New Roman" w:cs="Times New Roman" w:eastAsia="Times New Roman" w:hAnsi="Times New Roman"/>
          <w:sz w:val="20"/>
          <w:szCs w:val="20"/>
          <w:color w:val="auto"/>
        </w:rPr>
        <w:t xml:space="preserve">This opinion letter and the opinion it contains shall be interpreted in accordance with the Core Opinion Principles as published in 74 </w:t>
      </w:r>
      <w:r>
        <w:rPr>
          <w:rFonts w:ascii="Times New Roman" w:cs="Times New Roman" w:eastAsia="Times New Roman" w:hAnsi="Times New Roman"/>
          <w:sz w:val="20"/>
          <w:szCs w:val="20"/>
          <w:i w:val="1"/>
          <w:iCs w:val="1"/>
          <w:color w:val="auto"/>
        </w:rPr>
        <w:t>Business Lawyer</w:t>
      </w:r>
      <w:r>
        <w:rPr>
          <w:rFonts w:ascii="Times New Roman" w:cs="Times New Roman" w:eastAsia="Times New Roman" w:hAnsi="Times New Roman"/>
          <w:sz w:val="20"/>
          <w:szCs w:val="20"/>
          <w:color w:val="auto"/>
        </w:rPr>
        <w:t xml:space="preserve"> 815 (Summer 2019).</w:t>
      </w:r>
    </w:p>
    <w:p>
      <w:pPr>
        <w:spacing w:after="0" w:line="173" w:lineRule="exact"/>
        <w:rPr>
          <w:sz w:val="20"/>
          <w:szCs w:val="20"/>
          <w:color w:val="auto"/>
        </w:rPr>
      </w:pPr>
    </w:p>
    <w:p>
      <w:pPr>
        <w:ind w:left="200" w:right="479"/>
        <w:spacing w:after="0" w:line="254" w:lineRule="auto"/>
        <w:rPr>
          <w:sz w:val="20"/>
          <w:szCs w:val="20"/>
          <w:color w:val="auto"/>
        </w:rPr>
      </w:pPr>
      <w:r>
        <w:rPr>
          <w:rFonts w:ascii="Times New Roman" w:cs="Times New Roman" w:eastAsia="Times New Roman" w:hAnsi="Times New Roman"/>
          <w:sz w:val="20"/>
          <w:szCs w:val="20"/>
          <w:color w:val="auto"/>
        </w:rPr>
        <w:t>We hereby consent to the inclusion of this opinion as Exhibit 5.1 to the Registration Statement. In giving our consent, we do not admit that we are in the category of persons whose consent is required under Section 7 of the Securities Act or the rules and regulations thereunder.</w:t>
      </w:r>
    </w:p>
    <w:p>
      <w:pPr>
        <w:spacing w:after="0" w:line="18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Very truly yours,</w:t>
      </w:r>
    </w:p>
    <w:p>
      <w:pPr>
        <w:spacing w:after="0" w:line="2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13"/>
          <w:szCs w:val="13"/>
          <w:color w:val="auto"/>
        </w:rPr>
        <w:t>s</w:t>
      </w:r>
      <w:r>
        <w:rPr>
          <w:rFonts w:ascii="Times New Roman" w:cs="Times New Roman" w:eastAsia="Times New Roman" w:hAnsi="Times New Roman"/>
          <w:sz w:val="20"/>
          <w:szCs w:val="20"/>
          <w:color w:val="auto"/>
        </w:rPr>
        <w:t>/ G</w:t>
      </w:r>
      <w:r>
        <w:rPr>
          <w:rFonts w:ascii="Times New Roman" w:cs="Times New Roman" w:eastAsia="Times New Roman" w:hAnsi="Times New Roman"/>
          <w:sz w:val="13"/>
          <w:szCs w:val="13"/>
          <w:color w:val="auto"/>
        </w:rPr>
        <w:t>oodwin</w:t>
      </w:r>
      <w:r>
        <w:rPr>
          <w:rFonts w:ascii="Times New Roman" w:cs="Times New Roman" w:eastAsia="Times New Roman" w:hAnsi="Times New Roman"/>
          <w:sz w:val="20"/>
          <w:szCs w:val="20"/>
          <w:color w:val="auto"/>
        </w:rPr>
        <w:t xml:space="preserve"> P</w:t>
      </w:r>
      <w:r>
        <w:rPr>
          <w:rFonts w:ascii="Times New Roman" w:cs="Times New Roman" w:eastAsia="Times New Roman" w:hAnsi="Times New Roman"/>
          <w:sz w:val="13"/>
          <w:szCs w:val="13"/>
          <w:color w:val="auto"/>
        </w:rPr>
        <w:t>rocter</w:t>
      </w:r>
      <w:r>
        <w:rPr>
          <w:rFonts w:ascii="Times New Roman" w:cs="Times New Roman" w:eastAsia="Times New Roman" w:hAnsi="Times New Roman"/>
          <w:sz w:val="20"/>
          <w:szCs w:val="20"/>
          <w:color w:val="auto"/>
        </w:rPr>
        <w:t xml:space="preserve"> LLP</w:t>
      </w:r>
    </w:p>
    <w:p>
      <w:pPr>
        <w:spacing w:after="0" w:line="2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GOODWIN PROCTER LLP</w:t>
      </w:r>
    </w:p>
    <w:p>
      <w:pPr>
        <w:spacing w:after="0" w:line="200" w:lineRule="exact"/>
        <w:rPr>
          <w:sz w:val="20"/>
          <w:szCs w:val="20"/>
          <w:color w:val="auto"/>
        </w:rPr>
      </w:pPr>
    </w:p>
    <w:p>
      <w:pPr>
        <w:spacing w:after="0" w:line="20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ACTIVE/136198777.3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409575</wp:posOffset>
            </wp:positionV>
            <wp:extent cx="545211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4" w:name="page5"/>
    <w:bookmarkEnd w:id="4"/>
    <w:p>
      <w:pPr>
        <w:jc w:val="right"/>
        <w:ind w:right="219"/>
        <w:spacing w:after="0"/>
        <w:rPr>
          <w:sz w:val="20"/>
          <w:szCs w:val="20"/>
          <w:color w:val="auto"/>
        </w:rPr>
      </w:pPr>
      <w:r>
        <w:rPr>
          <w:rFonts w:ascii="Times New Roman" w:cs="Times New Roman" w:eastAsia="Times New Roman" w:hAnsi="Times New Roman"/>
          <w:sz w:val="20"/>
          <w:szCs w:val="20"/>
          <w:color w:val="auto"/>
        </w:rPr>
        <w:t>Exhibit 23.1</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Consent of Independent Registered Public Accounting Firm</w:t>
      </w:r>
    </w:p>
    <w:p>
      <w:pPr>
        <w:spacing w:after="0" w:line="200" w:lineRule="exact"/>
        <w:rPr>
          <w:sz w:val="20"/>
          <w:szCs w:val="20"/>
          <w:color w:val="auto"/>
        </w:rPr>
      </w:pPr>
    </w:p>
    <w:p>
      <w:pPr>
        <w:spacing w:after="0" w:line="236" w:lineRule="exact"/>
        <w:rPr>
          <w:sz w:val="20"/>
          <w:szCs w:val="20"/>
          <w:color w:val="auto"/>
        </w:rPr>
      </w:pPr>
    </w:p>
    <w:p>
      <w:pPr>
        <w:ind w:left="200" w:right="319"/>
        <w:spacing w:after="0" w:line="267" w:lineRule="auto"/>
        <w:rPr>
          <w:sz w:val="20"/>
          <w:szCs w:val="20"/>
          <w:color w:val="auto"/>
        </w:rPr>
      </w:pPr>
      <w:r>
        <w:rPr>
          <w:rFonts w:ascii="Times New Roman" w:cs="Times New Roman" w:eastAsia="Times New Roman" w:hAnsi="Times New Roman"/>
          <w:sz w:val="20"/>
          <w:szCs w:val="20"/>
          <w:color w:val="auto"/>
        </w:rPr>
        <w:t>We consent to the incorporation by reference in the Registration Statement (Form S-8) pertaining to the 2015 Employee Stock Purchase Plan of Blueprint Medicines Corporation of our reports dated February 13, 2025, with respect to the consolidated financial statements of Blueprint Medicines Corporation and the effectiveness of internal control over financial reporting of Blueprint Medicines Corporation included in its Annual Report (Form 10-K) for the year ended December 31, 2024, filed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/s/ Ernst &amp; Young LLP</w:t>
      </w:r>
    </w:p>
    <w:p>
      <w:pPr>
        <w:spacing w:after="0" w:line="200" w:lineRule="exact"/>
        <w:rPr>
          <w:sz w:val="20"/>
          <w:szCs w:val="20"/>
          <w:color w:val="auto"/>
        </w:rPr>
      </w:pPr>
    </w:p>
    <w:p>
      <w:pPr>
        <w:spacing w:after="0" w:line="35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Boston, Massachusetts</w:t>
      </w:r>
    </w:p>
    <w:p>
      <w:pPr>
        <w:spacing w:after="0" w:line="2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February 13,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356235</wp:posOffset>
            </wp:positionV>
            <wp:extent cx="545211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30" w:right="1440" w:bottom="1440" w:gutter="0" w:footer="0" w:header="0"/>
        </w:sectPr>
      </w:pPr>
    </w:p>
    <w:bookmarkStart w:id="5" w:name="page6"/>
    <w:bookmarkEnd w:id="5"/>
    <w:p>
      <w:pPr>
        <w:ind w:left="2840"/>
        <w:spacing w:after="0"/>
        <w:rPr>
          <w:sz w:val="20"/>
          <w:szCs w:val="20"/>
          <w:color w:val="auto"/>
        </w:rPr>
      </w:pPr>
      <w:r>
        <w:rPr>
          <w:rFonts w:ascii="Arial" w:cs="Arial" w:eastAsia="Arial" w:hAnsi="Arial"/>
          <w:sz w:val="36"/>
          <w:szCs w:val="36"/>
          <w:b w:val="1"/>
          <w:bCs w:val="1"/>
          <w:color w:val="auto"/>
        </w:rPr>
        <w:t>Calculation of Filing Fee Tables</w:t>
      </w:r>
    </w:p>
    <w:p>
      <w:pPr>
        <w:spacing w:after="0" w:line="221" w:lineRule="exact"/>
        <w:rPr>
          <w:sz w:val="20"/>
          <w:szCs w:val="20"/>
          <w:color w:val="auto"/>
        </w:rPr>
      </w:pPr>
    </w:p>
    <w:p>
      <w:pPr>
        <w:ind w:left="5220"/>
        <w:spacing w:after="0"/>
        <w:rPr>
          <w:sz w:val="20"/>
          <w:szCs w:val="20"/>
          <w:color w:val="auto"/>
        </w:rPr>
      </w:pPr>
      <w:r>
        <w:rPr>
          <w:rFonts w:ascii="Arial" w:cs="Arial" w:eastAsia="Arial" w:hAnsi="Arial"/>
          <w:sz w:val="36"/>
          <w:szCs w:val="36"/>
          <w:b w:val="1"/>
          <w:bCs w:val="1"/>
          <w:color w:val="auto"/>
        </w:rPr>
        <w:t>S-8</w:t>
      </w:r>
    </w:p>
    <w:p>
      <w:pPr>
        <w:spacing w:after="0" w:line="126" w:lineRule="exact"/>
        <w:rPr>
          <w:sz w:val="20"/>
          <w:szCs w:val="20"/>
          <w:color w:val="auto"/>
        </w:rPr>
      </w:pPr>
    </w:p>
    <w:p>
      <w:pPr>
        <w:jc w:val="center"/>
        <w:ind w:right="100"/>
        <w:spacing w:after="0"/>
        <w:rPr>
          <w:sz w:val="20"/>
          <w:szCs w:val="20"/>
          <w:color w:val="auto"/>
        </w:rPr>
      </w:pPr>
      <w:r>
        <w:rPr>
          <w:rFonts w:ascii="Arial" w:cs="Arial" w:eastAsia="Arial" w:hAnsi="Arial"/>
          <w:sz w:val="36"/>
          <w:szCs w:val="36"/>
          <w:b w:val="1"/>
          <w:bCs w:val="1"/>
          <w:color w:val="auto"/>
        </w:rPr>
        <w:t>Blueprint Medicines Corp</w:t>
      </w:r>
    </w:p>
    <w:p>
      <w:pPr>
        <w:spacing w:after="0" w:line="162"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Table 1: Newly Registered Securities</w:t>
      </w:r>
    </w:p>
    <w:p>
      <w:pPr>
        <w:spacing w:after="0" w:line="45" w:lineRule="exact"/>
        <w:rPr>
          <w:sz w:val="20"/>
          <w:szCs w:val="20"/>
          <w:color w:val="auto"/>
        </w:rPr>
      </w:pPr>
    </w:p>
    <w:tbl>
      <w:tblPr>
        <w:tblLayout w:type="fixed"/>
        <w:tblInd w:w="550" w:type="dxa"/>
        <w:tblCellMar>
          <w:top w:w="0" w:type="dxa"/>
          <w:left w:w="0" w:type="dxa"/>
          <w:bottom w:w="0" w:type="dxa"/>
          <w:right w:w="0" w:type="dxa"/>
        </w:tblCellMar>
      </w:tblPr>
      <w:tr>
        <w:trPr>
          <w:trHeight w:val="40"/>
        </w:trPr>
        <w:tc>
          <w:tcPr>
            <w:tcW w:w="40" w:type="dxa"/>
            <w:vAlign w:val="bottom"/>
            <w:tcBorders>
              <w:top w:val="single" w:sz="8" w:color="auto"/>
              <w:left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4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0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20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1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3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5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0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480" w:type="dxa"/>
            <w:vAlign w:val="bottom"/>
            <w:tcBorders>
              <w:top w:val="single" w:sz="8" w:color="auto"/>
            </w:tcBorders>
          </w:tcPr>
          <w:p>
            <w:pPr>
              <w:spacing w:after="0"/>
              <w:rPr>
                <w:sz w:val="3"/>
                <w:szCs w:val="3"/>
                <w:color w:val="auto"/>
              </w:rPr>
            </w:pPr>
          </w:p>
        </w:tc>
        <w:tc>
          <w:tcPr>
            <w:tcW w:w="40" w:type="dxa"/>
            <w:vAlign w:val="bottom"/>
            <w:tcBorders>
              <w:top w:val="single" w:sz="8" w:color="auto"/>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40" w:type="dxa"/>
            <w:vAlign w:val="bottom"/>
            <w:tcBorders>
              <w:left w:val="single" w:sz="8" w:color="auto"/>
            </w:tcBorders>
          </w:tcPr>
          <w:p>
            <w:pPr>
              <w:spacing w:after="0"/>
              <w:rPr>
                <w:sz w:val="19"/>
                <w:szCs w:val="19"/>
                <w:color w:val="auto"/>
              </w:rPr>
            </w:pPr>
          </w:p>
        </w:tc>
        <w:tc>
          <w:tcPr>
            <w:tcW w:w="1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0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shd w:val="clear" w:color="auto" w:fill="9ADAF6"/>
          </w:tcPr>
          <w:p>
            <w:pPr>
              <w:jc w:val="center"/>
              <w:spacing w:after="0" w:line="223" w:lineRule="exact"/>
              <w:rPr>
                <w:sz w:val="20"/>
                <w:szCs w:val="20"/>
                <w:color w:val="auto"/>
              </w:rPr>
            </w:pPr>
            <w:r>
              <w:rPr>
                <w:rFonts w:ascii="Arial" w:cs="Arial" w:eastAsia="Arial" w:hAnsi="Arial"/>
                <w:sz w:val="22"/>
                <w:szCs w:val="22"/>
                <w:b w:val="1"/>
                <w:bCs w:val="1"/>
                <w:color w:val="auto"/>
                <w:w w:val="98"/>
              </w:rPr>
              <w:t>Proposed</w:t>
            </w:r>
          </w:p>
        </w:tc>
        <w:tc>
          <w:tcPr>
            <w:tcW w:w="20" w:type="dxa"/>
            <w:vAlign w:val="bottom"/>
          </w:tcPr>
          <w:p>
            <w:pPr>
              <w:spacing w:after="0"/>
              <w:rPr>
                <w:sz w:val="19"/>
                <w:szCs w:val="19"/>
                <w:color w:val="auto"/>
              </w:rPr>
            </w:pPr>
          </w:p>
        </w:tc>
        <w:tc>
          <w:tcPr>
            <w:tcW w:w="15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39"/>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shd w:val="clear" w:color="auto" w:fill="9ADAF6"/>
          </w:tcPr>
          <w:p>
            <w:pPr>
              <w:jc w:val="center"/>
              <w:spacing w:after="0"/>
              <w:rPr>
                <w:sz w:val="20"/>
                <w:szCs w:val="20"/>
                <w:color w:val="auto"/>
              </w:rPr>
            </w:pPr>
            <w:r>
              <w:rPr>
                <w:rFonts w:ascii="Arial" w:cs="Arial" w:eastAsia="Arial" w:hAnsi="Arial"/>
                <w:sz w:val="22"/>
                <w:szCs w:val="22"/>
                <w:b w:val="1"/>
                <w:bCs w:val="1"/>
                <w:color w:val="auto"/>
                <w:w w:val="96"/>
              </w:rPr>
              <w:t>Security</w:t>
            </w:r>
          </w:p>
        </w:tc>
        <w:tc>
          <w:tcPr>
            <w:tcW w:w="40" w:type="dxa"/>
            <w:vAlign w:val="bottom"/>
          </w:tcPr>
          <w:p>
            <w:pPr>
              <w:spacing w:after="0"/>
              <w:rPr>
                <w:sz w:val="24"/>
                <w:szCs w:val="24"/>
                <w:color w:val="auto"/>
              </w:rPr>
            </w:pPr>
          </w:p>
        </w:tc>
        <w:tc>
          <w:tcPr>
            <w:tcW w:w="1000" w:type="dxa"/>
            <w:vAlign w:val="bottom"/>
            <w:shd w:val="clear" w:color="auto" w:fill="9ADAF6"/>
          </w:tcPr>
          <w:p>
            <w:pPr>
              <w:jc w:val="center"/>
              <w:spacing w:after="0"/>
              <w:rPr>
                <w:sz w:val="20"/>
                <w:szCs w:val="20"/>
                <w:color w:val="auto"/>
              </w:rPr>
            </w:pPr>
            <w:r>
              <w:rPr>
                <w:rFonts w:ascii="Arial" w:cs="Arial" w:eastAsia="Arial" w:hAnsi="Arial"/>
                <w:sz w:val="22"/>
                <w:szCs w:val="22"/>
                <w:b w:val="1"/>
                <w:bCs w:val="1"/>
                <w:color w:val="auto"/>
                <w:w w:val="99"/>
              </w:rPr>
              <w:t>Security</w:t>
            </w:r>
          </w:p>
        </w:tc>
        <w:tc>
          <w:tcPr>
            <w:tcW w:w="20" w:type="dxa"/>
            <w:vAlign w:val="bottom"/>
          </w:tcPr>
          <w:p>
            <w:pPr>
              <w:spacing w:after="0"/>
              <w:rPr>
                <w:sz w:val="24"/>
                <w:szCs w:val="24"/>
                <w:color w:val="auto"/>
              </w:rPr>
            </w:pPr>
          </w:p>
        </w:tc>
        <w:tc>
          <w:tcPr>
            <w:tcW w:w="1200" w:type="dxa"/>
            <w:vAlign w:val="bottom"/>
            <w:shd w:val="clear" w:color="auto" w:fill="9ADAF6"/>
          </w:tcPr>
          <w:p>
            <w:pPr>
              <w:jc w:val="center"/>
              <w:spacing w:after="0"/>
              <w:rPr>
                <w:sz w:val="20"/>
                <w:szCs w:val="20"/>
                <w:color w:val="auto"/>
              </w:rPr>
            </w:pPr>
            <w:r>
              <w:rPr>
                <w:rFonts w:ascii="Arial" w:cs="Arial" w:eastAsia="Arial" w:hAnsi="Arial"/>
                <w:sz w:val="22"/>
                <w:szCs w:val="22"/>
                <w:b w:val="1"/>
                <w:bCs w:val="1"/>
                <w:color w:val="auto"/>
                <w:w w:val="94"/>
              </w:rPr>
              <w:t>Fee</w:t>
            </w:r>
          </w:p>
        </w:tc>
        <w:tc>
          <w:tcPr>
            <w:tcW w:w="40" w:type="dxa"/>
            <w:vAlign w:val="bottom"/>
          </w:tcPr>
          <w:p>
            <w:pPr>
              <w:spacing w:after="0"/>
              <w:rPr>
                <w:sz w:val="24"/>
                <w:szCs w:val="24"/>
                <w:color w:val="auto"/>
              </w:rPr>
            </w:pPr>
          </w:p>
        </w:tc>
        <w:tc>
          <w:tcPr>
            <w:tcW w:w="1140" w:type="dxa"/>
            <w:vAlign w:val="bottom"/>
            <w:shd w:val="clear" w:color="auto" w:fill="9ADAF6"/>
          </w:tcPr>
          <w:p>
            <w:pPr>
              <w:jc w:val="right"/>
              <w:ind w:right="52"/>
              <w:spacing w:after="0"/>
              <w:rPr>
                <w:sz w:val="20"/>
                <w:szCs w:val="20"/>
                <w:color w:val="auto"/>
              </w:rPr>
            </w:pPr>
            <w:r>
              <w:rPr>
                <w:rFonts w:ascii="Arial" w:cs="Arial" w:eastAsia="Arial" w:hAnsi="Arial"/>
                <w:sz w:val="22"/>
                <w:szCs w:val="22"/>
                <w:b w:val="1"/>
                <w:bCs w:val="1"/>
                <w:color w:val="auto"/>
              </w:rPr>
              <w:t>Amount</w:t>
            </w:r>
          </w:p>
        </w:tc>
        <w:tc>
          <w:tcPr>
            <w:tcW w:w="20" w:type="dxa"/>
            <w:vAlign w:val="bottom"/>
          </w:tcPr>
          <w:p>
            <w:pPr>
              <w:spacing w:after="0"/>
              <w:rPr>
                <w:sz w:val="24"/>
                <w:szCs w:val="24"/>
                <w:color w:val="auto"/>
              </w:rPr>
            </w:pPr>
          </w:p>
        </w:tc>
        <w:tc>
          <w:tcPr>
            <w:tcW w:w="1320" w:type="dxa"/>
            <w:vAlign w:val="bottom"/>
            <w:shd w:val="clear" w:color="auto" w:fill="9ADAF6"/>
          </w:tcPr>
          <w:p>
            <w:pPr>
              <w:jc w:val="center"/>
              <w:spacing w:after="0"/>
              <w:rPr>
                <w:sz w:val="20"/>
                <w:szCs w:val="20"/>
                <w:color w:val="auto"/>
              </w:rPr>
            </w:pPr>
            <w:r>
              <w:rPr>
                <w:rFonts w:ascii="Arial" w:cs="Arial" w:eastAsia="Arial" w:hAnsi="Arial"/>
                <w:sz w:val="22"/>
                <w:szCs w:val="22"/>
                <w:b w:val="1"/>
                <w:bCs w:val="1"/>
                <w:color w:val="auto"/>
                <w:w w:val="98"/>
              </w:rPr>
              <w:t>Maximum</w:t>
            </w:r>
          </w:p>
        </w:tc>
        <w:tc>
          <w:tcPr>
            <w:tcW w:w="20" w:type="dxa"/>
            <w:vAlign w:val="bottom"/>
          </w:tcPr>
          <w:p>
            <w:pPr>
              <w:spacing w:after="0"/>
              <w:rPr>
                <w:sz w:val="24"/>
                <w:szCs w:val="24"/>
                <w:color w:val="auto"/>
              </w:rPr>
            </w:pPr>
          </w:p>
        </w:tc>
        <w:tc>
          <w:tcPr>
            <w:tcW w:w="1520" w:type="dxa"/>
            <w:vAlign w:val="bottom"/>
            <w:shd w:val="clear" w:color="auto" w:fill="9ADAF6"/>
          </w:tcPr>
          <w:p>
            <w:pPr>
              <w:jc w:val="center"/>
              <w:spacing w:after="0"/>
              <w:rPr>
                <w:sz w:val="20"/>
                <w:szCs w:val="20"/>
                <w:color w:val="auto"/>
              </w:rPr>
            </w:pPr>
            <w:r>
              <w:rPr>
                <w:rFonts w:ascii="Arial" w:cs="Arial" w:eastAsia="Arial" w:hAnsi="Arial"/>
                <w:sz w:val="22"/>
                <w:szCs w:val="22"/>
                <w:b w:val="1"/>
                <w:bCs w:val="1"/>
                <w:color w:val="auto"/>
                <w:w w:val="98"/>
              </w:rPr>
              <w:t>Maximum</w:t>
            </w:r>
          </w:p>
        </w:tc>
        <w:tc>
          <w:tcPr>
            <w:tcW w:w="20" w:type="dxa"/>
            <w:vAlign w:val="bottom"/>
          </w:tcPr>
          <w:p>
            <w:pPr>
              <w:spacing w:after="0"/>
              <w:rPr>
                <w:sz w:val="24"/>
                <w:szCs w:val="24"/>
                <w:color w:val="auto"/>
              </w:rPr>
            </w:pPr>
          </w:p>
        </w:tc>
        <w:tc>
          <w:tcPr>
            <w:tcW w:w="10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shd w:val="clear" w:color="auto" w:fill="9ADAF6"/>
          </w:tcPr>
          <w:p>
            <w:pPr>
              <w:jc w:val="center"/>
              <w:spacing w:after="0"/>
              <w:rPr>
                <w:sz w:val="20"/>
                <w:szCs w:val="20"/>
                <w:color w:val="auto"/>
              </w:rPr>
            </w:pPr>
            <w:r>
              <w:rPr>
                <w:rFonts w:ascii="Arial" w:cs="Arial" w:eastAsia="Arial" w:hAnsi="Arial"/>
                <w:sz w:val="22"/>
                <w:szCs w:val="22"/>
                <w:b w:val="1"/>
                <w:bCs w:val="1"/>
                <w:color w:val="auto"/>
                <w:w w:val="98"/>
              </w:rPr>
              <w:t>Amount of</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 w:type="dxa"/>
            <w:vAlign w:val="bottom"/>
            <w:tcBorders>
              <w:left w:val="single" w:sz="8" w:color="auto"/>
            </w:tcBorders>
          </w:tcPr>
          <w:p>
            <w:pPr>
              <w:spacing w:after="0"/>
              <w:rPr>
                <w:sz w:val="21"/>
                <w:szCs w:val="21"/>
                <w:color w:val="auto"/>
              </w:rPr>
            </w:pPr>
          </w:p>
        </w:tc>
        <w:tc>
          <w:tcPr>
            <w:tcW w:w="160" w:type="dxa"/>
            <w:vAlign w:val="bottom"/>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3"/>
              </w:rPr>
              <w:t>Type</w:t>
            </w:r>
          </w:p>
        </w:tc>
        <w:tc>
          <w:tcPr>
            <w:tcW w:w="40" w:type="dxa"/>
            <w:vAlign w:val="bottom"/>
          </w:tcPr>
          <w:p>
            <w:pPr>
              <w:spacing w:after="0"/>
              <w:rPr>
                <w:sz w:val="21"/>
                <w:szCs w:val="21"/>
                <w:color w:val="auto"/>
              </w:rPr>
            </w:pPr>
          </w:p>
        </w:tc>
        <w:tc>
          <w:tcPr>
            <w:tcW w:w="1000" w:type="dxa"/>
            <w:vAlign w:val="bottom"/>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8"/>
              </w:rPr>
              <w:t>Class</w:t>
            </w:r>
          </w:p>
        </w:tc>
        <w:tc>
          <w:tcPr>
            <w:tcW w:w="20" w:type="dxa"/>
            <w:vAlign w:val="bottom"/>
          </w:tcPr>
          <w:p>
            <w:pPr>
              <w:spacing w:after="0"/>
              <w:rPr>
                <w:sz w:val="21"/>
                <w:szCs w:val="21"/>
                <w:color w:val="auto"/>
              </w:rPr>
            </w:pPr>
          </w:p>
        </w:tc>
        <w:tc>
          <w:tcPr>
            <w:tcW w:w="1200" w:type="dxa"/>
            <w:vAlign w:val="bottom"/>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7"/>
              </w:rPr>
              <w:t>Calculation</w:t>
            </w:r>
          </w:p>
        </w:tc>
        <w:tc>
          <w:tcPr>
            <w:tcW w:w="40" w:type="dxa"/>
            <w:vAlign w:val="bottom"/>
          </w:tcPr>
          <w:p>
            <w:pPr>
              <w:spacing w:after="0"/>
              <w:rPr>
                <w:sz w:val="21"/>
                <w:szCs w:val="21"/>
                <w:color w:val="auto"/>
              </w:rPr>
            </w:pPr>
          </w:p>
        </w:tc>
        <w:tc>
          <w:tcPr>
            <w:tcW w:w="1140" w:type="dxa"/>
            <w:vAlign w:val="bottom"/>
            <w:shd w:val="clear" w:color="auto" w:fill="9ADAF6"/>
          </w:tcPr>
          <w:p>
            <w:pPr>
              <w:jc w:val="right"/>
              <w:spacing w:after="0" w:line="243" w:lineRule="exact"/>
              <w:rPr>
                <w:sz w:val="20"/>
                <w:szCs w:val="20"/>
                <w:color w:val="auto"/>
              </w:rPr>
            </w:pPr>
            <w:r>
              <w:rPr>
                <w:rFonts w:ascii="Arial" w:cs="Arial" w:eastAsia="Arial" w:hAnsi="Arial"/>
                <w:sz w:val="22"/>
                <w:szCs w:val="22"/>
                <w:b w:val="1"/>
                <w:bCs w:val="1"/>
                <w:color w:val="auto"/>
                <w:w w:val="96"/>
              </w:rPr>
              <w:t>Registered</w:t>
            </w:r>
          </w:p>
        </w:tc>
        <w:tc>
          <w:tcPr>
            <w:tcW w:w="20" w:type="dxa"/>
            <w:vAlign w:val="bottom"/>
          </w:tcPr>
          <w:p>
            <w:pPr>
              <w:spacing w:after="0"/>
              <w:rPr>
                <w:sz w:val="21"/>
                <w:szCs w:val="21"/>
                <w:color w:val="auto"/>
              </w:rPr>
            </w:pPr>
          </w:p>
        </w:tc>
        <w:tc>
          <w:tcPr>
            <w:tcW w:w="1320" w:type="dxa"/>
            <w:vAlign w:val="bottom"/>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8"/>
              </w:rPr>
              <w:t>Offering</w:t>
            </w:r>
          </w:p>
        </w:tc>
        <w:tc>
          <w:tcPr>
            <w:tcW w:w="20" w:type="dxa"/>
            <w:vAlign w:val="bottom"/>
          </w:tcPr>
          <w:p>
            <w:pPr>
              <w:spacing w:after="0"/>
              <w:rPr>
                <w:sz w:val="21"/>
                <w:szCs w:val="21"/>
                <w:color w:val="auto"/>
              </w:rPr>
            </w:pPr>
          </w:p>
        </w:tc>
        <w:tc>
          <w:tcPr>
            <w:tcW w:w="1520" w:type="dxa"/>
            <w:vAlign w:val="bottom"/>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9"/>
              </w:rPr>
              <w:t>Aggregate</w:t>
            </w:r>
          </w:p>
        </w:tc>
        <w:tc>
          <w:tcPr>
            <w:tcW w:w="20" w:type="dxa"/>
            <w:vAlign w:val="bottom"/>
          </w:tcPr>
          <w:p>
            <w:pPr>
              <w:spacing w:after="0"/>
              <w:rPr>
                <w:sz w:val="21"/>
                <w:szCs w:val="21"/>
                <w:color w:val="auto"/>
              </w:rPr>
            </w:pPr>
          </w:p>
        </w:tc>
        <w:tc>
          <w:tcPr>
            <w:tcW w:w="1060" w:type="dxa"/>
            <w:vAlign w:val="bottom"/>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8"/>
              </w:rPr>
              <w:t>Fee Rate</w:t>
            </w:r>
          </w:p>
        </w:tc>
        <w:tc>
          <w:tcPr>
            <w:tcW w:w="20" w:type="dxa"/>
            <w:vAlign w:val="bottom"/>
          </w:tcPr>
          <w:p>
            <w:pPr>
              <w:spacing w:after="0"/>
              <w:rPr>
                <w:sz w:val="21"/>
                <w:szCs w:val="21"/>
                <w:color w:val="auto"/>
              </w:rPr>
            </w:pPr>
          </w:p>
        </w:tc>
        <w:tc>
          <w:tcPr>
            <w:tcW w:w="1480" w:type="dxa"/>
            <w:vAlign w:val="bottom"/>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8"/>
              </w:rPr>
              <w:t>Registration</w:t>
            </w: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47"/>
        </w:trPr>
        <w:tc>
          <w:tcPr>
            <w:tcW w:w="40" w:type="dxa"/>
            <w:vAlign w:val="bottom"/>
            <w:tcBorders>
              <w:left w:val="single" w:sz="8" w:color="auto"/>
            </w:tcBorders>
          </w:tcPr>
          <w:p>
            <w:pPr>
              <w:spacing w:after="0"/>
              <w:rPr>
                <w:sz w:val="12"/>
                <w:szCs w:val="12"/>
                <w:color w:val="auto"/>
              </w:rPr>
            </w:pPr>
          </w:p>
        </w:tc>
        <w:tc>
          <w:tcPr>
            <w:tcW w:w="16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shd w:val="clear" w:color="auto" w:fill="9ADAF6"/>
          </w:tcPr>
          <w:p>
            <w:pPr>
              <w:jc w:val="center"/>
              <w:spacing w:after="0" w:line="147" w:lineRule="exact"/>
              <w:rPr>
                <w:sz w:val="20"/>
                <w:szCs w:val="20"/>
                <w:color w:val="auto"/>
              </w:rPr>
            </w:pPr>
            <w:r>
              <w:rPr>
                <w:rFonts w:ascii="Arial" w:cs="Arial" w:eastAsia="Arial" w:hAnsi="Arial"/>
                <w:sz w:val="17"/>
                <w:szCs w:val="17"/>
                <w:b w:val="1"/>
                <w:bCs w:val="1"/>
                <w:color w:val="auto"/>
              </w:rPr>
              <w:t>Title</w:t>
            </w:r>
          </w:p>
        </w:tc>
        <w:tc>
          <w:tcPr>
            <w:tcW w:w="20" w:type="dxa"/>
            <w:vAlign w:val="bottom"/>
          </w:tcPr>
          <w:p>
            <w:pPr>
              <w:spacing w:after="0"/>
              <w:rPr>
                <w:sz w:val="12"/>
                <w:szCs w:val="12"/>
                <w:color w:val="auto"/>
              </w:rPr>
            </w:pPr>
          </w:p>
        </w:tc>
        <w:tc>
          <w:tcPr>
            <w:tcW w:w="1200" w:type="dxa"/>
            <w:vAlign w:val="bottom"/>
            <w:shd w:val="clear" w:color="auto" w:fill="9ADAF6"/>
          </w:tcPr>
          <w:p>
            <w:pPr>
              <w:jc w:val="center"/>
              <w:spacing w:after="0" w:line="147" w:lineRule="exact"/>
              <w:rPr>
                <w:sz w:val="20"/>
                <w:szCs w:val="20"/>
                <w:color w:val="auto"/>
              </w:rPr>
            </w:pPr>
            <w:r>
              <w:rPr>
                <w:rFonts w:ascii="Arial" w:cs="Arial" w:eastAsia="Arial" w:hAnsi="Arial"/>
                <w:sz w:val="17"/>
                <w:szCs w:val="17"/>
                <w:b w:val="1"/>
                <w:bCs w:val="1"/>
                <w:color w:val="auto"/>
              </w:rPr>
              <w:t>Rule</w:t>
            </w:r>
          </w:p>
        </w:tc>
        <w:tc>
          <w:tcPr>
            <w:tcW w:w="40" w:type="dxa"/>
            <w:vAlign w:val="bottom"/>
          </w:tcPr>
          <w:p>
            <w:pPr>
              <w:spacing w:after="0"/>
              <w:rPr>
                <w:sz w:val="12"/>
                <w:szCs w:val="12"/>
                <w:color w:val="auto"/>
              </w:rPr>
            </w:pPr>
          </w:p>
        </w:tc>
        <w:tc>
          <w:tcPr>
            <w:tcW w:w="11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320" w:type="dxa"/>
            <w:vAlign w:val="bottom"/>
            <w:shd w:val="clear" w:color="auto" w:fill="9ADAF6"/>
          </w:tcPr>
          <w:p>
            <w:pPr>
              <w:jc w:val="center"/>
              <w:spacing w:after="0" w:line="147" w:lineRule="exact"/>
              <w:rPr>
                <w:sz w:val="20"/>
                <w:szCs w:val="20"/>
                <w:color w:val="auto"/>
              </w:rPr>
            </w:pPr>
            <w:r>
              <w:rPr>
                <w:rFonts w:ascii="Arial" w:cs="Arial" w:eastAsia="Arial" w:hAnsi="Arial"/>
                <w:sz w:val="17"/>
                <w:szCs w:val="17"/>
                <w:b w:val="1"/>
                <w:bCs w:val="1"/>
                <w:color w:val="auto"/>
              </w:rPr>
              <w:t>Price Per</w:t>
            </w:r>
          </w:p>
        </w:tc>
        <w:tc>
          <w:tcPr>
            <w:tcW w:w="20" w:type="dxa"/>
            <w:vAlign w:val="bottom"/>
          </w:tcPr>
          <w:p>
            <w:pPr>
              <w:spacing w:after="0"/>
              <w:rPr>
                <w:sz w:val="12"/>
                <w:szCs w:val="12"/>
                <w:color w:val="auto"/>
              </w:rPr>
            </w:pPr>
          </w:p>
        </w:tc>
        <w:tc>
          <w:tcPr>
            <w:tcW w:w="1520" w:type="dxa"/>
            <w:vAlign w:val="bottom"/>
            <w:shd w:val="clear" w:color="auto" w:fill="9ADAF6"/>
          </w:tcPr>
          <w:p>
            <w:pPr>
              <w:jc w:val="center"/>
              <w:spacing w:after="0" w:line="147" w:lineRule="exact"/>
              <w:rPr>
                <w:sz w:val="20"/>
                <w:szCs w:val="20"/>
                <w:color w:val="auto"/>
              </w:rPr>
            </w:pPr>
            <w:r>
              <w:rPr>
                <w:rFonts w:ascii="Arial" w:cs="Arial" w:eastAsia="Arial" w:hAnsi="Arial"/>
                <w:sz w:val="17"/>
                <w:szCs w:val="17"/>
                <w:b w:val="1"/>
                <w:bCs w:val="1"/>
                <w:color w:val="auto"/>
              </w:rPr>
              <w:t>Offering Price</w:t>
            </w:r>
          </w:p>
        </w:tc>
        <w:tc>
          <w:tcPr>
            <w:tcW w:w="20" w:type="dxa"/>
            <w:vAlign w:val="bottom"/>
          </w:tcPr>
          <w:p>
            <w:pPr>
              <w:spacing w:after="0"/>
              <w:rPr>
                <w:sz w:val="12"/>
                <w:szCs w:val="12"/>
                <w:color w:val="auto"/>
              </w:rPr>
            </w:pPr>
          </w:p>
        </w:tc>
        <w:tc>
          <w:tcPr>
            <w:tcW w:w="106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480" w:type="dxa"/>
            <w:vAlign w:val="bottom"/>
            <w:shd w:val="clear" w:color="auto" w:fill="9ADAF6"/>
          </w:tcPr>
          <w:p>
            <w:pPr>
              <w:jc w:val="center"/>
              <w:spacing w:after="0" w:line="147" w:lineRule="exact"/>
              <w:rPr>
                <w:sz w:val="20"/>
                <w:szCs w:val="20"/>
                <w:color w:val="auto"/>
              </w:rPr>
            </w:pPr>
            <w:r>
              <w:rPr>
                <w:rFonts w:ascii="Arial" w:cs="Arial" w:eastAsia="Arial" w:hAnsi="Arial"/>
                <w:sz w:val="17"/>
                <w:szCs w:val="17"/>
                <w:b w:val="1"/>
                <w:bCs w:val="1"/>
                <w:color w:val="auto"/>
              </w:rPr>
              <w:t>Fee</w:t>
            </w: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85"/>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shd w:val="clear" w:color="auto" w:fill="9ADAF6"/>
          </w:tcPr>
          <w:p>
            <w:pPr>
              <w:jc w:val="center"/>
              <w:spacing w:after="0"/>
              <w:rPr>
                <w:sz w:val="20"/>
                <w:szCs w:val="20"/>
                <w:color w:val="auto"/>
              </w:rPr>
            </w:pPr>
            <w:r>
              <w:rPr>
                <w:rFonts w:ascii="Arial" w:cs="Arial" w:eastAsia="Arial" w:hAnsi="Arial"/>
                <w:sz w:val="22"/>
                <w:szCs w:val="22"/>
                <w:b w:val="1"/>
                <w:bCs w:val="1"/>
                <w:color w:val="auto"/>
                <w:w w:val="98"/>
              </w:rPr>
              <w:t>Unit</w:t>
            </w:r>
          </w:p>
        </w:tc>
        <w:tc>
          <w:tcPr>
            <w:tcW w:w="20" w:type="dxa"/>
            <w:vAlign w:val="bottom"/>
          </w:tcPr>
          <w:p>
            <w:pPr>
              <w:spacing w:after="0"/>
              <w:rPr>
                <w:sz w:val="24"/>
                <w:szCs w:val="24"/>
                <w:color w:val="auto"/>
              </w:rPr>
            </w:pPr>
          </w:p>
        </w:tc>
        <w:tc>
          <w:tcPr>
            <w:tcW w:w="152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shd w:val="clear" w:color="auto" w:fill="9ADAF6"/>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Borders>
              <w:lef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vMerge w:val="restart"/>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E7E7E2"/>
          </w:tcPr>
          <w:p>
            <w:pPr>
              <w:spacing w:after="0"/>
              <w:rPr>
                <w:sz w:val="20"/>
                <w:szCs w:val="20"/>
                <w:color w:val="auto"/>
              </w:rPr>
            </w:pPr>
          </w:p>
        </w:tc>
        <w:tc>
          <w:tcPr>
            <w:tcW w:w="40" w:type="dxa"/>
            <w:vAlign w:val="bottom"/>
            <w:vMerge w:val="continue"/>
          </w:tcPr>
          <w:p>
            <w:pPr>
              <w:spacing w:after="0"/>
              <w:rPr>
                <w:sz w:val="20"/>
                <w:szCs w:val="20"/>
                <w:color w:val="auto"/>
              </w:rPr>
            </w:pPr>
          </w:p>
        </w:tc>
        <w:tc>
          <w:tcPr>
            <w:tcW w:w="1000" w:type="dxa"/>
            <w:vAlign w:val="bottom"/>
            <w:shd w:val="clear" w:color="auto" w:fill="E7E7E2"/>
          </w:tcPr>
          <w:p>
            <w:pPr>
              <w:ind w:left="20"/>
              <w:spacing w:after="0" w:line="230" w:lineRule="exact"/>
              <w:rPr>
                <w:sz w:val="20"/>
                <w:szCs w:val="20"/>
                <w:color w:val="auto"/>
              </w:rPr>
            </w:pPr>
            <w:r>
              <w:rPr>
                <w:rFonts w:ascii="Arial" w:cs="Arial" w:eastAsia="Arial" w:hAnsi="Arial"/>
                <w:sz w:val="22"/>
                <w:szCs w:val="22"/>
                <w:color w:val="auto"/>
              </w:rPr>
              <w:t>2015</w:t>
            </w:r>
          </w:p>
        </w:tc>
        <w:tc>
          <w:tcPr>
            <w:tcW w:w="20" w:type="dxa"/>
            <w:vAlign w:val="bottom"/>
          </w:tcPr>
          <w:p>
            <w:pPr>
              <w:spacing w:after="0"/>
              <w:rPr>
                <w:sz w:val="20"/>
                <w:szCs w:val="20"/>
                <w:color w:val="auto"/>
              </w:rPr>
            </w:pPr>
          </w:p>
        </w:tc>
        <w:tc>
          <w:tcPr>
            <w:tcW w:w="120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8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Borders>
              <w:left w:val="single" w:sz="8" w:color="auto"/>
            </w:tcBorders>
          </w:tcPr>
          <w:p>
            <w:pPr>
              <w:spacing w:after="0"/>
              <w:rPr>
                <w:sz w:val="21"/>
                <w:szCs w:val="21"/>
                <w:color w:val="auto"/>
              </w:rPr>
            </w:pPr>
          </w:p>
        </w:tc>
        <w:tc>
          <w:tcPr>
            <w:tcW w:w="16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shd w:val="clear" w:color="auto" w:fill="E7E7E2"/>
          </w:tcPr>
          <w:p>
            <w:pPr>
              <w:spacing w:after="0"/>
              <w:rPr>
                <w:sz w:val="21"/>
                <w:szCs w:val="21"/>
                <w:color w:val="auto"/>
              </w:rPr>
            </w:pPr>
          </w:p>
        </w:tc>
        <w:tc>
          <w:tcPr>
            <w:tcW w:w="40" w:type="dxa"/>
            <w:vAlign w:val="bottom"/>
          </w:tcPr>
          <w:p>
            <w:pPr>
              <w:spacing w:after="0"/>
              <w:rPr>
                <w:sz w:val="21"/>
                <w:szCs w:val="21"/>
                <w:color w:val="auto"/>
              </w:rPr>
            </w:pPr>
          </w:p>
        </w:tc>
        <w:tc>
          <w:tcPr>
            <w:tcW w:w="1000" w:type="dxa"/>
            <w:vAlign w:val="bottom"/>
            <w:shd w:val="clear" w:color="auto" w:fill="E7E7E2"/>
          </w:tcPr>
          <w:p>
            <w:pPr>
              <w:ind w:left="20"/>
              <w:spacing w:after="0" w:line="243" w:lineRule="exact"/>
              <w:rPr>
                <w:sz w:val="20"/>
                <w:szCs w:val="20"/>
                <w:color w:val="auto"/>
              </w:rPr>
            </w:pPr>
            <w:r>
              <w:rPr>
                <w:rFonts w:ascii="Arial" w:cs="Arial" w:eastAsia="Arial" w:hAnsi="Arial"/>
                <w:sz w:val="22"/>
                <w:szCs w:val="22"/>
                <w:color w:val="auto"/>
                <w:w w:val="98"/>
              </w:rPr>
              <w:t>Employee</w:t>
            </w:r>
          </w:p>
        </w:tc>
        <w:tc>
          <w:tcPr>
            <w:tcW w:w="20" w:type="dxa"/>
            <w:vAlign w:val="bottom"/>
          </w:tcPr>
          <w:p>
            <w:pPr>
              <w:spacing w:after="0"/>
              <w:rPr>
                <w:sz w:val="21"/>
                <w:szCs w:val="21"/>
                <w:color w:val="auto"/>
              </w:rPr>
            </w:pPr>
          </w:p>
        </w:tc>
        <w:tc>
          <w:tcPr>
            <w:tcW w:w="1200" w:type="dxa"/>
            <w:vAlign w:val="bottom"/>
            <w:shd w:val="clear" w:color="auto" w:fill="E7E7E2"/>
          </w:tcPr>
          <w:p>
            <w:pPr>
              <w:spacing w:after="0"/>
              <w:rPr>
                <w:sz w:val="21"/>
                <w:szCs w:val="21"/>
                <w:color w:val="auto"/>
              </w:rPr>
            </w:pPr>
          </w:p>
        </w:tc>
        <w:tc>
          <w:tcPr>
            <w:tcW w:w="40" w:type="dxa"/>
            <w:vAlign w:val="bottom"/>
          </w:tcPr>
          <w:p>
            <w:pPr>
              <w:spacing w:after="0"/>
              <w:rPr>
                <w:sz w:val="21"/>
                <w:szCs w:val="21"/>
                <w:color w:val="auto"/>
              </w:rPr>
            </w:pPr>
          </w:p>
        </w:tc>
        <w:tc>
          <w:tcPr>
            <w:tcW w:w="114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132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152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106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1480" w:type="dxa"/>
            <w:vAlign w:val="bottom"/>
            <w:shd w:val="clear" w:color="auto" w:fill="E7E7E2"/>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Borders>
              <w:left w:val="single" w:sz="8" w:color="auto"/>
            </w:tcBorders>
          </w:tcPr>
          <w:p>
            <w:pPr>
              <w:spacing w:after="0"/>
              <w:rPr>
                <w:sz w:val="21"/>
                <w:szCs w:val="21"/>
                <w:color w:val="auto"/>
              </w:rPr>
            </w:pPr>
          </w:p>
        </w:tc>
        <w:tc>
          <w:tcPr>
            <w:tcW w:w="16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shd w:val="clear" w:color="auto" w:fill="E7E7E2"/>
          </w:tcPr>
          <w:p>
            <w:pPr>
              <w:spacing w:after="0"/>
              <w:rPr>
                <w:sz w:val="21"/>
                <w:szCs w:val="21"/>
                <w:color w:val="auto"/>
              </w:rPr>
            </w:pPr>
          </w:p>
        </w:tc>
        <w:tc>
          <w:tcPr>
            <w:tcW w:w="40" w:type="dxa"/>
            <w:vAlign w:val="bottom"/>
          </w:tcPr>
          <w:p>
            <w:pPr>
              <w:spacing w:after="0"/>
              <w:rPr>
                <w:sz w:val="21"/>
                <w:szCs w:val="21"/>
                <w:color w:val="auto"/>
              </w:rPr>
            </w:pPr>
          </w:p>
        </w:tc>
        <w:tc>
          <w:tcPr>
            <w:tcW w:w="1000" w:type="dxa"/>
            <w:vAlign w:val="bottom"/>
            <w:shd w:val="clear" w:color="auto" w:fill="E7E7E2"/>
          </w:tcPr>
          <w:p>
            <w:pPr>
              <w:ind w:left="20"/>
              <w:spacing w:after="0" w:line="243" w:lineRule="exact"/>
              <w:rPr>
                <w:sz w:val="20"/>
                <w:szCs w:val="20"/>
                <w:color w:val="auto"/>
              </w:rPr>
            </w:pPr>
            <w:r>
              <w:rPr>
                <w:rFonts w:ascii="Arial" w:cs="Arial" w:eastAsia="Arial" w:hAnsi="Arial"/>
                <w:sz w:val="22"/>
                <w:szCs w:val="22"/>
                <w:color w:val="auto"/>
              </w:rPr>
              <w:t>Stock</w:t>
            </w:r>
          </w:p>
        </w:tc>
        <w:tc>
          <w:tcPr>
            <w:tcW w:w="20" w:type="dxa"/>
            <w:vAlign w:val="bottom"/>
          </w:tcPr>
          <w:p>
            <w:pPr>
              <w:spacing w:after="0"/>
              <w:rPr>
                <w:sz w:val="21"/>
                <w:szCs w:val="21"/>
                <w:color w:val="auto"/>
              </w:rPr>
            </w:pPr>
          </w:p>
        </w:tc>
        <w:tc>
          <w:tcPr>
            <w:tcW w:w="1200" w:type="dxa"/>
            <w:vAlign w:val="bottom"/>
            <w:shd w:val="clear" w:color="auto" w:fill="E7E7E2"/>
          </w:tcPr>
          <w:p>
            <w:pPr>
              <w:spacing w:after="0"/>
              <w:rPr>
                <w:sz w:val="21"/>
                <w:szCs w:val="21"/>
                <w:color w:val="auto"/>
              </w:rPr>
            </w:pPr>
          </w:p>
        </w:tc>
        <w:tc>
          <w:tcPr>
            <w:tcW w:w="40" w:type="dxa"/>
            <w:vAlign w:val="bottom"/>
          </w:tcPr>
          <w:p>
            <w:pPr>
              <w:spacing w:after="0"/>
              <w:rPr>
                <w:sz w:val="21"/>
                <w:szCs w:val="21"/>
                <w:color w:val="auto"/>
              </w:rPr>
            </w:pPr>
          </w:p>
        </w:tc>
        <w:tc>
          <w:tcPr>
            <w:tcW w:w="114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132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152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106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1480" w:type="dxa"/>
            <w:vAlign w:val="bottom"/>
            <w:shd w:val="clear" w:color="auto" w:fill="E7E7E2"/>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Borders>
              <w:left w:val="single" w:sz="8" w:color="auto"/>
            </w:tcBorders>
          </w:tcPr>
          <w:p>
            <w:pPr>
              <w:spacing w:after="0"/>
              <w:rPr>
                <w:sz w:val="21"/>
                <w:szCs w:val="21"/>
                <w:color w:val="auto"/>
              </w:rPr>
            </w:pPr>
          </w:p>
        </w:tc>
        <w:tc>
          <w:tcPr>
            <w:tcW w:w="16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shd w:val="clear" w:color="auto" w:fill="E7E7E2"/>
          </w:tcPr>
          <w:p>
            <w:pPr>
              <w:spacing w:after="0"/>
              <w:rPr>
                <w:sz w:val="21"/>
                <w:szCs w:val="21"/>
                <w:color w:val="auto"/>
              </w:rPr>
            </w:pPr>
          </w:p>
        </w:tc>
        <w:tc>
          <w:tcPr>
            <w:tcW w:w="40" w:type="dxa"/>
            <w:vAlign w:val="bottom"/>
          </w:tcPr>
          <w:p>
            <w:pPr>
              <w:spacing w:after="0"/>
              <w:rPr>
                <w:sz w:val="21"/>
                <w:szCs w:val="21"/>
                <w:color w:val="auto"/>
              </w:rPr>
            </w:pPr>
          </w:p>
        </w:tc>
        <w:tc>
          <w:tcPr>
            <w:tcW w:w="1000" w:type="dxa"/>
            <w:vAlign w:val="bottom"/>
            <w:shd w:val="clear" w:color="auto" w:fill="E7E7E2"/>
          </w:tcPr>
          <w:p>
            <w:pPr>
              <w:ind w:left="20"/>
              <w:spacing w:after="0" w:line="243" w:lineRule="exact"/>
              <w:rPr>
                <w:sz w:val="20"/>
                <w:szCs w:val="20"/>
                <w:color w:val="auto"/>
              </w:rPr>
            </w:pPr>
            <w:r>
              <w:rPr>
                <w:rFonts w:ascii="Arial" w:cs="Arial" w:eastAsia="Arial" w:hAnsi="Arial"/>
                <w:sz w:val="22"/>
                <w:szCs w:val="22"/>
                <w:color w:val="auto"/>
              </w:rPr>
              <w:t>Purchase</w:t>
            </w:r>
          </w:p>
        </w:tc>
        <w:tc>
          <w:tcPr>
            <w:tcW w:w="20" w:type="dxa"/>
            <w:vAlign w:val="bottom"/>
          </w:tcPr>
          <w:p>
            <w:pPr>
              <w:spacing w:after="0"/>
              <w:rPr>
                <w:sz w:val="21"/>
                <w:szCs w:val="21"/>
                <w:color w:val="auto"/>
              </w:rPr>
            </w:pPr>
          </w:p>
        </w:tc>
        <w:tc>
          <w:tcPr>
            <w:tcW w:w="1200" w:type="dxa"/>
            <w:vAlign w:val="bottom"/>
            <w:shd w:val="clear" w:color="auto" w:fill="E7E7E2"/>
          </w:tcPr>
          <w:p>
            <w:pPr>
              <w:spacing w:after="0"/>
              <w:rPr>
                <w:sz w:val="21"/>
                <w:szCs w:val="21"/>
                <w:color w:val="auto"/>
              </w:rPr>
            </w:pPr>
          </w:p>
        </w:tc>
        <w:tc>
          <w:tcPr>
            <w:tcW w:w="40" w:type="dxa"/>
            <w:vAlign w:val="bottom"/>
          </w:tcPr>
          <w:p>
            <w:pPr>
              <w:spacing w:after="0"/>
              <w:rPr>
                <w:sz w:val="21"/>
                <w:szCs w:val="21"/>
                <w:color w:val="auto"/>
              </w:rPr>
            </w:pPr>
          </w:p>
        </w:tc>
        <w:tc>
          <w:tcPr>
            <w:tcW w:w="114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132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152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106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1480" w:type="dxa"/>
            <w:vAlign w:val="bottom"/>
            <w:shd w:val="clear" w:color="auto" w:fill="E7E7E2"/>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Borders>
              <w:left w:val="single" w:sz="8" w:color="auto"/>
            </w:tcBorders>
          </w:tcPr>
          <w:p>
            <w:pPr>
              <w:spacing w:after="0"/>
              <w:rPr>
                <w:sz w:val="21"/>
                <w:szCs w:val="21"/>
                <w:color w:val="auto"/>
              </w:rPr>
            </w:pPr>
          </w:p>
        </w:tc>
        <w:tc>
          <w:tcPr>
            <w:tcW w:w="160" w:type="dxa"/>
            <w:vAlign w:val="bottom"/>
            <w:vMerge w:val="restart"/>
            <w:shd w:val="clear" w:color="auto" w:fill="E7E7E2"/>
          </w:tcPr>
          <w:p>
            <w:pPr>
              <w:jc w:val="right"/>
              <w:spacing w:after="0"/>
              <w:rPr>
                <w:sz w:val="20"/>
                <w:szCs w:val="20"/>
                <w:color w:val="auto"/>
              </w:rPr>
            </w:pPr>
            <w:r>
              <w:rPr>
                <w:rFonts w:ascii="Arial" w:cs="Arial" w:eastAsia="Arial" w:hAnsi="Arial"/>
                <w:sz w:val="22"/>
                <w:szCs w:val="22"/>
                <w:color w:val="auto"/>
                <w:w w:val="97"/>
              </w:rPr>
              <w:t>1</w:t>
            </w:r>
          </w:p>
        </w:tc>
        <w:tc>
          <w:tcPr>
            <w:tcW w:w="20" w:type="dxa"/>
            <w:vAlign w:val="bottom"/>
          </w:tcPr>
          <w:p>
            <w:pPr>
              <w:spacing w:after="0"/>
              <w:rPr>
                <w:sz w:val="21"/>
                <w:szCs w:val="21"/>
                <w:color w:val="auto"/>
              </w:rPr>
            </w:pPr>
          </w:p>
        </w:tc>
        <w:tc>
          <w:tcPr>
            <w:tcW w:w="940" w:type="dxa"/>
            <w:vAlign w:val="bottom"/>
            <w:vMerge w:val="restart"/>
            <w:shd w:val="clear" w:color="auto" w:fill="E7E7E2"/>
          </w:tcPr>
          <w:p>
            <w:pPr>
              <w:ind w:left="20"/>
              <w:spacing w:after="0"/>
              <w:rPr>
                <w:sz w:val="20"/>
                <w:szCs w:val="20"/>
                <w:color w:val="auto"/>
              </w:rPr>
            </w:pPr>
            <w:r>
              <w:rPr>
                <w:rFonts w:ascii="Arial" w:cs="Arial" w:eastAsia="Arial" w:hAnsi="Arial"/>
                <w:sz w:val="22"/>
                <w:szCs w:val="22"/>
                <w:color w:val="auto"/>
              </w:rPr>
              <w:t>Equity</w:t>
            </w:r>
          </w:p>
        </w:tc>
        <w:tc>
          <w:tcPr>
            <w:tcW w:w="40" w:type="dxa"/>
            <w:vAlign w:val="bottom"/>
          </w:tcPr>
          <w:p>
            <w:pPr>
              <w:spacing w:after="0"/>
              <w:rPr>
                <w:sz w:val="21"/>
                <w:szCs w:val="21"/>
                <w:color w:val="auto"/>
              </w:rPr>
            </w:pPr>
          </w:p>
        </w:tc>
        <w:tc>
          <w:tcPr>
            <w:tcW w:w="1000" w:type="dxa"/>
            <w:vAlign w:val="bottom"/>
            <w:shd w:val="clear" w:color="auto" w:fill="E7E7E2"/>
          </w:tcPr>
          <w:p>
            <w:pPr>
              <w:ind w:left="20"/>
              <w:spacing w:after="0" w:line="243" w:lineRule="exact"/>
              <w:rPr>
                <w:sz w:val="20"/>
                <w:szCs w:val="20"/>
                <w:color w:val="auto"/>
              </w:rPr>
            </w:pPr>
            <w:r>
              <w:rPr>
                <w:rFonts w:ascii="Arial" w:cs="Arial" w:eastAsia="Arial" w:hAnsi="Arial"/>
                <w:sz w:val="22"/>
                <w:szCs w:val="22"/>
                <w:color w:val="auto"/>
              </w:rPr>
              <w:t>Plan</w:t>
            </w:r>
          </w:p>
        </w:tc>
        <w:tc>
          <w:tcPr>
            <w:tcW w:w="20" w:type="dxa"/>
            <w:vAlign w:val="bottom"/>
          </w:tcPr>
          <w:p>
            <w:pPr>
              <w:spacing w:after="0"/>
              <w:rPr>
                <w:sz w:val="21"/>
                <w:szCs w:val="21"/>
                <w:color w:val="auto"/>
              </w:rPr>
            </w:pPr>
          </w:p>
        </w:tc>
        <w:tc>
          <w:tcPr>
            <w:tcW w:w="1200" w:type="dxa"/>
            <w:vAlign w:val="bottom"/>
            <w:vMerge w:val="restart"/>
            <w:shd w:val="clear" w:color="auto" w:fill="E7E7E2"/>
          </w:tcPr>
          <w:p>
            <w:pPr>
              <w:jc w:val="center"/>
              <w:spacing w:after="0"/>
              <w:rPr>
                <w:sz w:val="20"/>
                <w:szCs w:val="20"/>
                <w:color w:val="auto"/>
              </w:rPr>
            </w:pPr>
            <w:r>
              <w:rPr>
                <w:rFonts w:ascii="Arial" w:cs="Arial" w:eastAsia="Arial" w:hAnsi="Arial"/>
                <w:sz w:val="22"/>
                <w:szCs w:val="22"/>
                <w:color w:val="auto"/>
                <w:w w:val="97"/>
              </w:rPr>
              <w:t>457(a)</w:t>
            </w:r>
          </w:p>
        </w:tc>
        <w:tc>
          <w:tcPr>
            <w:tcW w:w="40" w:type="dxa"/>
            <w:vAlign w:val="bottom"/>
          </w:tcPr>
          <w:p>
            <w:pPr>
              <w:spacing w:after="0"/>
              <w:rPr>
                <w:sz w:val="21"/>
                <w:szCs w:val="21"/>
                <w:color w:val="auto"/>
              </w:rPr>
            </w:pPr>
          </w:p>
        </w:tc>
        <w:tc>
          <w:tcPr>
            <w:tcW w:w="1140" w:type="dxa"/>
            <w:vAlign w:val="bottom"/>
            <w:vMerge w:val="restart"/>
            <w:shd w:val="clear" w:color="auto" w:fill="E7E7E2"/>
          </w:tcPr>
          <w:p>
            <w:pPr>
              <w:jc w:val="right"/>
              <w:spacing w:after="0"/>
              <w:rPr>
                <w:sz w:val="20"/>
                <w:szCs w:val="20"/>
                <w:color w:val="auto"/>
              </w:rPr>
            </w:pPr>
            <w:r>
              <w:rPr>
                <w:rFonts w:ascii="Arial" w:cs="Arial" w:eastAsia="Arial" w:hAnsi="Arial"/>
                <w:sz w:val="22"/>
                <w:szCs w:val="22"/>
                <w:color w:val="auto"/>
              </w:rPr>
              <w:t>637,122</w:t>
            </w:r>
          </w:p>
        </w:tc>
        <w:tc>
          <w:tcPr>
            <w:tcW w:w="20" w:type="dxa"/>
            <w:vAlign w:val="bottom"/>
          </w:tcPr>
          <w:p>
            <w:pPr>
              <w:spacing w:after="0"/>
              <w:rPr>
                <w:sz w:val="21"/>
                <w:szCs w:val="21"/>
                <w:color w:val="auto"/>
              </w:rPr>
            </w:pPr>
          </w:p>
        </w:tc>
        <w:tc>
          <w:tcPr>
            <w:tcW w:w="1320" w:type="dxa"/>
            <w:vAlign w:val="bottom"/>
            <w:vMerge w:val="restart"/>
            <w:shd w:val="clear" w:color="auto" w:fill="E7E7E2"/>
          </w:tcPr>
          <w:p>
            <w:pPr>
              <w:jc w:val="right"/>
              <w:spacing w:after="0"/>
              <w:rPr>
                <w:sz w:val="20"/>
                <w:szCs w:val="20"/>
                <w:color w:val="auto"/>
              </w:rPr>
            </w:pPr>
            <w:r>
              <w:rPr>
                <w:rFonts w:ascii="Arial" w:cs="Arial" w:eastAsia="Arial" w:hAnsi="Arial"/>
                <w:sz w:val="22"/>
                <w:szCs w:val="22"/>
                <w:color w:val="auto"/>
              </w:rPr>
              <w:t>$ 87.46</w:t>
            </w:r>
          </w:p>
        </w:tc>
        <w:tc>
          <w:tcPr>
            <w:tcW w:w="20" w:type="dxa"/>
            <w:vAlign w:val="bottom"/>
          </w:tcPr>
          <w:p>
            <w:pPr>
              <w:spacing w:after="0"/>
              <w:rPr>
                <w:sz w:val="21"/>
                <w:szCs w:val="21"/>
                <w:color w:val="auto"/>
              </w:rPr>
            </w:pPr>
          </w:p>
        </w:tc>
        <w:tc>
          <w:tcPr>
            <w:tcW w:w="1520" w:type="dxa"/>
            <w:vAlign w:val="bottom"/>
            <w:shd w:val="clear" w:color="auto" w:fill="E7E7E2"/>
          </w:tcPr>
          <w:p>
            <w:pPr>
              <w:jc w:val="right"/>
              <w:spacing w:after="0" w:line="243" w:lineRule="exact"/>
              <w:rPr>
                <w:sz w:val="20"/>
                <w:szCs w:val="20"/>
                <w:color w:val="auto"/>
              </w:rPr>
            </w:pPr>
            <w:r>
              <w:rPr>
                <w:rFonts w:ascii="Arial" w:cs="Arial" w:eastAsia="Arial" w:hAnsi="Arial"/>
                <w:sz w:val="22"/>
                <w:szCs w:val="22"/>
                <w:color w:val="auto"/>
              </w:rPr>
              <w:t>$</w:t>
            </w:r>
          </w:p>
        </w:tc>
        <w:tc>
          <w:tcPr>
            <w:tcW w:w="20" w:type="dxa"/>
            <w:vAlign w:val="bottom"/>
          </w:tcPr>
          <w:p>
            <w:pPr>
              <w:spacing w:after="0"/>
              <w:rPr>
                <w:sz w:val="21"/>
                <w:szCs w:val="21"/>
                <w:color w:val="auto"/>
              </w:rPr>
            </w:pPr>
          </w:p>
        </w:tc>
        <w:tc>
          <w:tcPr>
            <w:tcW w:w="1060" w:type="dxa"/>
            <w:vAlign w:val="bottom"/>
            <w:vMerge w:val="restart"/>
            <w:shd w:val="clear" w:color="auto" w:fill="E7E7E2"/>
          </w:tcPr>
          <w:p>
            <w:pPr>
              <w:jc w:val="right"/>
              <w:spacing w:after="0"/>
              <w:rPr>
                <w:sz w:val="20"/>
                <w:szCs w:val="20"/>
                <w:color w:val="auto"/>
              </w:rPr>
            </w:pPr>
            <w:r>
              <w:rPr>
                <w:rFonts w:ascii="Arial" w:cs="Arial" w:eastAsia="Arial" w:hAnsi="Arial"/>
                <w:sz w:val="22"/>
                <w:szCs w:val="22"/>
                <w:color w:val="auto"/>
                <w:w w:val="98"/>
              </w:rPr>
              <w:t>0.0001531</w:t>
            </w:r>
          </w:p>
        </w:tc>
        <w:tc>
          <w:tcPr>
            <w:tcW w:w="20" w:type="dxa"/>
            <w:vAlign w:val="bottom"/>
          </w:tcPr>
          <w:p>
            <w:pPr>
              <w:spacing w:after="0"/>
              <w:rPr>
                <w:sz w:val="21"/>
                <w:szCs w:val="21"/>
                <w:color w:val="auto"/>
              </w:rPr>
            </w:pPr>
          </w:p>
        </w:tc>
        <w:tc>
          <w:tcPr>
            <w:tcW w:w="1480" w:type="dxa"/>
            <w:vAlign w:val="bottom"/>
            <w:vMerge w:val="restart"/>
            <w:shd w:val="clear" w:color="auto" w:fill="E7E7E2"/>
          </w:tcPr>
          <w:p>
            <w:pPr>
              <w:jc w:val="right"/>
              <w:spacing w:after="0"/>
              <w:rPr>
                <w:sz w:val="20"/>
                <w:szCs w:val="20"/>
                <w:color w:val="auto"/>
              </w:rPr>
            </w:pPr>
            <w:r>
              <w:rPr>
                <w:rFonts w:ascii="Arial" w:cs="Arial" w:eastAsia="Arial" w:hAnsi="Arial"/>
                <w:sz w:val="22"/>
                <w:szCs w:val="22"/>
                <w:color w:val="auto"/>
              </w:rPr>
              <w:t>$ 8,531.14</w:t>
            </w: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Borders>
              <w:left w:val="single" w:sz="8" w:color="auto"/>
            </w:tcBorders>
          </w:tcPr>
          <w:p>
            <w:pPr>
              <w:spacing w:after="0"/>
              <w:rPr>
                <w:sz w:val="21"/>
                <w:szCs w:val="21"/>
                <w:color w:val="auto"/>
              </w:rPr>
            </w:pPr>
          </w:p>
        </w:tc>
        <w:tc>
          <w:tcPr>
            <w:tcW w:w="160" w:type="dxa"/>
            <w:vAlign w:val="bottom"/>
            <w:vMerge w:val="continue"/>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vMerge w:val="continue"/>
            <w:shd w:val="clear" w:color="auto" w:fill="E7E7E2"/>
          </w:tcPr>
          <w:p>
            <w:pPr>
              <w:spacing w:after="0"/>
              <w:rPr>
                <w:sz w:val="21"/>
                <w:szCs w:val="21"/>
                <w:color w:val="auto"/>
              </w:rPr>
            </w:pPr>
          </w:p>
        </w:tc>
        <w:tc>
          <w:tcPr>
            <w:tcW w:w="40" w:type="dxa"/>
            <w:vAlign w:val="bottom"/>
          </w:tcPr>
          <w:p>
            <w:pPr>
              <w:spacing w:after="0"/>
              <w:rPr>
                <w:sz w:val="21"/>
                <w:szCs w:val="21"/>
                <w:color w:val="auto"/>
              </w:rPr>
            </w:pPr>
          </w:p>
        </w:tc>
        <w:tc>
          <w:tcPr>
            <w:tcW w:w="1000" w:type="dxa"/>
            <w:vAlign w:val="bottom"/>
            <w:shd w:val="clear" w:color="auto" w:fill="E7E7E2"/>
          </w:tcPr>
          <w:p>
            <w:pPr>
              <w:ind w:left="20"/>
              <w:spacing w:after="0" w:line="243" w:lineRule="exact"/>
              <w:rPr>
                <w:sz w:val="20"/>
                <w:szCs w:val="20"/>
                <w:color w:val="auto"/>
              </w:rPr>
            </w:pPr>
            <w:r>
              <w:rPr>
                <w:rFonts w:ascii="Arial" w:cs="Arial" w:eastAsia="Arial" w:hAnsi="Arial"/>
                <w:sz w:val="22"/>
                <w:szCs w:val="22"/>
                <w:color w:val="auto"/>
              </w:rPr>
              <w:t>Common</w:t>
            </w:r>
          </w:p>
        </w:tc>
        <w:tc>
          <w:tcPr>
            <w:tcW w:w="20" w:type="dxa"/>
            <w:vAlign w:val="bottom"/>
          </w:tcPr>
          <w:p>
            <w:pPr>
              <w:spacing w:after="0"/>
              <w:rPr>
                <w:sz w:val="21"/>
                <w:szCs w:val="21"/>
                <w:color w:val="auto"/>
              </w:rPr>
            </w:pPr>
          </w:p>
        </w:tc>
        <w:tc>
          <w:tcPr>
            <w:tcW w:w="1200" w:type="dxa"/>
            <w:vAlign w:val="bottom"/>
            <w:vMerge w:val="continue"/>
            <w:shd w:val="clear" w:color="auto" w:fill="E7E7E2"/>
          </w:tcPr>
          <w:p>
            <w:pPr>
              <w:spacing w:after="0"/>
              <w:rPr>
                <w:sz w:val="21"/>
                <w:szCs w:val="21"/>
                <w:color w:val="auto"/>
              </w:rPr>
            </w:pPr>
          </w:p>
        </w:tc>
        <w:tc>
          <w:tcPr>
            <w:tcW w:w="40" w:type="dxa"/>
            <w:vAlign w:val="bottom"/>
          </w:tcPr>
          <w:p>
            <w:pPr>
              <w:spacing w:after="0"/>
              <w:rPr>
                <w:sz w:val="21"/>
                <w:szCs w:val="21"/>
                <w:color w:val="auto"/>
              </w:rPr>
            </w:pPr>
          </w:p>
        </w:tc>
        <w:tc>
          <w:tcPr>
            <w:tcW w:w="1140" w:type="dxa"/>
            <w:vAlign w:val="bottom"/>
            <w:vMerge w:val="continue"/>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1320" w:type="dxa"/>
            <w:vAlign w:val="bottom"/>
            <w:vMerge w:val="continue"/>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1520" w:type="dxa"/>
            <w:vAlign w:val="bottom"/>
            <w:shd w:val="clear" w:color="auto" w:fill="E7E7E2"/>
          </w:tcPr>
          <w:p>
            <w:pPr>
              <w:jc w:val="right"/>
              <w:spacing w:after="0" w:line="243" w:lineRule="exact"/>
              <w:rPr>
                <w:sz w:val="20"/>
                <w:szCs w:val="20"/>
                <w:color w:val="auto"/>
              </w:rPr>
            </w:pPr>
            <w:r>
              <w:rPr>
                <w:rFonts w:ascii="Arial" w:cs="Arial" w:eastAsia="Arial" w:hAnsi="Arial"/>
                <w:sz w:val="22"/>
                <w:szCs w:val="22"/>
                <w:color w:val="auto"/>
              </w:rPr>
              <w:t>55,722,690.12</w:t>
            </w:r>
          </w:p>
        </w:tc>
        <w:tc>
          <w:tcPr>
            <w:tcW w:w="20" w:type="dxa"/>
            <w:vAlign w:val="bottom"/>
          </w:tcPr>
          <w:p>
            <w:pPr>
              <w:spacing w:after="0"/>
              <w:rPr>
                <w:sz w:val="21"/>
                <w:szCs w:val="21"/>
                <w:color w:val="auto"/>
              </w:rPr>
            </w:pPr>
          </w:p>
        </w:tc>
        <w:tc>
          <w:tcPr>
            <w:tcW w:w="1060" w:type="dxa"/>
            <w:vAlign w:val="bottom"/>
            <w:vMerge w:val="continue"/>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1480" w:type="dxa"/>
            <w:vAlign w:val="bottom"/>
            <w:vMerge w:val="continue"/>
            <w:shd w:val="clear" w:color="auto" w:fill="E7E7E2"/>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Borders>
              <w:left w:val="single" w:sz="8" w:color="auto"/>
            </w:tcBorders>
          </w:tcPr>
          <w:p>
            <w:pPr>
              <w:spacing w:after="0"/>
              <w:rPr>
                <w:sz w:val="21"/>
                <w:szCs w:val="21"/>
                <w:color w:val="auto"/>
              </w:rPr>
            </w:pPr>
          </w:p>
        </w:tc>
        <w:tc>
          <w:tcPr>
            <w:tcW w:w="16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shd w:val="clear" w:color="auto" w:fill="E7E7E2"/>
          </w:tcPr>
          <w:p>
            <w:pPr>
              <w:spacing w:after="0"/>
              <w:rPr>
                <w:sz w:val="21"/>
                <w:szCs w:val="21"/>
                <w:color w:val="auto"/>
              </w:rPr>
            </w:pPr>
          </w:p>
        </w:tc>
        <w:tc>
          <w:tcPr>
            <w:tcW w:w="40" w:type="dxa"/>
            <w:vAlign w:val="bottom"/>
          </w:tcPr>
          <w:p>
            <w:pPr>
              <w:spacing w:after="0"/>
              <w:rPr>
                <w:sz w:val="21"/>
                <w:szCs w:val="21"/>
                <w:color w:val="auto"/>
              </w:rPr>
            </w:pPr>
          </w:p>
        </w:tc>
        <w:tc>
          <w:tcPr>
            <w:tcW w:w="1000" w:type="dxa"/>
            <w:vAlign w:val="bottom"/>
            <w:shd w:val="clear" w:color="auto" w:fill="E7E7E2"/>
          </w:tcPr>
          <w:p>
            <w:pPr>
              <w:ind w:left="20"/>
              <w:spacing w:after="0" w:line="243" w:lineRule="exact"/>
              <w:rPr>
                <w:sz w:val="20"/>
                <w:szCs w:val="20"/>
                <w:color w:val="auto"/>
              </w:rPr>
            </w:pPr>
            <w:r>
              <w:rPr>
                <w:rFonts w:ascii="Arial" w:cs="Arial" w:eastAsia="Arial" w:hAnsi="Arial"/>
                <w:sz w:val="22"/>
                <w:szCs w:val="22"/>
                <w:color w:val="auto"/>
              </w:rPr>
              <w:t>Stock,</w:t>
            </w:r>
          </w:p>
        </w:tc>
        <w:tc>
          <w:tcPr>
            <w:tcW w:w="20" w:type="dxa"/>
            <w:vAlign w:val="bottom"/>
          </w:tcPr>
          <w:p>
            <w:pPr>
              <w:spacing w:after="0"/>
              <w:rPr>
                <w:sz w:val="21"/>
                <w:szCs w:val="21"/>
                <w:color w:val="auto"/>
              </w:rPr>
            </w:pPr>
          </w:p>
        </w:tc>
        <w:tc>
          <w:tcPr>
            <w:tcW w:w="1200" w:type="dxa"/>
            <w:vAlign w:val="bottom"/>
            <w:shd w:val="clear" w:color="auto" w:fill="E7E7E2"/>
          </w:tcPr>
          <w:p>
            <w:pPr>
              <w:spacing w:after="0"/>
              <w:rPr>
                <w:sz w:val="21"/>
                <w:szCs w:val="21"/>
                <w:color w:val="auto"/>
              </w:rPr>
            </w:pPr>
          </w:p>
        </w:tc>
        <w:tc>
          <w:tcPr>
            <w:tcW w:w="40" w:type="dxa"/>
            <w:vAlign w:val="bottom"/>
          </w:tcPr>
          <w:p>
            <w:pPr>
              <w:spacing w:after="0"/>
              <w:rPr>
                <w:sz w:val="21"/>
                <w:szCs w:val="21"/>
                <w:color w:val="auto"/>
              </w:rPr>
            </w:pPr>
          </w:p>
        </w:tc>
        <w:tc>
          <w:tcPr>
            <w:tcW w:w="114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132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152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106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1480" w:type="dxa"/>
            <w:vAlign w:val="bottom"/>
            <w:shd w:val="clear" w:color="auto" w:fill="E7E7E2"/>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Borders>
              <w:left w:val="single" w:sz="8" w:color="auto"/>
            </w:tcBorders>
          </w:tcPr>
          <w:p>
            <w:pPr>
              <w:spacing w:after="0"/>
              <w:rPr>
                <w:sz w:val="21"/>
                <w:szCs w:val="21"/>
                <w:color w:val="auto"/>
              </w:rPr>
            </w:pPr>
          </w:p>
        </w:tc>
        <w:tc>
          <w:tcPr>
            <w:tcW w:w="16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shd w:val="clear" w:color="auto" w:fill="E7E7E2"/>
          </w:tcPr>
          <w:p>
            <w:pPr>
              <w:spacing w:after="0"/>
              <w:rPr>
                <w:sz w:val="21"/>
                <w:szCs w:val="21"/>
                <w:color w:val="auto"/>
              </w:rPr>
            </w:pPr>
          </w:p>
        </w:tc>
        <w:tc>
          <w:tcPr>
            <w:tcW w:w="40" w:type="dxa"/>
            <w:vAlign w:val="bottom"/>
          </w:tcPr>
          <w:p>
            <w:pPr>
              <w:spacing w:after="0"/>
              <w:rPr>
                <w:sz w:val="21"/>
                <w:szCs w:val="21"/>
                <w:color w:val="auto"/>
              </w:rPr>
            </w:pPr>
          </w:p>
        </w:tc>
        <w:tc>
          <w:tcPr>
            <w:tcW w:w="1000" w:type="dxa"/>
            <w:vAlign w:val="bottom"/>
            <w:shd w:val="clear" w:color="auto" w:fill="E7E7E2"/>
          </w:tcPr>
          <w:p>
            <w:pPr>
              <w:ind w:left="20"/>
              <w:spacing w:after="0" w:line="243" w:lineRule="exact"/>
              <w:rPr>
                <w:sz w:val="20"/>
                <w:szCs w:val="20"/>
                <w:color w:val="auto"/>
              </w:rPr>
            </w:pPr>
            <w:r>
              <w:rPr>
                <w:rFonts w:ascii="Arial" w:cs="Arial" w:eastAsia="Arial" w:hAnsi="Arial"/>
                <w:sz w:val="22"/>
                <w:szCs w:val="22"/>
                <w:color w:val="auto"/>
              </w:rPr>
              <w:t>$0.001</w:t>
            </w:r>
          </w:p>
        </w:tc>
        <w:tc>
          <w:tcPr>
            <w:tcW w:w="20" w:type="dxa"/>
            <w:vAlign w:val="bottom"/>
          </w:tcPr>
          <w:p>
            <w:pPr>
              <w:spacing w:after="0"/>
              <w:rPr>
                <w:sz w:val="21"/>
                <w:szCs w:val="21"/>
                <w:color w:val="auto"/>
              </w:rPr>
            </w:pPr>
          </w:p>
        </w:tc>
        <w:tc>
          <w:tcPr>
            <w:tcW w:w="1200" w:type="dxa"/>
            <w:vAlign w:val="bottom"/>
            <w:shd w:val="clear" w:color="auto" w:fill="E7E7E2"/>
          </w:tcPr>
          <w:p>
            <w:pPr>
              <w:spacing w:after="0"/>
              <w:rPr>
                <w:sz w:val="21"/>
                <w:szCs w:val="21"/>
                <w:color w:val="auto"/>
              </w:rPr>
            </w:pPr>
          </w:p>
        </w:tc>
        <w:tc>
          <w:tcPr>
            <w:tcW w:w="40" w:type="dxa"/>
            <w:vAlign w:val="bottom"/>
          </w:tcPr>
          <w:p>
            <w:pPr>
              <w:spacing w:after="0"/>
              <w:rPr>
                <w:sz w:val="21"/>
                <w:szCs w:val="21"/>
                <w:color w:val="auto"/>
              </w:rPr>
            </w:pPr>
          </w:p>
        </w:tc>
        <w:tc>
          <w:tcPr>
            <w:tcW w:w="114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132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152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106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1480" w:type="dxa"/>
            <w:vAlign w:val="bottom"/>
            <w:shd w:val="clear" w:color="auto" w:fill="E7E7E2"/>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Borders>
              <w:left w:val="single" w:sz="8" w:color="auto"/>
            </w:tcBorders>
          </w:tcPr>
          <w:p>
            <w:pPr>
              <w:spacing w:after="0"/>
              <w:rPr>
                <w:sz w:val="21"/>
                <w:szCs w:val="21"/>
                <w:color w:val="auto"/>
              </w:rPr>
            </w:pPr>
          </w:p>
        </w:tc>
        <w:tc>
          <w:tcPr>
            <w:tcW w:w="16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shd w:val="clear" w:color="auto" w:fill="E7E7E2"/>
          </w:tcPr>
          <w:p>
            <w:pPr>
              <w:spacing w:after="0"/>
              <w:rPr>
                <w:sz w:val="21"/>
                <w:szCs w:val="21"/>
                <w:color w:val="auto"/>
              </w:rPr>
            </w:pPr>
          </w:p>
        </w:tc>
        <w:tc>
          <w:tcPr>
            <w:tcW w:w="40" w:type="dxa"/>
            <w:vAlign w:val="bottom"/>
          </w:tcPr>
          <w:p>
            <w:pPr>
              <w:spacing w:after="0"/>
              <w:rPr>
                <w:sz w:val="21"/>
                <w:szCs w:val="21"/>
                <w:color w:val="auto"/>
              </w:rPr>
            </w:pPr>
          </w:p>
        </w:tc>
        <w:tc>
          <w:tcPr>
            <w:tcW w:w="1000" w:type="dxa"/>
            <w:vAlign w:val="bottom"/>
            <w:shd w:val="clear" w:color="auto" w:fill="E7E7E2"/>
          </w:tcPr>
          <w:p>
            <w:pPr>
              <w:ind w:left="20"/>
              <w:spacing w:after="0" w:line="243" w:lineRule="exact"/>
              <w:rPr>
                <w:sz w:val="20"/>
                <w:szCs w:val="20"/>
                <w:color w:val="auto"/>
              </w:rPr>
            </w:pPr>
            <w:r>
              <w:rPr>
                <w:rFonts w:ascii="Arial" w:cs="Arial" w:eastAsia="Arial" w:hAnsi="Arial"/>
                <w:sz w:val="22"/>
                <w:szCs w:val="22"/>
                <w:color w:val="auto"/>
              </w:rPr>
              <w:t>par value</w:t>
            </w:r>
          </w:p>
        </w:tc>
        <w:tc>
          <w:tcPr>
            <w:tcW w:w="20" w:type="dxa"/>
            <w:vAlign w:val="bottom"/>
          </w:tcPr>
          <w:p>
            <w:pPr>
              <w:spacing w:after="0"/>
              <w:rPr>
                <w:sz w:val="21"/>
                <w:szCs w:val="21"/>
                <w:color w:val="auto"/>
              </w:rPr>
            </w:pPr>
          </w:p>
        </w:tc>
        <w:tc>
          <w:tcPr>
            <w:tcW w:w="1200" w:type="dxa"/>
            <w:vAlign w:val="bottom"/>
            <w:shd w:val="clear" w:color="auto" w:fill="E7E7E2"/>
          </w:tcPr>
          <w:p>
            <w:pPr>
              <w:spacing w:after="0"/>
              <w:rPr>
                <w:sz w:val="21"/>
                <w:szCs w:val="21"/>
                <w:color w:val="auto"/>
              </w:rPr>
            </w:pPr>
          </w:p>
        </w:tc>
        <w:tc>
          <w:tcPr>
            <w:tcW w:w="40" w:type="dxa"/>
            <w:vAlign w:val="bottom"/>
          </w:tcPr>
          <w:p>
            <w:pPr>
              <w:spacing w:after="0"/>
              <w:rPr>
                <w:sz w:val="21"/>
                <w:szCs w:val="21"/>
                <w:color w:val="auto"/>
              </w:rPr>
            </w:pPr>
          </w:p>
        </w:tc>
        <w:tc>
          <w:tcPr>
            <w:tcW w:w="114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132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152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106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1480" w:type="dxa"/>
            <w:vAlign w:val="bottom"/>
            <w:shd w:val="clear" w:color="auto" w:fill="E7E7E2"/>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shd w:val="clear" w:color="auto" w:fill="E7E7E2"/>
          </w:tcPr>
          <w:p>
            <w:pPr>
              <w:ind w:left="20"/>
              <w:spacing w:after="0"/>
              <w:rPr>
                <w:sz w:val="20"/>
                <w:szCs w:val="20"/>
                <w:color w:val="auto"/>
              </w:rPr>
            </w:pPr>
            <w:r>
              <w:rPr>
                <w:rFonts w:ascii="Arial" w:cs="Arial" w:eastAsia="Arial" w:hAnsi="Arial"/>
                <w:sz w:val="22"/>
                <w:szCs w:val="22"/>
                <w:color w:val="auto"/>
              </w:rPr>
              <w:t>per share</w:t>
            </w:r>
          </w:p>
        </w:tc>
        <w:tc>
          <w:tcPr>
            <w:tcW w:w="20" w:type="dxa"/>
            <w:vAlign w:val="bottom"/>
          </w:tcPr>
          <w:p>
            <w:pPr>
              <w:spacing w:after="0"/>
              <w:rPr>
                <w:sz w:val="24"/>
                <w:szCs w:val="24"/>
                <w:color w:val="auto"/>
              </w:rPr>
            </w:pPr>
          </w:p>
        </w:tc>
        <w:tc>
          <w:tcPr>
            <w:tcW w:w="12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shd w:val="clear" w:color="auto" w:fill="E7E7E2"/>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lef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380" w:type="dxa"/>
            <w:vAlign w:val="bottom"/>
            <w:gridSpan w:val="3"/>
          </w:tcPr>
          <w:p>
            <w:pPr>
              <w:jc w:val="right"/>
              <w:spacing w:after="0"/>
              <w:rPr>
                <w:sz w:val="20"/>
                <w:szCs w:val="20"/>
                <w:color w:val="auto"/>
              </w:rPr>
            </w:pPr>
            <w:r>
              <w:rPr>
                <w:rFonts w:ascii="Arial" w:cs="Arial" w:eastAsia="Arial" w:hAnsi="Arial"/>
                <w:sz w:val="22"/>
                <w:szCs w:val="22"/>
                <w:color w:val="auto"/>
              </w:rPr>
              <w:t>Total Offering Amounts:</w:t>
            </w:r>
          </w:p>
        </w:tc>
        <w:tc>
          <w:tcPr>
            <w:tcW w:w="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54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500" w:type="dxa"/>
            <w:vAlign w:val="bottom"/>
            <w:gridSpan w:val="2"/>
          </w:tcPr>
          <w:p>
            <w:pPr>
              <w:jc w:val="right"/>
              <w:spacing w:after="0"/>
              <w:rPr>
                <w:sz w:val="20"/>
                <w:szCs w:val="20"/>
                <w:color w:val="auto"/>
              </w:rPr>
            </w:pPr>
            <w:r>
              <w:rPr>
                <w:rFonts w:ascii="Arial" w:cs="Arial" w:eastAsia="Arial" w:hAnsi="Arial"/>
                <w:sz w:val="22"/>
                <w:szCs w:val="22"/>
                <w:color w:val="auto"/>
              </w:rPr>
              <w:t>$ 8,531.14</w:t>
            </w: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40" w:type="dxa"/>
            <w:vAlign w:val="bottom"/>
            <w:gridSpan w:val="2"/>
          </w:tcPr>
          <w:p>
            <w:pPr>
              <w:jc w:val="right"/>
              <w:spacing w:after="0"/>
              <w:rPr>
                <w:sz w:val="20"/>
                <w:szCs w:val="20"/>
                <w:color w:val="auto"/>
              </w:rPr>
            </w:pPr>
            <w:r>
              <w:rPr>
                <w:rFonts w:ascii="Arial" w:cs="Arial" w:eastAsia="Arial" w:hAnsi="Arial"/>
                <w:sz w:val="22"/>
                <w:szCs w:val="22"/>
                <w:color w:val="auto"/>
              </w:rPr>
              <w:t>55,722,690.12</w:t>
            </w: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80" w:type="dxa"/>
            <w:vAlign w:val="bottom"/>
            <w:gridSpan w:val="3"/>
          </w:tcPr>
          <w:p>
            <w:pPr>
              <w:jc w:val="right"/>
              <w:spacing w:after="0"/>
              <w:rPr>
                <w:sz w:val="20"/>
                <w:szCs w:val="20"/>
                <w:color w:val="auto"/>
              </w:rPr>
            </w:pPr>
            <w:r>
              <w:rPr>
                <w:rFonts w:ascii="Arial" w:cs="Arial" w:eastAsia="Arial" w:hAnsi="Arial"/>
                <w:sz w:val="22"/>
                <w:szCs w:val="22"/>
                <w:color w:val="auto"/>
              </w:rPr>
              <w:t>Total Fee Offsets:</w:t>
            </w: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00" w:type="dxa"/>
            <w:vAlign w:val="bottom"/>
            <w:gridSpan w:val="2"/>
          </w:tcPr>
          <w:p>
            <w:pPr>
              <w:jc w:val="right"/>
              <w:spacing w:after="0"/>
              <w:rPr>
                <w:sz w:val="20"/>
                <w:szCs w:val="20"/>
                <w:color w:val="auto"/>
              </w:rPr>
            </w:pPr>
            <w:r>
              <w:rPr>
                <w:rFonts w:ascii="Arial" w:cs="Arial" w:eastAsia="Arial" w:hAnsi="Arial"/>
                <w:sz w:val="22"/>
                <w:szCs w:val="22"/>
                <w:color w:val="auto"/>
              </w:rPr>
              <w:t>$ 0.00</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80" w:type="dxa"/>
            <w:vAlign w:val="bottom"/>
            <w:gridSpan w:val="3"/>
          </w:tcPr>
          <w:p>
            <w:pPr>
              <w:jc w:val="right"/>
              <w:spacing w:after="0"/>
              <w:rPr>
                <w:sz w:val="20"/>
                <w:szCs w:val="20"/>
                <w:color w:val="auto"/>
              </w:rPr>
            </w:pPr>
            <w:r>
              <w:rPr>
                <w:rFonts w:ascii="Arial" w:cs="Arial" w:eastAsia="Arial" w:hAnsi="Arial"/>
                <w:sz w:val="22"/>
                <w:szCs w:val="22"/>
                <w:color w:val="auto"/>
              </w:rPr>
              <w:t>Net Fee Due:</w:t>
            </w: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00" w:type="dxa"/>
            <w:vAlign w:val="bottom"/>
            <w:gridSpan w:val="2"/>
          </w:tcPr>
          <w:p>
            <w:pPr>
              <w:jc w:val="right"/>
              <w:spacing w:after="0"/>
              <w:rPr>
                <w:sz w:val="20"/>
                <w:szCs w:val="20"/>
                <w:color w:val="auto"/>
              </w:rPr>
            </w:pPr>
            <w:r>
              <w:rPr>
                <w:rFonts w:ascii="Arial" w:cs="Arial" w:eastAsia="Arial" w:hAnsi="Arial"/>
                <w:sz w:val="22"/>
                <w:szCs w:val="22"/>
                <w:color w:val="auto"/>
              </w:rPr>
              <w:t>$ 8,531.14</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Offering Note</w:t>
      </w:r>
    </w:p>
    <w:p>
      <w:pPr>
        <w:spacing w:after="0" w:line="154" w:lineRule="exact"/>
        <w:rPr>
          <w:sz w:val="20"/>
          <w:szCs w:val="20"/>
          <w:color w:val="auto"/>
        </w:rPr>
      </w:pPr>
    </w:p>
    <w:p>
      <w:pPr>
        <w:spacing w:after="0"/>
        <w:rPr>
          <w:sz w:val="20"/>
          <w:szCs w:val="20"/>
          <w:color w:val="auto"/>
        </w:rPr>
      </w:pPr>
      <w:r>
        <w:rPr>
          <w:rFonts w:ascii="Arial" w:cs="Arial" w:eastAsia="Arial" w:hAnsi="Arial"/>
          <w:sz w:val="13"/>
          <w:szCs w:val="13"/>
          <w:color w:val="auto"/>
        </w:rPr>
        <w:t>1</w:t>
      </w:r>
    </w:p>
    <w:p>
      <w:pPr>
        <w:spacing w:after="0" w:line="80" w:lineRule="exact"/>
        <w:rPr>
          <w:sz w:val="20"/>
          <w:szCs w:val="20"/>
          <w:color w:val="auto"/>
        </w:rPr>
      </w:pPr>
    </w:p>
    <w:p>
      <w:pPr>
        <w:ind w:left="240"/>
        <w:spacing w:after="0" w:line="236" w:lineRule="auto"/>
        <w:rPr>
          <w:sz w:val="20"/>
          <w:szCs w:val="20"/>
          <w:color w:val="auto"/>
        </w:rPr>
      </w:pPr>
      <w:r>
        <w:rPr>
          <w:rFonts w:ascii="Arial" w:cs="Arial" w:eastAsia="Arial" w:hAnsi="Arial"/>
          <w:sz w:val="22"/>
          <w:szCs w:val="22"/>
          <w:color w:val="auto"/>
        </w:rPr>
        <w:t>In accordance with Rule 416 under the Securities Act of 1933, as amended (the "Securities Act"), this registration statement shall be deemed to cover any additional shares of common stock that may from time to time be offered or issued under the above-named plan to prevent dilution resulting from stock splits, stock dividends, recapitalizations or similar transactions effected without the receipt of consideration which results in an increase in the number of the Registrant's outstanding shares of Common Stock. Pursuant to Rule 416(c) under the Securities Act, this Registration Statement shall also cover an indeterminate amount of interests to be offered or sold pursuant to the employee benefit plans described herein.</w:t>
      </w:r>
    </w:p>
    <w:p>
      <w:pPr>
        <w:spacing w:after="0" w:line="203" w:lineRule="exact"/>
        <w:rPr>
          <w:sz w:val="20"/>
          <w:szCs w:val="20"/>
          <w:color w:val="auto"/>
        </w:rPr>
      </w:pPr>
    </w:p>
    <w:p>
      <w:pPr>
        <w:ind w:left="240" w:right="140"/>
        <w:spacing w:after="0"/>
        <w:rPr>
          <w:sz w:val="20"/>
          <w:szCs w:val="20"/>
          <w:color w:val="auto"/>
        </w:rPr>
      </w:pPr>
      <w:r>
        <w:rPr>
          <w:rFonts w:ascii="Arial" w:cs="Arial" w:eastAsia="Arial" w:hAnsi="Arial"/>
          <w:sz w:val="22"/>
          <w:szCs w:val="22"/>
          <w:color w:val="auto"/>
        </w:rPr>
        <w:t>Estimated solely for the purpose of calculating the registration fee pursuant to Rules 457(c) and 457(h) of the Securities Act and based upon the average of the high and low prices of the Registrant's Common Stock as reported on The Nasdaq Global Select Market on February 10, 2025, multiplied by 85%, which is the percentage of the price per share applicable to purchasers under the 2015 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236220</wp:posOffset>
            </wp:positionV>
            <wp:extent cx="697738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8">
                      <a:extLst>
                        <a:ext uri="{28A0092B-C50C-407E-A947-70E740481C1C}"/>
                      </a:extLst>
                    </a:blip>
                    <a:srcRect/>
                    <a:stretch>
                      <a:fillRect/>
                    </a:stretch>
                  </pic:blipFill>
                  <pic:spPr bwMode="auto">
                    <a:xfrm>
                      <a:off x="0" y="0"/>
                      <a:ext cx="6977380" cy="42545"/>
                    </a:xfrm>
                    <a:prstGeom prst="rect">
                      <a:avLst/>
                    </a:prstGeom>
                    <a:noFill/>
                  </pic:spPr>
                </pic:pic>
              </a:graphicData>
            </a:graphic>
          </wp:anchor>
        </w:drawing>
      </w:r>
    </w:p>
    <w:sectPr>
      <w:pgSz w:w="11900" w:h="16838" w:orient="portrait"/>
      <w:cols w:equalWidth="0" w:num="1">
        <w:col w:w="11120"/>
      </w:cols>
      <w:pgMar w:left="360" w:top="142"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24" Type="http://schemas.openxmlformats.org/officeDocument/2006/relationships/image" Target="media/image9.png"/><Relationship Id="rId27" Type="http://schemas.openxmlformats.org/officeDocument/2006/relationships/image" Target="media/image10.png"/><Relationship Id="rId32" Type="http://schemas.openxmlformats.org/officeDocument/2006/relationships/image" Target="media/image11.png"/><Relationship Id="rId33" Type="http://schemas.openxmlformats.org/officeDocument/2006/relationships/image" Target="media/image12.png"/><Relationship Id="rId34" Type="http://schemas.openxmlformats.org/officeDocument/2006/relationships/image" Target="media/image13.png"/><Relationship Id="rId35" Type="http://schemas.openxmlformats.org/officeDocument/2006/relationships/image" Target="media/image14.jpeg"/><Relationship Id="rId36" Type="http://schemas.openxmlformats.org/officeDocument/2006/relationships/image" Target="media/image15.png"/><Relationship Id="rId37" Type="http://schemas.openxmlformats.org/officeDocument/2006/relationships/image" Target="media/image16.png"/><Relationship Id="rId38" Type="http://schemas.openxmlformats.org/officeDocument/2006/relationships/image" Target="media/image17.png"/><Relationship Id="rId16" Type="http://schemas.openxmlformats.org/officeDocument/2006/relationships/hyperlink" Target="http://www.sec.gov/Archives/edgar/data/1597264/000110465915032381/a15-10041_1s8.htm" TargetMode="External"/><Relationship Id="rId17" Type="http://schemas.openxmlformats.org/officeDocument/2006/relationships/hyperlink" Target="http://www.sec.gov/Archives/edgar/data/1597264/000155837016004067/bpmc-20160311xs8.htm" TargetMode="External"/><Relationship Id="rId18" Type="http://schemas.openxmlformats.org/officeDocument/2006/relationships/hyperlink" Target="http://www.sec.gov/Archives/edgar/data/1597264/000155837017001552/bpmc_currentfolios8.htm" TargetMode="External"/><Relationship Id="rId19" Type="http://schemas.openxmlformats.org/officeDocument/2006/relationships/hyperlink" Target="http://www.sec.gov/Archives/edgar/data/1597264/000155837018000868/s-8.htm" TargetMode="External"/><Relationship Id="rId20" Type="http://schemas.openxmlformats.org/officeDocument/2006/relationships/hyperlink" Target="http://www.sec.gov/Archives/edgar/data/1597264/000155837019001099/s-8.htm" TargetMode="External"/><Relationship Id="rId21" Type="http://schemas.openxmlformats.org/officeDocument/2006/relationships/hyperlink" Target="https://www.sec.gov/Archives/edgar/data/1597264/000155837020000787/s-8.htm" TargetMode="External"/><Relationship Id="rId22" Type="http://schemas.openxmlformats.org/officeDocument/2006/relationships/hyperlink" Target="https://www.sec.gov/Archives/edgar/data/1597264/000155837021001147/tmb-20210217xs8.htm" TargetMode="External"/><Relationship Id="rId23" Type="http://schemas.openxmlformats.org/officeDocument/2006/relationships/hyperlink" Target="https://www.sec.gov/Archives/edgar/data/1597264/000110465922024503/tm226665d1_s8.htm" TargetMode="External"/><Relationship Id="rId25" Type="http://schemas.openxmlformats.org/officeDocument/2006/relationships/hyperlink" Target="https://www.sec.gov/Archives/edgar/data/1597264/000110465923023067/tm236850d1_s8.htm" TargetMode="External"/><Relationship Id="rId26" Type="http://schemas.openxmlformats.org/officeDocument/2006/relationships/hyperlink" Target="https://www.sec.gov/Archives/edgar/data/1597264/000110465924024937/tm246267d1_s8.htm" TargetMode="External"/><Relationship Id="rId28" Type="http://schemas.openxmlformats.org/officeDocument/2006/relationships/hyperlink" Target="http://www.sec.gov/Archives/edgar/data/1597264/000155837015002529/bpmc-20150930ex3100367a3.htm" TargetMode="External"/><Relationship Id="rId29" Type="http://schemas.openxmlformats.org/officeDocument/2006/relationships/hyperlink" Target="https://www.sec.gov/Archives/edgar/data/1597264/000155837020005307/bpmc-20200331xex3d1.htm" TargetMode="External"/><Relationship Id="rId30" Type="http://schemas.openxmlformats.org/officeDocument/2006/relationships/hyperlink" Target="http://www.sec.gov/Archives/edgar/data/1597264/000104746915003668/a2224211zex-4_1.htm" TargetMode="External"/><Relationship Id="rId31" Type="http://schemas.openxmlformats.org/officeDocument/2006/relationships/hyperlink" Target="http://www.sec.gov/Archives/edgar/data/1597264/000155837020000784/ex-10d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2025-02-13T16:27:51Z</dcterms:created>
  <dcterms:modified xsi:type="dcterms:W3CDTF">2025-02-13T16:27:51Z</dcterms:modified>
</cp:coreProperties>
</file>