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May 6, 2020</w:t>
      </w:r>
    </w:p>
    <w:p>
      <w:pPr>
        <w:spacing w:after="0" w:line="26" w:lineRule="exact"/>
        <w:rPr>
          <w:sz w:val="24"/>
          <w:szCs w:val="24"/>
          <w:color w:val="auto"/>
        </w:rPr>
      </w:pPr>
    </w:p>
    <w:p>
      <w:pPr>
        <w:ind w:left="84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90805</wp:posOffset>
            </wp:positionV>
            <wp:extent cx="162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100330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Blueprint Medicines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90805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4"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jc w:val="center"/>
              <w:ind w:right="3328"/>
              <w:spacing w:after="0"/>
              <w:rPr>
                <w:sz w:val="20"/>
                <w:szCs w:val="20"/>
                <w:color w:val="auto"/>
              </w:rPr>
            </w:pPr>
            <w:r>
              <w:rPr>
                <w:rFonts w:ascii="Arial" w:cs="Arial" w:eastAsia="Arial" w:hAnsi="Arial"/>
                <w:sz w:val="14"/>
                <w:szCs w:val="14"/>
                <w:b w:val="1"/>
                <w:bCs w:val="1"/>
                <w:color w:val="auto"/>
                <w:w w:val="94"/>
              </w:rPr>
              <w:t>Delaware</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26-3632015</w:t>
            </w:r>
          </w:p>
        </w:tc>
        <w:tc>
          <w:tcPr>
            <w:tcW w:w="0" w:type="dxa"/>
            <w:vAlign w:val="bottom"/>
          </w:tcPr>
          <w:p>
            <w:pPr>
              <w:spacing w:after="0"/>
              <w:rPr>
                <w:sz w:val="1"/>
                <w:szCs w:val="1"/>
                <w:color w:val="auto"/>
              </w:rPr>
            </w:pPr>
          </w:p>
        </w:tc>
      </w:tr>
      <w:tr>
        <w:trPr>
          <w:trHeight w:val="148"/>
        </w:trPr>
        <w:tc>
          <w:tcPr>
            <w:tcW w:w="5660" w:type="dxa"/>
            <w:vAlign w:val="bottom"/>
          </w:tcPr>
          <w:p>
            <w:pPr>
              <w:jc w:val="center"/>
              <w:ind w:right="3308"/>
              <w:spacing w:after="0" w:line="149" w:lineRule="exact"/>
              <w:rPr>
                <w:sz w:val="20"/>
                <w:szCs w:val="20"/>
                <w:color w:val="auto"/>
              </w:rPr>
            </w:pPr>
            <w:r>
              <w:rPr>
                <w:rFonts w:ascii="Arial" w:cs="Arial" w:eastAsia="Arial" w:hAnsi="Arial"/>
                <w:sz w:val="14"/>
                <w:szCs w:val="14"/>
                <w:color w:val="auto"/>
                <w:w w:val="95"/>
              </w:rPr>
              <w:t>(State or other jurisdiction</w:t>
            </w:r>
          </w:p>
        </w:tc>
        <w:tc>
          <w:tcPr>
            <w:tcW w:w="12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660" w:type="dxa"/>
            <w:vAlign w:val="bottom"/>
          </w:tcPr>
          <w:p>
            <w:pPr>
              <w:jc w:val="center"/>
              <w:ind w:right="3328"/>
              <w:spacing w:after="0"/>
              <w:rPr>
                <w:sz w:val="20"/>
                <w:szCs w:val="20"/>
                <w:color w:val="auto"/>
              </w:rPr>
            </w:pPr>
            <w:r>
              <w:rPr>
                <w:rFonts w:ascii="Arial" w:cs="Arial" w:eastAsia="Arial" w:hAnsi="Arial"/>
                <w:sz w:val="14"/>
                <w:szCs w:val="14"/>
                <w:color w:val="auto"/>
                <w:w w:val="96"/>
              </w:rPr>
              <w:t>of incorporation)</w:t>
            </w:r>
          </w:p>
        </w:tc>
        <w:tc>
          <w:tcPr>
            <w:tcW w:w="1240" w:type="dxa"/>
            <w:vAlign w:val="bottom"/>
          </w:tcPr>
          <w:p>
            <w:pPr>
              <w:jc w:val="center"/>
              <w:ind w:left="8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9"/>
        </w:trPr>
        <w:tc>
          <w:tcPr>
            <w:tcW w:w="5660" w:type="dxa"/>
            <w:vAlign w:val="bottom"/>
          </w:tcPr>
          <w:p>
            <w:pPr>
              <w:jc w:val="center"/>
              <w:ind w:right="3308"/>
              <w:spacing w:after="0"/>
              <w:rPr>
                <w:sz w:val="20"/>
                <w:szCs w:val="20"/>
                <w:color w:val="auto"/>
              </w:rPr>
            </w:pPr>
            <w:r>
              <w:rPr>
                <w:rFonts w:ascii="Arial" w:cs="Arial" w:eastAsia="Arial" w:hAnsi="Arial"/>
                <w:sz w:val="14"/>
                <w:szCs w:val="14"/>
                <w:b w:val="1"/>
                <w:bCs w:val="1"/>
                <w:color w:val="auto"/>
                <w:w w:val="91"/>
              </w:rPr>
              <w:t>45 Sidney Street</w:t>
            </w: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53"/>
        </w:trPr>
        <w:tc>
          <w:tcPr>
            <w:tcW w:w="5660" w:type="dxa"/>
            <w:vAlign w:val="bottom"/>
          </w:tcPr>
          <w:p>
            <w:pPr>
              <w:jc w:val="center"/>
              <w:ind w:right="3308"/>
              <w:spacing w:after="0" w:line="153" w:lineRule="exact"/>
              <w:rPr>
                <w:sz w:val="20"/>
                <w:szCs w:val="20"/>
                <w:color w:val="auto"/>
              </w:rPr>
            </w:pPr>
            <w:r>
              <w:rPr>
                <w:rFonts w:ascii="Arial" w:cs="Arial" w:eastAsia="Arial" w:hAnsi="Arial"/>
                <w:sz w:val="14"/>
                <w:szCs w:val="14"/>
                <w:b w:val="1"/>
                <w:bCs w:val="1"/>
                <w:color w:val="auto"/>
                <w:w w:val="90"/>
              </w:rPr>
              <w:t>Cambridge, Massachusetts</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60" w:type="dxa"/>
            <w:vAlign w:val="bottom"/>
          </w:tcPr>
          <w:p>
            <w:pPr>
              <w:jc w:val="center"/>
              <w:ind w:right="3308"/>
              <w:spacing w:after="0"/>
              <w:rPr>
                <w:sz w:val="20"/>
                <w:szCs w:val="20"/>
                <w:color w:val="auto"/>
              </w:rPr>
            </w:pPr>
            <w:r>
              <w:rPr>
                <w:rFonts w:ascii="Arial" w:cs="Arial" w:eastAsia="Arial" w:hAnsi="Arial"/>
                <w:sz w:val="14"/>
                <w:szCs w:val="14"/>
                <w:color w:val="auto"/>
                <w:w w:val="95"/>
              </w:rPr>
              <w:t>(Address of principal executive offices)</w:t>
            </w:r>
          </w:p>
        </w:tc>
        <w:tc>
          <w:tcPr>
            <w:tcW w:w="1240" w:type="dxa"/>
            <w:vAlign w:val="bottom"/>
          </w:tcPr>
          <w:p>
            <w:pPr>
              <w:jc w:val="center"/>
              <w:ind w:left="8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9"/>
        </w:trPr>
        <w:tc>
          <w:tcPr>
            <w:tcW w:w="5660" w:type="dxa"/>
            <w:vAlign w:val="bottom"/>
          </w:tcPr>
          <w:p>
            <w:pPr>
              <w:jc w:val="center"/>
              <w:ind w:left="1768"/>
              <w:spacing w:after="0"/>
              <w:rPr>
                <w:sz w:val="20"/>
                <w:szCs w:val="20"/>
                <w:color w:val="auto"/>
              </w:rPr>
            </w:pPr>
            <w:r>
              <w:rPr>
                <w:rFonts w:ascii="Arial" w:cs="Arial" w:eastAsia="Arial" w:hAnsi="Arial"/>
                <w:sz w:val="14"/>
                <w:szCs w:val="14"/>
                <w:b w:val="1"/>
                <w:bCs w:val="1"/>
                <w:color w:val="auto"/>
                <w:w w:val="94"/>
              </w:rPr>
              <w:t>Blueprint Medicines Corporation 2020 Inducement Plan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660" w:type="dxa"/>
            <w:vAlign w:val="bottom"/>
          </w:tcPr>
          <w:p>
            <w:pPr>
              <w:jc w:val="center"/>
              <w:ind w:left="1748"/>
              <w:spacing w:after="0"/>
              <w:rPr>
                <w:sz w:val="20"/>
                <w:szCs w:val="20"/>
                <w:color w:val="auto"/>
              </w:rPr>
            </w:pPr>
            <w:r>
              <w:rPr>
                <w:rFonts w:ascii="Arial" w:cs="Arial" w:eastAsia="Arial" w:hAnsi="Arial"/>
                <w:sz w:val="14"/>
                <w:szCs w:val="14"/>
                <w:color w:val="auto"/>
                <w:w w:val="96"/>
              </w:rPr>
              <w:t>(Full titles of the plans)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660" w:type="dxa"/>
            <w:vAlign w:val="bottom"/>
          </w:tcPr>
          <w:p>
            <w:pPr>
              <w:jc w:val="center"/>
              <w:ind w:left="1748"/>
              <w:spacing w:after="0" w:line="151" w:lineRule="exact"/>
              <w:rPr>
                <w:sz w:val="20"/>
                <w:szCs w:val="20"/>
                <w:color w:val="auto"/>
              </w:rPr>
            </w:pPr>
            <w:r>
              <w:rPr>
                <w:rFonts w:ascii="Arial" w:cs="Arial" w:eastAsia="Arial" w:hAnsi="Arial"/>
                <w:sz w:val="14"/>
                <w:szCs w:val="14"/>
                <w:b w:val="1"/>
                <w:bCs w:val="1"/>
                <w:color w:val="auto"/>
                <w:w w:val="94"/>
              </w:rPr>
              <w:t>Jeffrey W. Albers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48"/>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jc w:val="center"/>
              <w:ind w:left="1768"/>
              <w:spacing w:after="0" w:line="149" w:lineRule="exact"/>
              <w:rPr>
                <w:sz w:val="20"/>
                <w:szCs w:val="20"/>
                <w:color w:val="auto"/>
              </w:rPr>
            </w:pPr>
            <w:r>
              <w:rPr>
                <w:rFonts w:ascii="Arial" w:cs="Arial" w:eastAsia="Arial" w:hAnsi="Arial"/>
                <w:sz w:val="14"/>
                <w:szCs w:val="14"/>
                <w:b w:val="1"/>
                <w:bCs w:val="1"/>
                <w:color w:val="auto"/>
                <w:w w:val="94"/>
              </w:rPr>
              <w:t>Blueprint Medicines Corporation</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48"/>
              <w:spacing w:after="0" w:line="149" w:lineRule="exact"/>
              <w:rPr>
                <w:sz w:val="20"/>
                <w:szCs w:val="20"/>
                <w:color w:val="auto"/>
              </w:rPr>
            </w:pPr>
            <w:r>
              <w:rPr>
                <w:rFonts w:ascii="Arial" w:cs="Arial" w:eastAsia="Arial" w:hAnsi="Arial"/>
                <w:sz w:val="14"/>
                <w:szCs w:val="14"/>
                <w:b w:val="1"/>
                <w:bCs w:val="1"/>
                <w:color w:val="auto"/>
                <w:w w:val="91"/>
              </w:rPr>
              <w:t>45 Sidney Street</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60" w:type="dxa"/>
            <w:vAlign w:val="bottom"/>
          </w:tcPr>
          <w:p>
            <w:pPr>
              <w:jc w:val="center"/>
              <w:ind w:left="1748"/>
              <w:spacing w:after="0" w:line="153" w:lineRule="exact"/>
              <w:rPr>
                <w:sz w:val="20"/>
                <w:szCs w:val="20"/>
                <w:color w:val="auto"/>
              </w:rPr>
            </w:pPr>
            <w:r>
              <w:rPr>
                <w:rFonts w:ascii="Arial" w:cs="Arial" w:eastAsia="Arial" w:hAnsi="Arial"/>
                <w:sz w:val="14"/>
                <w:szCs w:val="14"/>
                <w:b w:val="1"/>
                <w:bCs w:val="1"/>
                <w:color w:val="auto"/>
                <w:w w:val="91"/>
              </w:rPr>
              <w:t>Cambridge, Massachusetts 02139</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60" w:type="dxa"/>
            <w:vAlign w:val="bottom"/>
          </w:tcPr>
          <w:p>
            <w:pPr>
              <w:jc w:val="center"/>
              <w:ind w:left="1768"/>
              <w:spacing w:after="0"/>
              <w:rPr>
                <w:sz w:val="20"/>
                <w:szCs w:val="20"/>
                <w:color w:val="auto"/>
              </w:rPr>
            </w:pPr>
            <w:r>
              <w:rPr>
                <w:rFonts w:ascii="Arial" w:cs="Arial" w:eastAsia="Arial" w:hAnsi="Arial"/>
                <w:sz w:val="14"/>
                <w:szCs w:val="14"/>
                <w:color w:val="auto"/>
                <w:w w:val="91"/>
              </w:rPr>
              <w:t>(Name and address of agent for service)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60" w:type="dxa"/>
            <w:vAlign w:val="bottom"/>
          </w:tcPr>
          <w:p>
            <w:pPr>
              <w:jc w:val="center"/>
              <w:ind w:left="1728"/>
              <w:spacing w:after="0"/>
              <w:rPr>
                <w:sz w:val="20"/>
                <w:szCs w:val="20"/>
                <w:color w:val="auto"/>
              </w:rPr>
            </w:pPr>
            <w:r>
              <w:rPr>
                <w:rFonts w:ascii="Arial" w:cs="Arial" w:eastAsia="Arial" w:hAnsi="Arial"/>
                <w:sz w:val="14"/>
                <w:szCs w:val="14"/>
                <w:b w:val="1"/>
                <w:bCs w:val="1"/>
                <w:color w:val="auto"/>
                <w:w w:val="93"/>
              </w:rPr>
              <w:t>(617) 374-7580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60" w:type="dxa"/>
            <w:vAlign w:val="bottom"/>
          </w:tcPr>
          <w:p>
            <w:pPr>
              <w:jc w:val="center"/>
              <w:ind w:left="1768"/>
              <w:spacing w:after="0"/>
              <w:rPr>
                <w:sz w:val="20"/>
                <w:szCs w:val="20"/>
                <w:color w:val="auto"/>
              </w:rPr>
            </w:pPr>
            <w:r>
              <w:rPr>
                <w:rFonts w:ascii="Arial" w:cs="Arial" w:eastAsia="Arial" w:hAnsi="Arial"/>
                <w:sz w:val="14"/>
                <w:szCs w:val="14"/>
                <w:color w:val="auto"/>
                <w:w w:val="92"/>
              </w:rPr>
              <w:t>(Telephone number, including area code, of agent for service)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660" w:type="dxa"/>
            <w:vAlign w:val="bottom"/>
          </w:tcPr>
          <w:p>
            <w:pPr>
              <w:jc w:val="center"/>
              <w:ind w:left="1768"/>
              <w:spacing w:after="0"/>
              <w:rPr>
                <w:sz w:val="20"/>
                <w:szCs w:val="20"/>
                <w:color w:val="auto"/>
              </w:rPr>
            </w:pPr>
            <w:r>
              <w:rPr>
                <w:rFonts w:ascii="Arial" w:cs="Arial" w:eastAsia="Arial" w:hAnsi="Arial"/>
                <w:sz w:val="14"/>
                <w:szCs w:val="14"/>
                <w:b w:val="1"/>
                <w:bCs w:val="1"/>
                <w:color w:val="auto"/>
                <w:w w:val="89"/>
              </w:rPr>
              <w:t>Please send copies of all communications to:</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48"/>
              <w:spacing w:after="0" w:line="149" w:lineRule="exact"/>
              <w:rPr>
                <w:sz w:val="20"/>
                <w:szCs w:val="20"/>
                <w:color w:val="auto"/>
              </w:rPr>
            </w:pPr>
            <w:r>
              <w:rPr>
                <w:rFonts w:ascii="Arial" w:cs="Arial" w:eastAsia="Arial" w:hAnsi="Arial"/>
                <w:sz w:val="14"/>
                <w:szCs w:val="14"/>
                <w:b w:val="1"/>
                <w:bCs w:val="1"/>
                <w:color w:val="auto"/>
                <w:w w:val="93"/>
              </w:rPr>
              <w:t>Kingsley L. Taft, Esq.</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48"/>
              <w:spacing w:after="0" w:line="149" w:lineRule="exact"/>
              <w:rPr>
                <w:sz w:val="20"/>
                <w:szCs w:val="20"/>
                <w:color w:val="auto"/>
              </w:rPr>
            </w:pPr>
            <w:r>
              <w:rPr>
                <w:rFonts w:ascii="Arial" w:cs="Arial" w:eastAsia="Arial" w:hAnsi="Arial"/>
                <w:sz w:val="14"/>
                <w:szCs w:val="14"/>
                <w:b w:val="1"/>
                <w:bCs w:val="1"/>
                <w:color w:val="auto"/>
                <w:w w:val="95"/>
              </w:rPr>
              <w:t>Danielle M. Lauzon, Esq.</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jc w:val="center"/>
              <w:ind w:left="1768"/>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4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jc w:val="center"/>
              <w:ind w:left="1768"/>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660" w:type="dxa"/>
            <w:vAlign w:val="bottom"/>
          </w:tcPr>
          <w:p>
            <w:pPr>
              <w:jc w:val="center"/>
              <w:ind w:left="1768"/>
              <w:spacing w:after="0"/>
              <w:rPr>
                <w:sz w:val="20"/>
                <w:szCs w:val="20"/>
                <w:color w:val="auto"/>
              </w:rPr>
            </w:pPr>
            <w:r>
              <w:rPr>
                <w:rFonts w:ascii="Arial" w:cs="Arial" w:eastAsia="Arial" w:hAnsi="Arial"/>
                <w:sz w:val="14"/>
                <w:szCs w:val="14"/>
                <w:b w:val="1"/>
                <w:bCs w:val="1"/>
                <w:color w:val="auto"/>
                <w:w w:val="93"/>
              </w:rPr>
              <w:t>(617) 570-1000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59055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6" w:lineRule="exact"/>
        <w:rPr>
          <w:sz w:val="24"/>
          <w:szCs w:val="24"/>
          <w:color w:val="auto"/>
        </w:rPr>
      </w:pPr>
    </w:p>
    <w:p>
      <w:pPr>
        <w:ind w:right="30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jc w:val="center"/>
              <w:ind w:left="1728"/>
              <w:spacing w:after="0"/>
              <w:rPr>
                <w:sz w:val="20"/>
                <w:szCs w:val="20"/>
                <w:color w:val="auto"/>
              </w:rPr>
            </w:pPr>
            <w:r>
              <w:rPr>
                <w:rFonts w:ascii="Arial" w:cs="Arial" w:eastAsia="Arial" w:hAnsi="Arial"/>
                <w:sz w:val="14"/>
                <w:szCs w:val="14"/>
                <w:color w:val="auto"/>
                <w:w w:val="92"/>
              </w:rPr>
              <w:t>Large accelerated filer</w:t>
            </w:r>
          </w:p>
        </w:tc>
        <w:tc>
          <w:tcPr>
            <w:tcW w:w="3240" w:type="dxa"/>
            <w:vAlign w:val="bottom"/>
            <w:gridSpan w:val="4"/>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gridSpan w:val="2"/>
          </w:tcPr>
          <w:p>
            <w:pPr>
              <w:jc w:val="center"/>
              <w:ind w:left="168"/>
              <w:spacing w:after="0" w:line="161" w:lineRule="exact"/>
              <w:rPr>
                <w:sz w:val="20"/>
                <w:szCs w:val="20"/>
                <w:color w:val="auto"/>
              </w:rPr>
            </w:pPr>
            <w:r>
              <w:rPr>
                <w:rFonts w:ascii="Arial" w:cs="Arial" w:eastAsia="Arial" w:hAnsi="Arial"/>
                <w:sz w:val="14"/>
                <w:szCs w:val="14"/>
                <w:color w:val="auto"/>
                <w:w w:val="98"/>
              </w:rPr>
              <w:t xml:space="preserve">Accelerated filer </w:t>
            </w:r>
            <w:r>
              <w:rPr>
                <w:rFonts w:ascii="MS PGothic" w:cs="MS PGothic" w:eastAsia="MS PGothic" w:hAnsi="MS PGothic"/>
                <w:sz w:val="14"/>
                <w:szCs w:val="14"/>
                <w:color w:val="auto"/>
                <w:w w:val="98"/>
              </w:rPr>
              <w:t>☐</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tcPr>
          <w:p>
            <w:pPr>
              <w:jc w:val="center"/>
              <w:ind w:left="1748"/>
              <w:spacing w:after="0"/>
              <w:rPr>
                <w:sz w:val="20"/>
                <w:szCs w:val="20"/>
                <w:color w:val="auto"/>
              </w:rPr>
            </w:pPr>
            <w:r>
              <w:rPr>
                <w:rFonts w:ascii="Arial" w:cs="Arial" w:eastAsia="Arial" w:hAnsi="Arial"/>
                <w:sz w:val="14"/>
                <w:szCs w:val="14"/>
                <w:color w:val="auto"/>
                <w:w w:val="94"/>
              </w:rPr>
              <w:t>Non-accelerated filer</w:t>
            </w:r>
          </w:p>
        </w:tc>
        <w:tc>
          <w:tcPr>
            <w:tcW w:w="3240" w:type="dxa"/>
            <w:vAlign w:val="bottom"/>
            <w:gridSpan w:val="4"/>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gridSpan w:val="2"/>
          </w:tcPr>
          <w:p>
            <w:pPr>
              <w:jc w:val="center"/>
              <w:ind w:left="14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gridSpan w:val="2"/>
          </w:tcPr>
          <w:p>
            <w:pPr>
              <w:jc w:val="center"/>
              <w:ind w:left="14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w w:val="96"/>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0240" w:type="dxa"/>
            <w:vAlign w:val="bottom"/>
            <w:gridSpan w:val="8"/>
          </w:tcPr>
          <w:p>
            <w:pPr>
              <w:ind w:left="660"/>
              <w:spacing w:after="0"/>
              <w:rPr>
                <w:sz w:val="20"/>
                <w:szCs w:val="20"/>
                <w:color w:val="auto"/>
              </w:rPr>
            </w:pPr>
            <w:r>
              <w:rPr>
                <w:rFonts w:ascii="Arial" w:cs="Arial" w:eastAsia="Arial" w:hAnsi="Arial"/>
                <w:sz w:val="14"/>
                <w:szCs w:val="14"/>
                <w:color w:val="auto"/>
                <w:w w:val="94"/>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26"/>
        </w:trPr>
        <w:tc>
          <w:tcPr>
            <w:tcW w:w="6400" w:type="dxa"/>
            <w:vAlign w:val="bottom"/>
            <w:gridSpan w:val="5"/>
          </w:tcPr>
          <w:p>
            <w:pPr>
              <w:spacing w:after="0" w:line="161" w:lineRule="exact"/>
              <w:rPr>
                <w:sz w:val="20"/>
                <w:szCs w:val="20"/>
                <w:color w:val="auto"/>
              </w:rPr>
            </w:pPr>
            <w:r>
              <w:rPr>
                <w:rFonts w:ascii="Arial" w:cs="Arial" w:eastAsia="Arial" w:hAnsi="Arial"/>
                <w:sz w:val="14"/>
                <w:szCs w:val="14"/>
                <w:color w:val="auto"/>
              </w:rPr>
              <w:t>financial accounting standards provided pursuant to Section 7(a)(2)(B) of the Securities Act.</w:t>
            </w:r>
            <w:r>
              <w:rPr>
                <w:rFonts w:ascii="MS PGothic" w:cs="MS PGothic" w:eastAsia="MS PGothic" w:hAnsi="MS PGothic"/>
                <w:sz w:val="14"/>
                <w:szCs w:val="14"/>
                <w:color w:val="auto"/>
              </w:rPr>
              <w:t>☐</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0" w:type="dxa"/>
            <w:vAlign w:val="bottom"/>
            <w:gridSpan w:val="4"/>
          </w:tcPr>
          <w:p>
            <w:pPr>
              <w:ind w:left="460"/>
              <w:spacing w:after="0"/>
              <w:rPr>
                <w:sz w:val="20"/>
                <w:szCs w:val="20"/>
                <w:color w:val="auto"/>
              </w:rPr>
            </w:pPr>
            <w:r>
              <w:rPr>
                <w:rFonts w:ascii="Arial" w:cs="Arial" w:eastAsia="Arial" w:hAnsi="Arial"/>
                <w:sz w:val="14"/>
                <w:szCs w:val="14"/>
                <w:b w:val="1"/>
                <w:bCs w:val="1"/>
                <w:color w:val="auto"/>
              </w:rPr>
              <w:t>CALCULATION OF REGISTRATION FEE</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3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w w:val="89"/>
              </w:rPr>
              <w:t>Proposed</w:t>
            </w:r>
          </w:p>
        </w:tc>
        <w:tc>
          <w:tcPr>
            <w:tcW w:w="1180" w:type="dxa"/>
            <w:vAlign w:val="bottom"/>
            <w:tcBorders>
              <w:right w:val="single" w:sz="8" w:color="auto"/>
            </w:tcBorders>
          </w:tcPr>
          <w:p>
            <w:pPr>
              <w:jc w:val="center"/>
              <w:ind w:left="109"/>
              <w:spacing w:after="0" w:line="119" w:lineRule="exact"/>
              <w:rPr>
                <w:sz w:val="20"/>
                <w:szCs w:val="20"/>
                <w:color w:val="auto"/>
              </w:rPr>
            </w:pPr>
            <w:r>
              <w:rPr>
                <w:rFonts w:ascii="Arial" w:cs="Arial" w:eastAsia="Arial" w:hAnsi="Arial"/>
                <w:sz w:val="13"/>
                <w:szCs w:val="13"/>
                <w:b w:val="1"/>
                <w:bCs w:val="1"/>
                <w:color w:val="auto"/>
                <w:w w:val="93"/>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Borders>
              <w:right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Title of Securities</w:t>
            </w:r>
          </w:p>
        </w:tc>
        <w:tc>
          <w:tcPr>
            <w:tcW w:w="1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Maximum</w:t>
            </w:r>
          </w:p>
        </w:tc>
        <w:tc>
          <w:tcPr>
            <w:tcW w:w="1180" w:type="dxa"/>
            <w:vAlign w:val="bottom"/>
            <w:tcBorders>
              <w:right w:val="single" w:sz="8" w:color="auto"/>
            </w:tcBorders>
          </w:tcPr>
          <w:p>
            <w:pPr>
              <w:jc w:val="center"/>
              <w:ind w:left="109"/>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16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Borders>
              <w:right w:val="single" w:sz="8" w:color="auto"/>
            </w:tcBorders>
          </w:tcPr>
          <w:p>
            <w:pPr>
              <w:jc w:val="center"/>
              <w:ind w:right="228"/>
              <w:spacing w:after="0" w:line="149" w:lineRule="exact"/>
              <w:rPr>
                <w:sz w:val="20"/>
                <w:szCs w:val="20"/>
                <w:color w:val="auto"/>
              </w:rPr>
            </w:pPr>
            <w:r>
              <w:rPr>
                <w:rFonts w:ascii="Arial" w:cs="Arial" w:eastAsia="Arial" w:hAnsi="Arial"/>
                <w:sz w:val="14"/>
                <w:szCs w:val="14"/>
                <w:b w:val="1"/>
                <w:bCs w:val="1"/>
                <w:color w:val="auto"/>
                <w:w w:val="89"/>
              </w:rPr>
              <w:t>to be</w:t>
            </w:r>
          </w:p>
        </w:tc>
        <w:tc>
          <w:tcPr>
            <w:tcW w:w="400" w:type="dxa"/>
            <w:vAlign w:val="bottom"/>
          </w:tcPr>
          <w:p>
            <w:pPr>
              <w:spacing w:after="0"/>
              <w:rPr>
                <w:sz w:val="12"/>
                <w:szCs w:val="12"/>
                <w:color w:val="auto"/>
              </w:rPr>
            </w:pPr>
          </w:p>
        </w:tc>
        <w:tc>
          <w:tcPr>
            <w:tcW w:w="1100" w:type="dxa"/>
            <w:vAlign w:val="bottom"/>
            <w:tcBorders>
              <w:right w:val="single" w:sz="8" w:color="auto"/>
            </w:tcBorders>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180" w:type="dxa"/>
            <w:vAlign w:val="bottom"/>
            <w:tcBorders>
              <w:right w:val="single" w:sz="8" w:color="auto"/>
            </w:tcBorders>
          </w:tcPr>
          <w:p>
            <w:pPr>
              <w:jc w:val="center"/>
              <w:ind w:left="109"/>
              <w:spacing w:after="0" w:line="149" w:lineRule="exact"/>
              <w:rPr>
                <w:sz w:val="20"/>
                <w:szCs w:val="20"/>
                <w:color w:val="auto"/>
              </w:rPr>
            </w:pPr>
            <w:r>
              <w:rPr>
                <w:rFonts w:ascii="Arial" w:cs="Arial" w:eastAsia="Arial" w:hAnsi="Arial"/>
                <w:sz w:val="14"/>
                <w:szCs w:val="14"/>
                <w:b w:val="1"/>
                <w:bCs w:val="1"/>
                <w:color w:val="auto"/>
                <w:w w:val="95"/>
              </w:rPr>
              <w:t>Offering</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1"/>
              </w:rPr>
              <w:t>to be Registered</w:t>
            </w:r>
          </w:p>
        </w:tc>
        <w:tc>
          <w:tcPr>
            <w:tcW w:w="1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Registered (1)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per Share</w:t>
            </w:r>
          </w:p>
        </w:tc>
        <w:tc>
          <w:tcPr>
            <w:tcW w:w="1180" w:type="dxa"/>
            <w:vAlign w:val="bottom"/>
            <w:tcBorders>
              <w:bottom w:val="single" w:sz="8" w:color="auto"/>
              <w:right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3160" w:type="dxa"/>
            <w:vAlign w:val="bottom"/>
          </w:tcPr>
          <w:p>
            <w:pPr>
              <w:ind w:left="80"/>
              <w:spacing w:after="0" w:line="142" w:lineRule="exact"/>
              <w:rPr>
                <w:sz w:val="20"/>
                <w:szCs w:val="20"/>
                <w:color w:val="auto"/>
              </w:rPr>
            </w:pPr>
            <w:r>
              <w:rPr>
                <w:rFonts w:ascii="Arial" w:cs="Arial" w:eastAsia="Arial" w:hAnsi="Arial"/>
                <w:sz w:val="14"/>
                <w:szCs w:val="14"/>
                <w:color w:val="auto"/>
              </w:rPr>
              <w:t>Common Stock, $0.001 par value per share</w:t>
            </w:r>
          </w:p>
        </w:tc>
        <w:tc>
          <w:tcPr>
            <w:tcW w:w="1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Borders>
              <w:right w:val="single" w:sz="8" w:color="auto"/>
            </w:tcBorders>
          </w:tcPr>
          <w:p>
            <w:pPr>
              <w:jc w:val="center"/>
              <w:ind w:right="228"/>
              <w:spacing w:after="0" w:line="142" w:lineRule="exact"/>
              <w:rPr>
                <w:sz w:val="20"/>
                <w:szCs w:val="20"/>
                <w:color w:val="auto"/>
              </w:rPr>
            </w:pPr>
            <w:r>
              <w:rPr>
                <w:rFonts w:ascii="Arial" w:cs="Arial" w:eastAsia="Arial" w:hAnsi="Arial"/>
                <w:sz w:val="14"/>
                <w:szCs w:val="14"/>
                <w:color w:val="auto"/>
                <w:w w:val="91"/>
              </w:rPr>
              <w:t>1,000,000 shares (2)</w:t>
            </w:r>
          </w:p>
        </w:tc>
        <w:tc>
          <w:tcPr>
            <w:tcW w:w="400" w:type="dxa"/>
            <w:vAlign w:val="bottom"/>
          </w:tcPr>
          <w:p>
            <w:pPr>
              <w:spacing w:after="0"/>
              <w:rPr>
                <w:sz w:val="12"/>
                <w:szCs w:val="12"/>
                <w:color w:val="auto"/>
              </w:rPr>
            </w:pPr>
          </w:p>
        </w:tc>
        <w:tc>
          <w:tcPr>
            <w:tcW w:w="1100" w:type="dxa"/>
            <w:vAlign w:val="bottom"/>
            <w:tcBorders>
              <w:right w:val="single" w:sz="8" w:color="auto"/>
            </w:tcBorders>
          </w:tcPr>
          <w:p>
            <w:pPr>
              <w:jc w:val="center"/>
              <w:ind w:right="108"/>
              <w:spacing w:after="0" w:line="142" w:lineRule="exact"/>
              <w:rPr>
                <w:sz w:val="20"/>
                <w:szCs w:val="20"/>
                <w:color w:val="auto"/>
              </w:rPr>
            </w:pPr>
            <w:r>
              <w:rPr>
                <w:rFonts w:ascii="Arial" w:cs="Arial" w:eastAsia="Arial" w:hAnsi="Arial"/>
                <w:sz w:val="14"/>
                <w:szCs w:val="14"/>
                <w:color w:val="auto"/>
                <w:w w:val="93"/>
              </w:rPr>
              <w:t>$57.52 (3)</w:t>
            </w:r>
          </w:p>
        </w:tc>
        <w:tc>
          <w:tcPr>
            <w:tcW w:w="1180" w:type="dxa"/>
            <w:vAlign w:val="bottom"/>
            <w:tcBorders>
              <w:right w:val="single" w:sz="8" w:color="auto"/>
            </w:tcBorders>
          </w:tcPr>
          <w:p>
            <w:pPr>
              <w:jc w:val="center"/>
              <w:ind w:left="109"/>
              <w:spacing w:after="0" w:line="142" w:lineRule="exact"/>
              <w:rPr>
                <w:sz w:val="20"/>
                <w:szCs w:val="20"/>
                <w:color w:val="auto"/>
              </w:rPr>
            </w:pPr>
            <w:r>
              <w:rPr>
                <w:rFonts w:ascii="Arial" w:cs="Arial" w:eastAsia="Arial" w:hAnsi="Arial"/>
                <w:sz w:val="14"/>
                <w:szCs w:val="14"/>
                <w:color w:val="auto"/>
                <w:w w:val="92"/>
              </w:rPr>
              <w:t>$57,520,000</w:t>
            </w:r>
          </w:p>
        </w:tc>
        <w:tc>
          <w:tcPr>
            <w:tcW w:w="1560" w:type="dxa"/>
            <w:vAlign w:val="bottom"/>
          </w:tcPr>
          <w:p>
            <w:pPr>
              <w:jc w:val="center"/>
              <w:ind w:left="148"/>
              <w:spacing w:after="0" w:line="142" w:lineRule="exact"/>
              <w:rPr>
                <w:sz w:val="20"/>
                <w:szCs w:val="20"/>
                <w:color w:val="auto"/>
              </w:rPr>
            </w:pPr>
            <w:r>
              <w:rPr>
                <w:rFonts w:ascii="Arial" w:cs="Arial" w:eastAsia="Arial" w:hAnsi="Arial"/>
                <w:sz w:val="14"/>
                <w:szCs w:val="14"/>
                <w:color w:val="auto"/>
                <w:w w:val="93"/>
              </w:rPr>
              <w:t>$7,466.10</w:t>
            </w: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820" w:right="120" w:hanging="748"/>
        <w:spacing w:after="0" w:line="227"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ind w:left="820" w:hanging="748"/>
        <w:spacing w:after="0" w:line="221"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shares of common stock reserved and available for future issuance under the registrant’s 2020 Inducement Plan (the “Inducement Plan”).</w:t>
      </w:r>
    </w:p>
    <w:p>
      <w:pPr>
        <w:ind w:left="820" w:right="320" w:hanging="748"/>
        <w:spacing w:after="0" w:line="237"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457(h) of the Securities Act, and based on the average of the high and low sales prices of the registrant’s common stock, as quoted on the Nasdaq Global Select Market, on May 1, 2020.</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Proposed sales to take place as soon after the effective date of the Registration Statement as awards are granted, exercised or distributed under the Inducement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765810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234" w:right="8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81" w:lineRule="exact"/>
        <w:rPr>
          <w:sz w:val="20"/>
          <w:szCs w:val="20"/>
          <w:color w:val="auto"/>
        </w:rPr>
      </w:pPr>
    </w:p>
    <w:p>
      <w:pPr>
        <w:ind w:left="40" w:right="159"/>
        <w:spacing w:after="0" w:line="331" w:lineRule="auto"/>
        <w:rPr>
          <w:sz w:val="20"/>
          <w:szCs w:val="20"/>
          <w:color w:val="auto"/>
        </w:rPr>
      </w:pPr>
      <w:r>
        <w:rPr>
          <w:rFonts w:ascii="Arial" w:cs="Arial" w:eastAsia="Arial" w:hAnsi="Arial"/>
          <w:sz w:val="16"/>
          <w:szCs w:val="16"/>
          <w:color w:val="auto"/>
        </w:rPr>
        <w:t>This Registration Statement on Form S-8 (the “Registration Statement”) is being filed for the purpose of registering 1,000,000 shares of common stock reserved and available for future issuance under the registrant’s 2020 Inducement Plan.</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Plan Information.</w:t>
      </w:r>
    </w:p>
    <w:p>
      <w:pPr>
        <w:spacing w:after="0" w:line="94"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81" w:lineRule="exact"/>
        <w:rPr>
          <w:sz w:val="20"/>
          <w:szCs w:val="20"/>
          <w:color w:val="auto"/>
        </w:rPr>
      </w:pPr>
    </w:p>
    <w:p>
      <w:pPr>
        <w:ind w:left="40" w:right="139"/>
        <w:spacing w:after="0" w:line="279" w:lineRule="auto"/>
        <w:rPr>
          <w:sz w:val="20"/>
          <w:szCs w:val="20"/>
          <w:color w:val="auto"/>
        </w:rPr>
      </w:pPr>
      <w:r>
        <w:rPr>
          <w:rFonts w:ascii="Arial" w:cs="Arial" w:eastAsia="Arial" w:hAnsi="Arial"/>
          <w:sz w:val="17"/>
          <w:szCs w:val="17"/>
          <w:color w:val="auto"/>
        </w:rPr>
        <w:t>The documents containing the information specified in this Item 2 will be sent or given to participants as specified by Rule 428(b)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left="40" w:right="1719" w:firstLine="1665"/>
        <w:spacing w:after="0" w:line="338"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Commission:</w:t>
      </w:r>
    </w:p>
    <w:p>
      <w:pPr>
        <w:spacing w:after="0" w:line="116" w:lineRule="exact"/>
        <w:rPr>
          <w:sz w:val="20"/>
          <w:szCs w:val="20"/>
          <w:color w:val="auto"/>
        </w:rPr>
      </w:pPr>
    </w:p>
    <w:p>
      <w:pPr>
        <w:ind w:left="680" w:hanging="34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February 13, 2020;</w:t>
      </w:r>
    </w:p>
    <w:p>
      <w:pPr>
        <w:spacing w:after="0" w:line="130" w:lineRule="exact"/>
        <w:rPr>
          <w:rFonts w:ascii="Arial" w:cs="Arial" w:eastAsia="Arial" w:hAnsi="Arial"/>
          <w:sz w:val="18"/>
          <w:szCs w:val="18"/>
          <w:color w:val="auto"/>
        </w:rPr>
      </w:pPr>
    </w:p>
    <w:p>
      <w:pPr>
        <w:ind w:left="680" w:hanging="34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16">
        <w:r>
          <w:rPr>
            <w:rFonts w:ascii="Arial" w:cs="Arial" w:eastAsia="Arial" w:hAnsi="Arial"/>
            <w:sz w:val="18"/>
            <w:szCs w:val="18"/>
            <w:u w:val="single" w:color="auto"/>
            <w:color w:val="0000FF"/>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May 6, 2020;</w:t>
      </w:r>
    </w:p>
    <w:p>
      <w:pPr>
        <w:spacing w:after="0" w:line="130" w:lineRule="exact"/>
        <w:rPr>
          <w:rFonts w:ascii="Arial" w:cs="Arial" w:eastAsia="Arial" w:hAnsi="Arial"/>
          <w:sz w:val="18"/>
          <w:szCs w:val="18"/>
          <w:color w:val="auto"/>
        </w:rPr>
      </w:pPr>
    </w:p>
    <w:p>
      <w:pPr>
        <w:ind w:left="680" w:hanging="34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w:t>
      </w:r>
      <w:hyperlink r:id="rId17">
        <w:r>
          <w:rPr>
            <w:rFonts w:ascii="Arial" w:cs="Arial" w:eastAsia="Arial" w:hAnsi="Arial"/>
            <w:sz w:val="18"/>
            <w:szCs w:val="18"/>
            <w:u w:val="single" w:color="auto"/>
            <w:color w:val="0000FF"/>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29, 2020;</w:t>
      </w:r>
    </w:p>
    <w:p>
      <w:pPr>
        <w:spacing w:after="0" w:line="130" w:lineRule="exact"/>
        <w:rPr>
          <w:rFonts w:ascii="Arial" w:cs="Arial" w:eastAsia="Arial" w:hAnsi="Arial"/>
          <w:sz w:val="18"/>
          <w:szCs w:val="18"/>
          <w:color w:val="auto"/>
        </w:rPr>
      </w:pPr>
    </w:p>
    <w:p>
      <w:pPr>
        <w:ind w:left="680" w:right="159" w:hanging="342"/>
        <w:spacing w:after="0" w:line="231" w:lineRule="auto"/>
        <w:tabs>
          <w:tab w:leader="none" w:pos="680" w:val="left"/>
        </w:tabs>
        <w:numPr>
          <w:ilvl w:val="0"/>
          <w:numId w:val="2"/>
        </w:numPr>
        <w:rPr>
          <w:rFonts w:ascii="Arial" w:cs="Arial" w:eastAsia="Arial" w:hAnsi="Arial"/>
          <w:sz w:val="18"/>
          <w:szCs w:val="18"/>
          <w:color w:val="0000FF"/>
        </w:rPr>
      </w:pPr>
      <w:r>
        <w:rPr>
          <w:rFonts w:ascii="Arial" w:cs="Arial" w:eastAsia="Arial" w:hAnsi="Arial"/>
          <w:sz w:val="18"/>
          <w:szCs w:val="18"/>
          <w:color w:val="auto"/>
        </w:rPr>
        <w:t xml:space="preserve">The registrant’s Current Report on Form 8-K filed on </w:t>
      </w:r>
      <w:hyperlink r:id="rId18">
        <w:r>
          <w:rPr>
            <w:rFonts w:ascii="Arial" w:cs="Arial" w:eastAsia="Arial" w:hAnsi="Arial"/>
            <w:sz w:val="18"/>
            <w:szCs w:val="18"/>
            <w:u w:val="single" w:color="auto"/>
            <w:color w:val="0000FF"/>
          </w:rPr>
          <w:t>January 8, 2020</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January 9, 2020</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t>
      </w:r>
      <w:hyperlink r:id="rId21">
        <w:r>
          <w:rPr>
            <w:rFonts w:ascii="Arial" w:cs="Arial" w:eastAsia="Arial" w:hAnsi="Arial"/>
            <w:sz w:val="18"/>
            <w:szCs w:val="18"/>
            <w:color w:val="auto"/>
          </w:rPr>
          <w:t xml:space="preserve">with respect to Item 8.01), </w:t>
        </w:r>
        <w:r>
          <w:rPr>
            <w:rFonts w:ascii="Arial" w:cs="Arial" w:eastAsia="Arial" w:hAnsi="Arial"/>
            <w:sz w:val="18"/>
            <w:szCs w:val="18"/>
            <w:u w:val="single" w:color="auto"/>
            <w:color w:val="0000FF"/>
          </w:rPr>
          <w:t>January 21, 2020</w:t>
        </w:r>
        <w:r>
          <w:rPr>
            <w:rFonts w:ascii="Arial" w:cs="Arial" w:eastAsia="Arial" w:hAnsi="Arial"/>
            <w:sz w:val="18"/>
            <w:szCs w:val="18"/>
            <w:color w:val="auto"/>
          </w:rPr>
          <w:t xml:space="preserve"> (solely with respect to Item 8.01), </w:t>
        </w:r>
        <w:r>
          <w:rPr>
            <w:rFonts w:ascii="Arial" w:cs="Arial" w:eastAsia="Arial" w:hAnsi="Arial"/>
            <w:sz w:val="18"/>
            <w:szCs w:val="18"/>
            <w:u w:val="single" w:color="auto"/>
            <w:color w:val="0000FF"/>
          </w:rPr>
          <w:t>February 6,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16,</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r>
          <w:rPr>
            <w:rFonts w:ascii="Arial" w:cs="Arial" w:eastAsia="Arial" w:hAnsi="Arial"/>
            <w:sz w:val="18"/>
            <w:szCs w:val="18"/>
            <w:color w:val="000000"/>
          </w:rPr>
          <w:t>(solely with respect to Item 8.01),</w:t>
        </w:r>
        <w:r>
          <w:rPr>
            <w:rFonts w:ascii="Arial" w:cs="Arial" w:eastAsia="Arial" w:hAnsi="Arial"/>
            <w:sz w:val="18"/>
            <w:szCs w:val="18"/>
            <w:color w:val="0000FF"/>
          </w:rPr>
          <w:t xml:space="preserve"> </w:t>
        </w:r>
      </w:hyperlink>
      <w:hyperlink r:id="rId22">
        <w:r>
          <w:rPr>
            <w:rFonts w:ascii="Arial" w:cs="Arial" w:eastAsia="Arial" w:hAnsi="Arial"/>
            <w:sz w:val="18"/>
            <w:szCs w:val="18"/>
            <w:u w:val="single" w:color="auto"/>
            <w:color w:val="0000FF"/>
          </w:rPr>
          <w:t xml:space="preserve">April 1, 2020 </w:t>
        </w:r>
      </w:hyperlink>
      <w:hyperlink r:id="rId21">
        <w:r>
          <w:rPr>
            <w:rFonts w:ascii="Arial" w:cs="Arial" w:eastAsia="Arial" w:hAnsi="Arial"/>
            <w:sz w:val="18"/>
            <w:szCs w:val="18"/>
            <w:color w:val="000000"/>
          </w:rPr>
          <w:t>(solely with respect to Item 8.01), on</w:t>
        </w:r>
        <w:r>
          <w:rPr>
            <w:rFonts w:ascii="Arial" w:cs="Arial" w:eastAsia="Arial" w:hAnsi="Arial"/>
            <w:sz w:val="18"/>
            <w:szCs w:val="18"/>
            <w:color w:val="0000FF"/>
          </w:rPr>
          <w:t xml:space="preserve"> </w:t>
        </w:r>
      </w:hyperlink>
      <w:hyperlink r:id="rId23">
        <w:r>
          <w:rPr>
            <w:rFonts w:ascii="Arial" w:cs="Arial" w:eastAsia="Arial" w:hAnsi="Arial"/>
            <w:sz w:val="18"/>
            <w:szCs w:val="18"/>
            <w:u w:val="single" w:color="auto"/>
            <w:color w:val="0000FF"/>
          </w:rPr>
          <w:t xml:space="preserve">April 28, 2020 </w:t>
        </w:r>
      </w:hyperlink>
      <w:hyperlink r:id="rId21">
        <w:r>
          <w:rPr>
            <w:rFonts w:ascii="Arial" w:cs="Arial" w:eastAsia="Arial" w:hAnsi="Arial"/>
            <w:sz w:val="18"/>
            <w:szCs w:val="18"/>
            <w:color w:val="000000"/>
          </w:rPr>
          <w:t xml:space="preserve">and </w:t>
        </w:r>
      </w:hyperlink>
      <w:r>
        <w:rPr>
          <w:rFonts w:ascii="Arial" w:cs="Arial" w:eastAsia="Arial" w:hAnsi="Arial"/>
          <w:sz w:val="18"/>
          <w:szCs w:val="18"/>
          <w:color w:val="0000FF"/>
        </w:rPr>
        <w:t xml:space="preserve">on </w:t>
      </w:r>
      <w:hyperlink r:id="rId24">
        <w:r>
          <w:rPr>
            <w:rFonts w:ascii="Arial" w:cs="Arial" w:eastAsia="Arial" w:hAnsi="Arial"/>
            <w:sz w:val="18"/>
            <w:szCs w:val="18"/>
            <w:u w:val="single" w:color="auto"/>
            <w:color w:val="0000FF"/>
          </w:rPr>
          <w:t>April 28,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107" w:lineRule="exact"/>
        <w:rPr>
          <w:rFonts w:ascii="Arial" w:cs="Arial" w:eastAsia="Arial" w:hAnsi="Arial"/>
          <w:sz w:val="18"/>
          <w:szCs w:val="18"/>
          <w:color w:val="0000FF"/>
        </w:rPr>
      </w:pPr>
    </w:p>
    <w:p>
      <w:pPr>
        <w:ind w:left="680" w:right="219" w:hanging="342"/>
        <w:spacing w:after="0" w:line="231" w:lineRule="auto"/>
        <w:tabs>
          <w:tab w:leader="none" w:pos="680" w:val="left"/>
        </w:tabs>
        <w:numPr>
          <w:ilvl w:val="0"/>
          <w:numId w:val="2"/>
        </w:numPr>
        <w:rPr>
          <w:rFonts w:ascii="Arial" w:cs="Arial" w:eastAsia="Arial" w:hAnsi="Arial"/>
          <w:sz w:val="18"/>
          <w:szCs w:val="18"/>
          <w:color w:val="0000FF"/>
        </w:rPr>
      </w:pPr>
      <w:hyperlink r:id="rId25">
        <w:r>
          <w:rPr>
            <w:rFonts w:ascii="Arial" w:cs="Arial" w:eastAsia="Arial" w:hAnsi="Arial"/>
            <w:sz w:val="18"/>
            <w:szCs w:val="18"/>
            <w:color w:val="auto"/>
          </w:rPr>
          <w:t xml:space="preserve">The description of the registrant’s common stock contained in the registrant’s Registration Statement on </w:t>
        </w:r>
        <w:r>
          <w:rPr>
            <w:rFonts w:ascii="Arial" w:cs="Arial" w:eastAsia="Arial" w:hAnsi="Arial"/>
            <w:sz w:val="18"/>
            <w:szCs w:val="18"/>
            <w:u w:val="single" w:color="auto"/>
            <w:color w:val="0000FF"/>
          </w:rPr>
          <w:t>Form 8-</w:t>
        </w:r>
      </w:hyperlink>
      <w:hyperlink r:id="rId25">
        <w:r>
          <w:rPr>
            <w:rFonts w:ascii="Arial" w:cs="Arial" w:eastAsia="Arial" w:hAnsi="Arial"/>
            <w:sz w:val="18"/>
            <w:szCs w:val="18"/>
            <w:u w:val="single" w:color="auto"/>
            <w:color w:val="0000FF"/>
          </w:rPr>
          <w:t>A</w:t>
        </w:r>
        <w:r>
          <w:rPr>
            <w:rFonts w:ascii="Arial" w:cs="Arial" w:eastAsia="Arial" w:hAnsi="Arial"/>
            <w:sz w:val="18"/>
            <w:szCs w:val="18"/>
            <w:color w:val="0000FF"/>
          </w:rPr>
          <w:t xml:space="preserve"> </w:t>
        </w:r>
        <w:r>
          <w:rPr>
            <w:rFonts w:ascii="Arial" w:cs="Arial" w:eastAsia="Arial" w:hAnsi="Arial"/>
            <w:sz w:val="18"/>
            <w:szCs w:val="18"/>
            <w:color w:val="000000"/>
          </w:rPr>
          <w:t>(File No. 001-37359), filed by the registrant with the Commission under Section 12(b) of the Securities</w:t>
        </w:r>
      </w:hyperlink>
      <w:r>
        <w:rPr>
          <w:rFonts w:ascii="Arial" w:cs="Arial" w:eastAsia="Arial" w:hAnsi="Arial"/>
          <w:sz w:val="18"/>
          <w:szCs w:val="18"/>
          <w:color w:val="0000FF"/>
        </w:rPr>
        <w:t xml:space="preserve"> </w:t>
      </w:r>
      <w:r>
        <w:rPr>
          <w:rFonts w:ascii="Arial" w:cs="Arial" w:eastAsia="Arial" w:hAnsi="Arial"/>
          <w:sz w:val="18"/>
          <w:szCs w:val="18"/>
          <w:color w:val="000000"/>
        </w:rPr>
        <w:t>Exchange Act of 1934, as amended (the “Exchange Act”), on April 27, 2015, including any amendments or reports filed for the purpose of updating such description.</w:t>
      </w:r>
    </w:p>
    <w:p>
      <w:pPr>
        <w:spacing w:after="0" w:line="121" w:lineRule="exact"/>
        <w:rPr>
          <w:rFonts w:ascii="Arial" w:cs="Arial" w:eastAsia="Arial" w:hAnsi="Arial"/>
          <w:sz w:val="18"/>
          <w:szCs w:val="18"/>
          <w:color w:val="auto"/>
        </w:rPr>
      </w:pPr>
    </w:p>
    <w:p>
      <w:pPr>
        <w:ind w:left="40" w:right="159"/>
        <w:spacing w:after="0" w:line="257"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53" w:lineRule="exact"/>
        <w:rPr>
          <w:rFonts w:ascii="Arial" w:cs="Arial" w:eastAsia="Arial" w:hAnsi="Arial"/>
          <w:sz w:val="18"/>
          <w:szCs w:val="18"/>
          <w:color w:val="auto"/>
        </w:rPr>
      </w:pPr>
    </w:p>
    <w:p>
      <w:pPr>
        <w:ind w:left="40" w:right="199"/>
        <w:spacing w:after="0" w:line="257"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 w:lineRule="exact"/>
        <w:rPr>
          <w:rFonts w:ascii="Arial" w:cs="Arial" w:eastAsia="Arial" w:hAnsi="Arial"/>
          <w:sz w:val="18"/>
          <w:szCs w:val="18"/>
          <w:color w:val="auto"/>
        </w:rPr>
      </w:pPr>
    </w:p>
    <w:p>
      <w:pPr>
        <w:ind w:left="40" w:right="259"/>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18"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b w:val="1"/>
          <w:bCs w:val="1"/>
          <w:color w:val="auto"/>
        </w:rPr>
        <w:t>Item 4. Description of Securities.</w:t>
      </w:r>
    </w:p>
    <w:p>
      <w:pPr>
        <w:spacing w:after="0" w:line="9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73"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81"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1"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4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directors to the fullest extent permissible under Delaware law.</w:t>
      </w:r>
    </w:p>
    <w:p>
      <w:pPr>
        <w:spacing w:after="0" w:line="22"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38"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The registrant has entered into or plans to enter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41"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The registrant intends to purchase and maintain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35"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537845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auto"/>
        </w:rPr>
        <w:t>Item 8. Exhibits.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gridSpan w:val="8"/>
          </w:tcPr>
          <w:p>
            <w:pPr>
              <w:ind w:left="840"/>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4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Incorporated by Reference</w:t>
            </w:r>
          </w:p>
        </w:tc>
        <w:tc>
          <w:tcPr>
            <w:tcW w:w="1420" w:type="dxa"/>
            <w:vAlign w:val="bottom"/>
          </w:tcPr>
          <w:p>
            <w:pPr>
              <w:spacing w:after="0"/>
              <w:rPr>
                <w:sz w:val="24"/>
                <w:szCs w:val="24"/>
                <w:color w:val="auto"/>
              </w:rPr>
            </w:pPr>
          </w:p>
        </w:tc>
      </w:tr>
      <w:tr>
        <w:trPr>
          <w:trHeight w:val="68"/>
        </w:trPr>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18"/>
        </w:trPr>
        <w:tc>
          <w:tcPr>
            <w:tcW w:w="660" w:type="dxa"/>
            <w:vAlign w:val="bottom"/>
          </w:tcPr>
          <w:p>
            <w:pPr>
              <w:ind w:left="40"/>
              <w:spacing w:after="0"/>
              <w:rPr>
                <w:sz w:val="20"/>
                <w:szCs w:val="20"/>
                <w:color w:val="auto"/>
              </w:rPr>
            </w:pPr>
            <w:r>
              <w:rPr>
                <w:rFonts w:ascii="Arial" w:cs="Arial" w:eastAsia="Arial" w:hAnsi="Arial"/>
                <w:sz w:val="18"/>
                <w:szCs w:val="18"/>
                <w:b w:val="1"/>
                <w:bCs w:val="1"/>
                <w:color w:val="auto"/>
                <w:w w:val="99"/>
              </w:rPr>
              <w:t>Exhibit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Exhibit</w:t>
            </w:r>
          </w:p>
        </w:tc>
        <w:tc>
          <w:tcPr>
            <w:tcW w:w="14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10"/>
          </w:tcPr>
          <w:p>
            <w:pPr>
              <w:ind w:left="380"/>
              <w:spacing w:after="0"/>
              <w:rPr>
                <w:sz w:val="20"/>
                <w:szCs w:val="20"/>
                <w:color w:val="auto"/>
              </w:rPr>
            </w:pPr>
            <w:r>
              <w:rPr>
                <w:rFonts w:ascii="Arial" w:cs="Arial" w:eastAsia="Arial" w:hAnsi="Arial"/>
                <w:sz w:val="18"/>
                <w:szCs w:val="18"/>
                <w:b w:val="1"/>
                <w:bCs w:val="1"/>
                <w:color w:val="auto"/>
              </w:rPr>
              <w:t>Description of Exhibit</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Form</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68"/>
        </w:trPr>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4620" w:type="dxa"/>
            <w:vAlign w:val="bottom"/>
            <w:gridSpan w:val="13"/>
          </w:tcPr>
          <w:p>
            <w:pPr>
              <w:spacing w:after="0"/>
              <w:rPr>
                <w:rFonts w:ascii="Arial" w:cs="Arial" w:eastAsia="Arial" w:hAnsi="Arial"/>
                <w:sz w:val="18"/>
                <w:szCs w:val="18"/>
                <w:color w:val="0000EE"/>
                <w:w w:val="98"/>
              </w:rPr>
            </w:pPr>
            <w:hyperlink r:id="rId28">
              <w:r>
                <w:rPr>
                  <w:rFonts w:ascii="Arial" w:cs="Arial" w:eastAsia="Arial" w:hAnsi="Arial"/>
                  <w:sz w:val="18"/>
                  <w:szCs w:val="18"/>
                  <w:color w:val="0000EE"/>
                  <w:w w:val="98"/>
                </w:rPr>
                <w:t>Fifth Amended and Restated Certificate of Incorporation of</w:t>
              </w:r>
            </w:hyperlink>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9"/>
              </w:rPr>
            </w:pPr>
            <w:hyperlink r:id="rId28">
              <w:r>
                <w:rPr>
                  <w:rFonts w:ascii="Arial" w:cs="Arial" w:eastAsia="Arial" w:hAnsi="Arial"/>
                  <w:sz w:val="18"/>
                  <w:szCs w:val="18"/>
                  <w:color w:val="0000EE"/>
                  <w:w w:val="89"/>
                </w:rPr>
                <w:t>the Registrant</w:t>
              </w:r>
            </w:hyperlink>
          </w:p>
        </w:tc>
        <w:tc>
          <w:tcPr>
            <w:tcW w:w="3260" w:type="dxa"/>
            <w:vAlign w:val="bottom"/>
            <w:tcBorders>
              <w:top w:val="single" w:sz="8" w:color="0000EE"/>
            </w:tcBorders>
            <w:gridSpan w:val="6"/>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Amended and Restated Bylaws of the Registrant</w:t>
              </w:r>
            </w:hyperlink>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10-Q  001-37359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May 6, 2020</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Specimen Common Stock Certificate</w:t>
              </w:r>
            </w:hyperlink>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Second Amended and Restated Investors’ Rights Agreement,</w:t>
              </w:r>
            </w:hyperlink>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20" w:type="dxa"/>
            <w:vAlign w:val="bottom"/>
            <w:tcBorders>
              <w:top w:val="single" w:sz="8" w:color="0000EE"/>
            </w:tcBorders>
            <w:gridSpan w:val="11"/>
          </w:tcPr>
          <w:p>
            <w:pPr>
              <w:spacing w:after="0" w:line="169"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dated as of November 7, 2014, by and among the Registrant</w:t>
              </w:r>
            </w:hyperlink>
          </w:p>
        </w:tc>
        <w:tc>
          <w:tcPr>
            <w:tcW w:w="20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and the Investors listed therein</w:t>
              </w:r>
            </w:hyperlink>
          </w:p>
        </w:tc>
        <w:tc>
          <w:tcPr>
            <w:tcW w:w="2120" w:type="dxa"/>
            <w:vAlign w:val="bottom"/>
            <w:tcBorders>
              <w:top w:val="single" w:sz="8" w:color="0000EE"/>
            </w:tcBorders>
            <w:gridSpan w:val="5"/>
          </w:tcPr>
          <w:p>
            <w:pPr>
              <w:spacing w:after="0"/>
              <w:rPr>
                <w:sz w:val="14"/>
                <w:szCs w:val="14"/>
                <w:color w:val="auto"/>
              </w:rPr>
            </w:pPr>
          </w:p>
        </w:tc>
        <w:tc>
          <w:tcPr>
            <w:tcW w:w="2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Opinion of Goodwin Procter LLP, counsel to the Registrant</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Consent of Ernst &amp; Young LLP, an independent registered</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0" w:type="dxa"/>
            <w:vAlign w:val="bottom"/>
            <w:tcBorders>
              <w:top w:val="single" w:sz="8" w:color="0000EE"/>
            </w:tcBorders>
            <w:gridSpan w:val="8"/>
          </w:tcPr>
          <w:p>
            <w:pPr>
              <w:spacing w:after="0" w:line="169" w:lineRule="exact"/>
              <w:rPr>
                <w:rFonts w:ascii="Arial" w:cs="Arial" w:eastAsia="Arial" w:hAnsi="Arial"/>
                <w:sz w:val="18"/>
                <w:szCs w:val="18"/>
                <w:color w:val="0000EE"/>
              </w:rPr>
            </w:pPr>
            <w:hyperlink w:anchor="page9">
              <w:r>
                <w:rPr>
                  <w:rFonts w:ascii="Arial" w:cs="Arial" w:eastAsia="Arial" w:hAnsi="Arial"/>
                  <w:sz w:val="18"/>
                  <w:szCs w:val="18"/>
                  <w:color w:val="0000EE"/>
                </w:rPr>
                <w:t>public accounting firm</w:t>
              </w:r>
            </w:hyperlink>
          </w:p>
        </w:tc>
        <w:tc>
          <w:tcPr>
            <w:tcW w:w="42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Goodwin Procter LLP (included in Exhibit 5.1)</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Power of attorney (included on the signature pages of this</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registration statement)</w:t>
              </w:r>
            </w:hyperlink>
          </w:p>
        </w:tc>
        <w:tc>
          <w:tcPr>
            <w:tcW w:w="2520" w:type="dxa"/>
            <w:vAlign w:val="bottom"/>
            <w:tcBorders>
              <w:top w:val="single" w:sz="8" w:color="0000EE"/>
            </w:tcBorders>
            <w:gridSpan w:val="3"/>
          </w:tcPr>
          <w:p>
            <w:pPr>
              <w:spacing w:after="0"/>
              <w:rPr>
                <w:sz w:val="14"/>
                <w:szCs w:val="14"/>
                <w:color w:val="auto"/>
              </w:rPr>
            </w:pPr>
          </w:p>
        </w:tc>
        <w:tc>
          <w:tcPr>
            <w:tcW w:w="460" w:type="dxa"/>
            <w:vAlign w:val="bottom"/>
            <w:gridSpan w:val="6"/>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24"/>
                <w:szCs w:val="24"/>
                <w:color w:val="auto"/>
              </w:rPr>
            </w:pPr>
          </w:p>
        </w:tc>
        <w:tc>
          <w:tcPr>
            <w:tcW w:w="4620" w:type="dxa"/>
            <w:vAlign w:val="bottom"/>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2020 Inducement Plan and form of award agreement</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69"/>
        </w:trPr>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thereunder</w:t>
              </w:r>
            </w:hyperlink>
          </w:p>
        </w:tc>
        <w:tc>
          <w:tcPr>
            <w:tcW w:w="3020" w:type="dxa"/>
            <w:vAlign w:val="bottom"/>
            <w:tcBorders>
              <w:top w:val="single" w:sz="8" w:color="0000EE"/>
            </w:tcBorders>
            <w:gridSpan w:val="4"/>
          </w:tcPr>
          <w:p>
            <w:pPr>
              <w:spacing w:after="0"/>
              <w:rPr>
                <w:sz w:val="14"/>
                <w:szCs w:val="14"/>
                <w:color w:val="auto"/>
              </w:rPr>
            </w:pPr>
          </w:p>
        </w:tc>
        <w:tc>
          <w:tcPr>
            <w:tcW w:w="820" w:type="dxa"/>
            <w:vAlign w:val="bottom"/>
            <w:gridSpan w:val="7"/>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34" w:lineRule="exact"/>
        <w:rPr>
          <w:sz w:val="20"/>
          <w:szCs w:val="20"/>
          <w:color w:val="auto"/>
        </w:rPr>
      </w:pPr>
    </w:p>
    <w:p>
      <w:pPr>
        <w:ind w:left="740" w:hanging="64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Undertakings.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The registrant hereby undertakes:</w:t>
      </w:r>
    </w:p>
    <w:p>
      <w:pPr>
        <w:spacing w:after="0" w:line="77" w:lineRule="exact"/>
        <w:rPr>
          <w:sz w:val="20"/>
          <w:szCs w:val="20"/>
          <w:color w:val="auto"/>
        </w:rPr>
      </w:pPr>
    </w:p>
    <w:p>
      <w:pPr>
        <w:ind w:left="40" w:right="660" w:firstLine="4"/>
        <w:spacing w:after="0" w:line="277"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35" w:lineRule="exact"/>
        <w:rPr>
          <w:sz w:val="20"/>
          <w:szCs w:val="20"/>
          <w:color w:val="auto"/>
        </w:rPr>
      </w:pPr>
    </w:p>
    <w:p>
      <w:pPr>
        <w:ind w:left="260" w:hanging="216"/>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40" w:right="240" w:firstLine="4"/>
        <w:spacing w:after="0" w:line="271" w:lineRule="auto"/>
        <w:tabs>
          <w:tab w:leader="none" w:pos="3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9" w:lineRule="exact"/>
        <w:rPr>
          <w:rFonts w:ascii="Arial" w:cs="Arial" w:eastAsia="Arial" w:hAnsi="Arial"/>
          <w:sz w:val="17"/>
          <w:szCs w:val="17"/>
          <w:color w:val="auto"/>
        </w:rPr>
      </w:pPr>
    </w:p>
    <w:p>
      <w:pPr>
        <w:ind w:left="40" w:right="240" w:firstLine="4"/>
        <w:spacing w:after="0" w:line="277" w:lineRule="auto"/>
        <w:tabs>
          <w:tab w:leader="none" w:pos="3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5" w:lineRule="exact"/>
        <w:rPr>
          <w:sz w:val="20"/>
          <w:szCs w:val="20"/>
          <w:color w:val="auto"/>
        </w:rPr>
      </w:pPr>
    </w:p>
    <w:p>
      <w:pPr>
        <w:ind w:left="40" w:right="2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herein do not apply if the information required to be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87" w:lineRule="exact"/>
        <w:rPr>
          <w:sz w:val="20"/>
          <w:szCs w:val="20"/>
          <w:color w:val="auto"/>
        </w:rPr>
      </w:pPr>
    </w:p>
    <w:p>
      <w:pPr>
        <w:ind w:left="40" w:right="180" w:firstLine="4"/>
        <w:spacing w:after="0" w:line="263"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40" w:top="121" w:right="1359" w:bottom="1440" w:gutter="0" w:footer="0" w:header="0"/>
        </w:sectPr>
      </w:pPr>
    </w:p>
    <w:bookmarkStart w:id="4" w:name="page5"/>
    <w:bookmarkEnd w:id="4"/>
    <w:p>
      <w:pPr>
        <w:ind w:left="40" w:right="559" w:firstLine="4"/>
        <w:spacing w:after="0" w:line="277"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 w:lineRule="exact"/>
        <w:rPr>
          <w:sz w:val="20"/>
          <w:szCs w:val="20"/>
          <w:color w:val="auto"/>
        </w:rPr>
      </w:pPr>
    </w:p>
    <w:p>
      <w:pPr>
        <w:ind w:left="40" w:right="139" w:firstLine="4"/>
        <w:spacing w:after="0" w:line="255"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7" w:lineRule="exact"/>
        <w:rPr>
          <w:sz w:val="20"/>
          <w:szCs w:val="20"/>
          <w:color w:val="auto"/>
        </w:rPr>
      </w:pPr>
    </w:p>
    <w:p>
      <w:pPr>
        <w:ind w:left="40" w:right="59" w:firstLine="4"/>
        <w:spacing w:after="0" w:line="289"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6th day of May, 2020.</w:t>
      </w: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BLUEPRINT MEDICINES CORPORATION</w:t>
      </w:r>
    </w:p>
    <w:p>
      <w:pPr>
        <w:spacing w:after="0" w:line="8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61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W. Albers</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Chief Executive Officer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81"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KNOW ALL BY THESE PRESENT, that each individual whose signature appears below hereby constitutes and appoints each of Jeffrey W. Albers and Michael Landsittel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46"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380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Title</w:t>
            </w:r>
          </w:p>
        </w:tc>
        <w:tc>
          <w:tcPr>
            <w:tcW w:w="1520" w:type="dxa"/>
            <w:vAlign w:val="bottom"/>
          </w:tcPr>
          <w:p>
            <w:pPr>
              <w:ind w:left="660"/>
              <w:spacing w:after="0"/>
              <w:rPr>
                <w:sz w:val="20"/>
                <w:szCs w:val="20"/>
                <w:color w:val="auto"/>
              </w:rPr>
            </w:pPr>
            <w:r>
              <w:rPr>
                <w:rFonts w:ascii="Arial" w:cs="Arial" w:eastAsia="Arial" w:hAnsi="Arial"/>
                <w:sz w:val="18"/>
                <w:szCs w:val="18"/>
                <w:b w:val="1"/>
                <w:bCs w:val="1"/>
                <w:color w:val="auto"/>
              </w:rPr>
              <w:t>Date</w:t>
            </w:r>
          </w:p>
        </w:tc>
      </w:tr>
      <w:tr>
        <w:trPr>
          <w:trHeight w:val="391"/>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W. Albers</w:t>
            </w:r>
          </w:p>
        </w:tc>
        <w:tc>
          <w:tcPr>
            <w:tcW w:w="3800" w:type="dxa"/>
            <w:vAlign w:val="bottom"/>
          </w:tcPr>
          <w:p>
            <w:pPr>
              <w:jc w:val="center"/>
              <w:ind w:left="130"/>
              <w:spacing w:after="0"/>
              <w:rPr>
                <w:sz w:val="20"/>
                <w:szCs w:val="20"/>
                <w:color w:val="auto"/>
              </w:rPr>
            </w:pPr>
            <w:r>
              <w:rPr>
                <w:rFonts w:ascii="Arial" w:cs="Arial" w:eastAsia="Arial" w:hAnsi="Arial"/>
                <w:sz w:val="18"/>
                <w:szCs w:val="18"/>
                <w:color w:val="auto"/>
                <w:w w:val="92"/>
              </w:rPr>
              <w:t>Director, President, Chief Executive Officer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Jeffrey W. Albers</w:t>
            </w:r>
          </w:p>
        </w:tc>
        <w:tc>
          <w:tcPr>
            <w:tcW w:w="3800" w:type="dxa"/>
            <w:vAlign w:val="bottom"/>
          </w:tcPr>
          <w:p>
            <w:pPr>
              <w:jc w:val="center"/>
              <w:ind w:left="130"/>
              <w:spacing w:after="0"/>
              <w:rPr>
                <w:sz w:val="20"/>
                <w:szCs w:val="20"/>
                <w:color w:val="auto"/>
              </w:rPr>
            </w:pPr>
            <w:r>
              <w:rPr>
                <w:rFonts w:ascii="Arial" w:cs="Arial" w:eastAsia="Arial" w:hAnsi="Arial"/>
                <w:sz w:val="18"/>
                <w:szCs w:val="18"/>
                <w:i w:val="1"/>
                <w:iCs w:val="1"/>
                <w:color w:val="auto"/>
                <w:w w:val="94"/>
              </w:rPr>
              <w:t>(Principal Executive Officer)</w:t>
            </w: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Landsittel</w:t>
            </w:r>
          </w:p>
        </w:tc>
        <w:tc>
          <w:tcPr>
            <w:tcW w:w="3800" w:type="dxa"/>
            <w:vAlign w:val="bottom"/>
          </w:tcPr>
          <w:p>
            <w:pPr>
              <w:jc w:val="center"/>
              <w:ind w:left="130"/>
              <w:spacing w:after="0"/>
              <w:rPr>
                <w:sz w:val="20"/>
                <w:szCs w:val="20"/>
                <w:color w:val="auto"/>
              </w:rPr>
            </w:pPr>
            <w:r>
              <w:rPr>
                <w:rFonts w:ascii="Arial" w:cs="Arial" w:eastAsia="Arial" w:hAnsi="Arial"/>
                <w:sz w:val="18"/>
                <w:szCs w:val="18"/>
                <w:color w:val="auto"/>
                <w:w w:val="93"/>
              </w:rPr>
              <w:t>Chief Financial Officer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Michael Landsittel</w:t>
            </w:r>
          </w:p>
        </w:tc>
        <w:tc>
          <w:tcPr>
            <w:tcW w:w="3800" w:type="dxa"/>
            <w:vAlign w:val="bottom"/>
          </w:tcPr>
          <w:p>
            <w:pPr>
              <w:jc w:val="center"/>
              <w:ind w:left="130"/>
              <w:spacing w:after="0"/>
              <w:rPr>
                <w:sz w:val="20"/>
                <w:szCs w:val="20"/>
                <w:color w:val="auto"/>
              </w:rPr>
            </w:pPr>
            <w:r>
              <w:rPr>
                <w:rFonts w:ascii="Arial" w:cs="Arial" w:eastAsia="Arial" w:hAnsi="Arial"/>
                <w:sz w:val="18"/>
                <w:szCs w:val="18"/>
                <w:i w:val="1"/>
                <w:iCs w:val="1"/>
                <w:color w:val="auto"/>
                <w:w w:val="97"/>
              </w:rPr>
              <w:t>(Principal Financial Officer)</w:t>
            </w:r>
          </w:p>
        </w:tc>
        <w:tc>
          <w:tcPr>
            <w:tcW w:w="1520" w:type="dxa"/>
            <w:vAlign w:val="bottom"/>
          </w:tcPr>
          <w:p>
            <w:pPr>
              <w:spacing w:after="0"/>
              <w:rPr>
                <w:sz w:val="19"/>
                <w:szCs w:val="19"/>
                <w:color w:val="auto"/>
              </w:rPr>
            </w:pPr>
          </w:p>
        </w:tc>
      </w:tr>
      <w:tr>
        <w:trPr>
          <w:trHeight w:val="337"/>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Ariel Hurley</w:t>
            </w:r>
          </w:p>
        </w:tc>
        <w:tc>
          <w:tcPr>
            <w:tcW w:w="3800" w:type="dxa"/>
            <w:vAlign w:val="bottom"/>
          </w:tcPr>
          <w:p>
            <w:pPr>
              <w:jc w:val="center"/>
              <w:ind w:left="130"/>
              <w:spacing w:after="0"/>
              <w:rPr>
                <w:sz w:val="20"/>
                <w:szCs w:val="20"/>
                <w:color w:val="auto"/>
              </w:rPr>
            </w:pPr>
            <w:r>
              <w:rPr>
                <w:rFonts w:ascii="Arial" w:cs="Arial" w:eastAsia="Arial" w:hAnsi="Arial"/>
                <w:sz w:val="18"/>
                <w:szCs w:val="18"/>
                <w:color w:val="auto"/>
                <w:w w:val="90"/>
              </w:rPr>
              <w:t>Vice President, Finance and Controller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Ariel Hurley</w:t>
            </w:r>
          </w:p>
        </w:tc>
        <w:tc>
          <w:tcPr>
            <w:tcW w:w="3800" w:type="dxa"/>
            <w:vAlign w:val="bottom"/>
          </w:tcPr>
          <w:p>
            <w:pPr>
              <w:jc w:val="center"/>
              <w:ind w:left="130"/>
              <w:spacing w:after="0"/>
              <w:rPr>
                <w:sz w:val="20"/>
                <w:szCs w:val="20"/>
                <w:color w:val="auto"/>
              </w:rPr>
            </w:pPr>
            <w:r>
              <w:rPr>
                <w:rFonts w:ascii="Arial" w:cs="Arial" w:eastAsia="Arial" w:hAnsi="Arial"/>
                <w:sz w:val="18"/>
                <w:szCs w:val="18"/>
                <w:i w:val="1"/>
                <w:iCs w:val="1"/>
                <w:color w:val="auto"/>
                <w:w w:val="95"/>
              </w:rPr>
              <w:t>(Principal Accounting Officer)</w:t>
            </w:r>
          </w:p>
        </w:tc>
        <w:tc>
          <w:tcPr>
            <w:tcW w:w="1520" w:type="dxa"/>
            <w:vAlign w:val="bottom"/>
          </w:tcPr>
          <w:p>
            <w:pPr>
              <w:spacing w:after="0"/>
              <w:rPr>
                <w:sz w:val="19"/>
                <w:szCs w:val="19"/>
                <w:color w:val="auto"/>
              </w:rPr>
            </w:pPr>
          </w:p>
        </w:tc>
      </w:tr>
      <w:tr>
        <w:trPr>
          <w:trHeight w:val="337"/>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Lynch</w:t>
            </w:r>
          </w:p>
        </w:tc>
        <w:tc>
          <w:tcPr>
            <w:tcW w:w="3800" w:type="dxa"/>
            <w:vAlign w:val="bottom"/>
          </w:tcPr>
          <w:p>
            <w:pPr>
              <w:jc w:val="center"/>
              <w:ind w:left="130"/>
              <w:spacing w:after="0"/>
              <w:rPr>
                <w:sz w:val="20"/>
                <w:szCs w:val="20"/>
                <w:color w:val="auto"/>
              </w:rPr>
            </w:pPr>
            <w:r>
              <w:rPr>
                <w:rFonts w:ascii="Arial" w:cs="Arial" w:eastAsia="Arial" w:hAnsi="Arial"/>
                <w:sz w:val="18"/>
                <w:szCs w:val="18"/>
                <w:color w:val="auto"/>
                <w:w w:val="91"/>
              </w:rPr>
              <w:t>Chairman of the Board</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Daniel S. Lynch</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Nicholas Lydon</w:t>
            </w:r>
          </w:p>
        </w:tc>
        <w:tc>
          <w:tcPr>
            <w:tcW w:w="380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Nicholas Lydon, Ph.D.</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Alexis Borisy</w:t>
            </w:r>
          </w:p>
        </w:tc>
        <w:tc>
          <w:tcPr>
            <w:tcW w:w="380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Goldberg</w:t>
            </w:r>
          </w:p>
        </w:tc>
        <w:tc>
          <w:tcPr>
            <w:tcW w:w="380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Mark Goldberg, M.D.</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A. Rowland, Jr.</w:t>
            </w:r>
          </w:p>
        </w:tc>
        <w:tc>
          <w:tcPr>
            <w:tcW w:w="380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Charles A. Rowland, Jr.</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George Demetri</w:t>
            </w:r>
          </w:p>
        </w:tc>
        <w:tc>
          <w:tcPr>
            <w:tcW w:w="380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22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George Demetri, M.D.</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722"/>
        </w:trPr>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Lonnel Coats</w:t>
            </w:r>
          </w:p>
        </w:tc>
        <w:tc>
          <w:tcPr>
            <w:tcW w:w="318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Lonnel Coats</w:t>
            </w:r>
          </w:p>
        </w:tc>
        <w:tc>
          <w:tcPr>
            <w:tcW w:w="3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64"/>
        </w:trPr>
        <w:tc>
          <w:tcPr>
            <w:tcW w:w="80" w:type="dxa"/>
            <w:vAlign w:val="bottom"/>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Lynn Seely</w:t>
            </w:r>
          </w:p>
        </w:tc>
        <w:tc>
          <w:tcPr>
            <w:tcW w:w="3180" w:type="dxa"/>
            <w:vAlign w:val="bottom"/>
          </w:tcPr>
          <w:p>
            <w:pPr>
              <w:ind w:left="17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rPr>
              <w:t>May 6, 2020</w:t>
            </w:r>
          </w:p>
        </w:tc>
      </w:tr>
      <w:tr>
        <w:trPr>
          <w:trHeight w:val="224"/>
        </w:trPr>
        <w:tc>
          <w:tcPr>
            <w:tcW w:w="8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Lynn Seely, M.D.</w:t>
            </w:r>
          </w:p>
        </w:tc>
        <w:tc>
          <w:tcPr>
            <w:tcW w:w="3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951"/>
        </w:trPr>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 w:right="1440" w:bottom="1440" w:gutter="0" w:footer="0" w:header="0"/>
        </w:sectPr>
      </w:pPr>
    </w:p>
    <w:bookmarkStart w:id="7" w:name="page8"/>
    <w:bookmarkEnd w:id="7"/>
    <w:p>
      <w:pPr>
        <w:jc w:val="right"/>
        <w:ind w:right="21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6, 2020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left="200" w:right="339"/>
        <w:spacing w:after="0" w:line="275"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1,000,000 shares (the “Shares”) of Common Stock, $0.001 par value per share (“Common Stock”), of Blueprint Medicines Corporation, a Delaware corporation (the “Company”), that may be issued pursuant to the Company’s 2020 Inducement Plan (the “Plan”).</w:t>
      </w:r>
    </w:p>
    <w:p>
      <w:pPr>
        <w:spacing w:after="0" w:line="176" w:lineRule="exact"/>
        <w:rPr>
          <w:sz w:val="20"/>
          <w:szCs w:val="20"/>
          <w:color w:val="auto"/>
        </w:rPr>
      </w:pPr>
    </w:p>
    <w:p>
      <w:pPr>
        <w:ind w:left="200" w:right="239"/>
        <w:spacing w:after="0" w:line="311" w:lineRule="auto"/>
        <w:rPr>
          <w:sz w:val="20"/>
          <w:szCs w:val="20"/>
          <w:color w:val="auto"/>
        </w:rPr>
      </w:pPr>
      <w:r>
        <w:rPr>
          <w:rFonts w:ascii="Arial" w:cs="Arial" w:eastAsia="Arial" w:hAnsi="Arial"/>
          <w:sz w:val="16"/>
          <w:szCs w:val="16"/>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and other inquiries of officers of the Company.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left="200" w:right="879"/>
        <w:spacing w:after="0" w:line="263"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84" w:lineRule="exact"/>
        <w:rPr>
          <w:sz w:val="20"/>
          <w:szCs w:val="20"/>
          <w:color w:val="auto"/>
        </w:rPr>
      </w:pPr>
    </w:p>
    <w:p>
      <w:pPr>
        <w:jc w:val="both"/>
        <w:ind w:left="200" w:right="739"/>
        <w:spacing w:after="0" w:line="263"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84" w:lineRule="exact"/>
        <w:rPr>
          <w:sz w:val="20"/>
          <w:szCs w:val="20"/>
          <w:color w:val="auto"/>
        </w:rPr>
      </w:pPr>
    </w:p>
    <w:p>
      <w:pPr>
        <w:jc w:val="both"/>
        <w:ind w:left="200" w:right="299"/>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1266190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right"/>
        <w:ind w:right="219"/>
        <w:spacing w:after="0"/>
        <w:rPr>
          <w:sz w:val="20"/>
          <w:szCs w:val="20"/>
          <w:color w:val="auto"/>
        </w:rPr>
      </w:pPr>
      <w:r>
        <w:rPr>
          <w:rFonts w:ascii="Arial" w:cs="Arial" w:eastAsia="Arial" w:hAnsi="Arial"/>
          <w:sz w:val="20"/>
          <w:szCs w:val="20"/>
          <w:b w:val="1"/>
          <w:bCs w:val="1"/>
          <w:color w:val="auto"/>
        </w:rPr>
        <w:t>Exhibit 23.1</w:t>
      </w:r>
    </w:p>
    <w:p>
      <w:pPr>
        <w:jc w:val="center"/>
        <w:ind w:right="19"/>
        <w:spacing w:after="0"/>
        <w:rPr>
          <w:sz w:val="20"/>
          <w:szCs w:val="20"/>
          <w:color w:val="auto"/>
        </w:rPr>
      </w:pPr>
      <w:r>
        <w:rPr>
          <w:rFonts w:ascii="Arial" w:cs="Arial" w:eastAsia="Arial" w:hAnsi="Arial"/>
          <w:sz w:val="19"/>
          <w:szCs w:val="19"/>
          <w:color w:val="auto"/>
        </w:rPr>
        <w:t>Consent of Independent Registered Public Accounting Firm</w:t>
      </w:r>
    </w:p>
    <w:p>
      <w:pPr>
        <w:spacing w:after="0" w:line="117" w:lineRule="exact"/>
        <w:rPr>
          <w:sz w:val="20"/>
          <w:szCs w:val="20"/>
          <w:color w:val="auto"/>
        </w:rPr>
      </w:pPr>
    </w:p>
    <w:p>
      <w:pPr>
        <w:ind w:left="200" w:right="359" w:firstLine="648"/>
        <w:spacing w:after="0" w:line="218" w:lineRule="auto"/>
        <w:rPr>
          <w:sz w:val="20"/>
          <w:szCs w:val="20"/>
          <w:color w:val="auto"/>
        </w:rPr>
      </w:pPr>
      <w:r>
        <w:rPr>
          <w:rFonts w:ascii="Arial" w:cs="Arial" w:eastAsia="Arial" w:hAnsi="Arial"/>
          <w:sz w:val="18"/>
          <w:szCs w:val="18"/>
          <w:color w:val="333333"/>
        </w:rPr>
        <w:t>We consent to the incorporation by reference in the Registration Statement (Form S-8) pertaining to 2020 Inducement Plan of Blueprint Medicines Corporation of our reports dated February 13, 2020, with respect to the consolidated financial statements of Blueprint Medicines Corporation and the effectiveness of internal control over financial reporting of Blueprint Medicines Corporation included in its Annual Report (Form 10-K) for the year ended December 31, 2019, filed with the Securities and Exchange Commission.</w:t>
      </w:r>
    </w:p>
    <w:p>
      <w:pPr>
        <w:spacing w:after="0" w:line="288"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/s/ Ernst &amp; Young LLP</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Boston, Massachusetts</w:t>
      </w:r>
    </w:p>
    <w:p>
      <w:pPr>
        <w:ind w:left="200"/>
        <w:spacing w:after="0"/>
        <w:rPr>
          <w:sz w:val="20"/>
          <w:szCs w:val="20"/>
          <w:color w:val="auto"/>
        </w:rPr>
      </w:pPr>
      <w:r>
        <w:rPr>
          <w:rFonts w:ascii="Arial" w:cs="Arial" w:eastAsia="Arial" w:hAnsi="Arial"/>
          <w:sz w:val="19"/>
          <w:szCs w:val="19"/>
          <w:color w:val="auto"/>
        </w:rPr>
        <w:t>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456565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i w:val="1"/>
          <w:iCs w:val="1"/>
          <w:color w:val="auto"/>
        </w:rPr>
        <w:t>Exhibit 99.1</w:t>
      </w:r>
    </w:p>
    <w:p>
      <w:pPr>
        <w:ind w:left="2860"/>
        <w:spacing w:after="0"/>
        <w:rPr>
          <w:sz w:val="20"/>
          <w:szCs w:val="20"/>
          <w:color w:val="auto"/>
        </w:rPr>
      </w:pPr>
      <w:r>
        <w:rPr>
          <w:rFonts w:ascii="Arial" w:cs="Arial" w:eastAsia="Arial" w:hAnsi="Arial"/>
          <w:sz w:val="18"/>
          <w:szCs w:val="18"/>
          <w:b w:val="1"/>
          <w:bCs w:val="1"/>
          <w:color w:val="auto"/>
        </w:rPr>
        <w:t>BLUEPRINT MEDICINES CORPORATION</w:t>
      </w:r>
    </w:p>
    <w:p>
      <w:pPr>
        <w:spacing w:after="0" w:line="12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2020 INDUCEMENT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4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name of the plan is the Blueprint Medicines Corporation 2020 Inducement Plan (the “Plan”). The purpose of the Plan is to enable Blueprint Medicines Corporation (the “Company”) and its Subsidiaries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LLC.</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44"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the functions of the compensation committee and which is comprised of not less than two Non-Employee Directors who are independent.</w:t>
      </w:r>
    </w:p>
    <w:p>
      <w:pPr>
        <w:spacing w:after="0" w:line="122"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Stock Appreciation Rights, Restricted Stock Units, Restricted Stock Awards, Unrestricted Stock Awards and Dividend Equivalent Rights.</w:t>
      </w:r>
    </w:p>
    <w:p>
      <w:pPr>
        <w:spacing w:after="0" w:line="122" w:lineRule="exact"/>
        <w:rPr>
          <w:sz w:val="20"/>
          <w:szCs w:val="20"/>
          <w:color w:val="auto"/>
        </w:rPr>
      </w:pPr>
    </w:p>
    <w:p>
      <w:pPr>
        <w:ind w:right="320" w:firstLine="648"/>
        <w:spacing w:after="0" w:line="258" w:lineRule="auto"/>
        <w:rPr>
          <w:sz w:val="20"/>
          <w:szCs w:val="20"/>
          <w:color w:val="auto"/>
        </w:rPr>
      </w:pPr>
      <w:r>
        <w:rPr>
          <w:rFonts w:ascii="Arial" w:cs="Arial" w:eastAsia="Arial" w:hAnsi="Arial"/>
          <w:sz w:val="17"/>
          <w:szCs w:val="17"/>
          <w:i w:val="1"/>
          <w:iCs w:val="1"/>
          <w:color w:val="auto"/>
        </w:rPr>
        <w:t xml:space="preserve">“Award Certificate” </w:t>
      </w:r>
      <w:r>
        <w:rPr>
          <w:rFonts w:ascii="Arial" w:cs="Arial" w:eastAsia="Arial" w:hAnsi="Arial"/>
          <w:sz w:val="17"/>
          <w:szCs w:val="17"/>
          <w:color w:val="auto"/>
        </w:rPr>
        <w:t>means a written or electronic document setting forth the terms and provisions applicable to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granted under the Plan. Each Award Certificate is subject to the terms and conditions of the Plan.</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4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 rules,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interpretations.</w:t>
      </w:r>
    </w:p>
    <w:p>
      <w:pPr>
        <w:spacing w:after="0" w:line="121"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22"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 dividends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have been paid on the shares of Stock specified in the Dividend Equivalent Right (or other award to which it relates) if such shares had been issued to and held by the grantee.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21.</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any individual who was not previously an employee or a</w:t>
      </w:r>
    </w:p>
    <w:p>
      <w:pPr>
        <w:jc w:val="both"/>
        <w:ind w:right="80"/>
        <w:spacing w:after="0" w:line="248" w:lineRule="auto"/>
        <w:rPr>
          <w:sz w:val="20"/>
          <w:szCs w:val="20"/>
          <w:color w:val="auto"/>
        </w:rPr>
      </w:pPr>
      <w:r>
        <w:rPr>
          <w:rFonts w:ascii="Arial" w:cs="Arial" w:eastAsia="Arial" w:hAnsi="Arial"/>
          <w:sz w:val="16"/>
          <w:szCs w:val="16"/>
          <w:color w:val="auto"/>
        </w:rPr>
        <w:t>Non-Employee Director of the Company or any of its Subsidiaries (or who has had a bona fide period of non-employment with the Company and its Subsidiaries), who is hired as a full or part-time employee by the Company or one of its Subsidiaries, and for whom the Award is being made as an inducement material to the individual’s entering into such employment.</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 and the rules and regulations thereunder.</w:t>
      </w:r>
    </w:p>
    <w:p>
      <w:pPr>
        <w:spacing w:after="0" w:line="167"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 in good faith</w:t>
      </w:r>
      <w:r>
        <w:rPr>
          <w:rFonts w:ascii="Arial" w:cs="Arial" w:eastAsia="Arial" w:hAnsi="Arial"/>
          <w:sz w:val="16"/>
          <w:szCs w:val="16"/>
          <w:i w:val="1"/>
          <w:iCs w:val="1"/>
          <w:color w:val="auto"/>
        </w:rPr>
        <w:t xml:space="preserve"> </w:t>
      </w:r>
      <w:r>
        <w:rPr>
          <w:rFonts w:ascii="Arial" w:cs="Arial" w:eastAsia="Arial" w:hAnsi="Arial"/>
          <w:sz w:val="16"/>
          <w:szCs w:val="16"/>
          <w:color w:val="auto"/>
        </w:rPr>
        <w:t>by the Administrator; provided, however, that if the Stock is admitted to quotation on the NASDAQ Capital Market, the NASDAQ Global Market, the NASDAQ Global Select Market, the New York Stock Exchange or another national securities exchange, the determination shall be made by reference to the closing price of the Stock. If there is no closing price for such date, the determination shall be made by reference to the last date preceding such date for which there is a closing price.</w:t>
      </w:r>
    </w:p>
    <w:p>
      <w:pPr>
        <w:spacing w:after="0" w:line="118"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437515</wp:posOffset>
            </wp:positionV>
            <wp:extent cx="588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6" w:right="133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144"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shares of Stock subject to such restrictions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at the time of grant.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phantom stock units to a grantee.</w:t>
      </w:r>
    </w:p>
    <w:p>
      <w:pPr>
        <w:spacing w:after="0" w:line="14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shall mean (i) the sale of all or substantially all of the assets of the Company on a consolidated basis to</w:t>
      </w:r>
      <w:r>
        <w:rPr>
          <w:rFonts w:ascii="Arial" w:cs="Arial" w:eastAsia="Arial" w:hAnsi="Arial"/>
          <w:sz w:val="18"/>
          <w:szCs w:val="18"/>
          <w:i w:val="1"/>
          <w:iCs w:val="1"/>
          <w:color w:val="auto"/>
        </w:rPr>
        <w:t xml:space="preserve"> </w:t>
      </w:r>
      <w:r>
        <w:rPr>
          <w:rFonts w:ascii="Arial" w:cs="Arial" w:eastAsia="Arial" w:hAnsi="Arial"/>
          <w:sz w:val="18"/>
          <w:szCs w:val="18"/>
          <w:color w:val="auto"/>
        </w:rPr>
        <w:t>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25"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means Section 409A of the Code and the regulations and other guidance promulgated thereunder.</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Non-Employee Director or Consultant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Affiliate (e.g., a Service Relationship shall be deemed to continue without interruption in the event an individual’s status changes from full-time employee to part-time employee or Consultant).</w:t>
      </w:r>
    </w:p>
    <w:p>
      <w:pPr>
        <w:spacing w:after="0" w:line="12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w:t>
      </w:r>
    </w:p>
    <w:p>
      <w:pPr>
        <w:spacing w:after="0" w:line="12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having a value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06" w:lineRule="exact"/>
        <w:rPr>
          <w:sz w:val="20"/>
          <w:szCs w:val="20"/>
          <w:color w:val="auto"/>
        </w:rPr>
      </w:pPr>
    </w:p>
    <w:p>
      <w:pPr>
        <w:jc w:val="both"/>
        <w:ind w:right="120" w:firstLine="648"/>
        <w:spacing w:after="0" w:line="235"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interest, either directly or indirectly.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44" w:lineRule="exact"/>
        <w:rPr>
          <w:sz w:val="20"/>
          <w:szCs w:val="20"/>
          <w:color w:val="auto"/>
        </w:rPr>
      </w:pPr>
    </w:p>
    <w:p>
      <w:pPr>
        <w:ind w:left="1160" w:right="860" w:hanging="1165"/>
        <w:spacing w:after="0" w:line="23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DETERMINE AWARDS</w:t>
      </w:r>
    </w:p>
    <w:p>
      <w:pPr>
        <w:spacing w:after="0" w:line="121" w:lineRule="exact"/>
        <w:rPr>
          <w:sz w:val="20"/>
          <w:szCs w:val="20"/>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44" w:lineRule="exact"/>
        <w:rPr>
          <w:rFonts w:ascii="Arial" w:cs="Arial" w:eastAsia="Arial" w:hAnsi="Arial"/>
          <w:sz w:val="18"/>
          <w:szCs w:val="18"/>
          <w:color w:val="auto"/>
        </w:rPr>
      </w:pPr>
    </w:p>
    <w:p>
      <w:pPr>
        <w:ind w:right="20" w:firstLine="647"/>
        <w:spacing w:after="0" w:line="235" w:lineRule="auto"/>
        <w:tabs>
          <w:tab w:leader="none" w:pos="90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21" w:lineRule="exact"/>
        <w:rPr>
          <w:rFonts w:ascii="Arial" w:cs="Arial" w:eastAsia="Arial" w:hAnsi="Arial"/>
          <w:sz w:val="18"/>
          <w:szCs w:val="18"/>
          <w:color w:val="auto"/>
        </w:rPr>
      </w:pPr>
    </w:p>
    <w:p>
      <w:pPr>
        <w:ind w:right="260" w:firstLine="1295"/>
        <w:spacing w:after="0" w:line="235" w:lineRule="auto"/>
        <w:tabs>
          <w:tab w:leader="none" w:pos="15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 provided, such individuals are Eligible Employees;</w:t>
      </w:r>
    </w:p>
    <w:p>
      <w:pPr>
        <w:spacing w:after="0" w:line="121" w:lineRule="exact"/>
        <w:rPr>
          <w:rFonts w:ascii="Arial" w:cs="Arial" w:eastAsia="Arial" w:hAnsi="Arial"/>
          <w:sz w:val="18"/>
          <w:szCs w:val="18"/>
          <w:color w:val="auto"/>
        </w:rPr>
      </w:pPr>
    </w:p>
    <w:p>
      <w:pPr>
        <w:ind w:right="280" w:firstLine="1295"/>
        <w:spacing w:after="0" w:line="224" w:lineRule="auto"/>
        <w:tabs>
          <w:tab w:leader="none" w:pos="16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spacing w:after="0" w:line="122" w:lineRule="exact"/>
        <w:rPr>
          <w:rFonts w:ascii="Arial" w:cs="Arial" w:eastAsia="Arial" w:hAnsi="Arial"/>
          <w:sz w:val="18"/>
          <w:szCs w:val="18"/>
          <w:color w:val="auto"/>
        </w:rPr>
      </w:pPr>
    </w:p>
    <w:p>
      <w:pPr>
        <w:ind w:left="1660" w:hanging="365"/>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44" w:lineRule="exact"/>
        <w:rPr>
          <w:rFonts w:ascii="Arial" w:cs="Arial" w:eastAsia="Arial" w:hAnsi="Arial"/>
          <w:sz w:val="18"/>
          <w:szCs w:val="18"/>
          <w:color w:val="auto"/>
        </w:rPr>
      </w:pPr>
    </w:p>
    <w:p>
      <w:pPr>
        <w:ind w:right="340" w:firstLine="1295"/>
        <w:spacing w:after="0" w:line="224" w:lineRule="auto"/>
        <w:tabs>
          <w:tab w:leader="none" w:pos="16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588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63" w:right="1339" w:bottom="1440" w:gutter="0" w:footer="0" w:header="0"/>
        </w:sectPr>
      </w:pPr>
    </w:p>
    <w:bookmarkStart w:id="11" w:name="page12"/>
    <w:bookmarkEnd w:id="11"/>
    <w:p>
      <w:pPr>
        <w:ind w:left="1" w:firstLine="1295"/>
        <w:spacing w:after="0" w:line="237" w:lineRule="auto"/>
        <w:tabs>
          <w:tab w:leader="none" w:pos="159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22" w:lineRule="exact"/>
        <w:rPr>
          <w:rFonts w:ascii="Arial" w:cs="Arial" w:eastAsia="Arial" w:hAnsi="Arial"/>
          <w:sz w:val="17"/>
          <w:szCs w:val="17"/>
          <w:color w:val="auto"/>
        </w:rPr>
      </w:pPr>
    </w:p>
    <w:p>
      <w:pPr>
        <w:ind w:left="1641" w:hanging="345"/>
        <w:spacing w:after="0"/>
        <w:tabs>
          <w:tab w:leader="none" w:pos="16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the provisions of Section 5(c), to extend at any time the period in which Stock Options may be</w:t>
      </w:r>
    </w:p>
    <w:p>
      <w:pPr>
        <w:spacing w:after="0" w:line="7"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exercised; and</w:t>
      </w:r>
    </w:p>
    <w:p>
      <w:pPr>
        <w:spacing w:after="0" w:line="128" w:lineRule="exact"/>
        <w:rPr>
          <w:rFonts w:ascii="Arial" w:cs="Arial" w:eastAsia="Arial" w:hAnsi="Arial"/>
          <w:sz w:val="16"/>
          <w:szCs w:val="16"/>
          <w:color w:val="auto"/>
        </w:rPr>
      </w:pPr>
    </w:p>
    <w:p>
      <w:pPr>
        <w:ind w:left="1" w:right="80" w:firstLine="1295"/>
        <w:spacing w:after="0" w:line="249" w:lineRule="auto"/>
        <w:tabs>
          <w:tab w:leader="none" w:pos="16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4" w:lineRule="exact"/>
        <w:rPr>
          <w:sz w:val="20"/>
          <w:szCs w:val="20"/>
          <w:color w:val="auto"/>
        </w:rPr>
      </w:pPr>
    </w:p>
    <w:p>
      <w:pPr>
        <w:ind w:left="641"/>
        <w:spacing w:after="0"/>
        <w:rPr>
          <w:sz w:val="20"/>
          <w:szCs w:val="20"/>
          <w:color w:val="auto"/>
        </w:rPr>
      </w:pPr>
      <w:r>
        <w:rPr>
          <w:rFonts w:ascii="Arial" w:cs="Arial" w:eastAsia="Arial" w:hAnsi="Arial"/>
          <w:sz w:val="16"/>
          <w:szCs w:val="16"/>
          <w:color w:val="auto"/>
        </w:rPr>
        <w:t>All decisions and interpretations of the Administrator shall be binding on all persons, including the Company and Plan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8"/>
          <w:szCs w:val="18"/>
          <w:color w:val="auto"/>
        </w:rPr>
        <w:t>grantees.</w:t>
      </w:r>
    </w:p>
    <w:p>
      <w:pPr>
        <w:spacing w:after="0" w:line="128" w:lineRule="exact"/>
        <w:rPr>
          <w:sz w:val="20"/>
          <w:szCs w:val="20"/>
          <w:color w:val="auto"/>
        </w:rPr>
      </w:pPr>
    </w:p>
    <w:p>
      <w:pPr>
        <w:ind w:left="901" w:hanging="253"/>
        <w:spacing w:after="0"/>
        <w:tabs>
          <w:tab w:leader="none" w:pos="9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44" w:lineRule="exact"/>
        <w:rPr>
          <w:rFonts w:ascii="Arial" w:cs="Arial" w:eastAsia="Arial" w:hAnsi="Arial"/>
          <w:sz w:val="18"/>
          <w:szCs w:val="18"/>
          <w:color w:val="auto"/>
        </w:rPr>
      </w:pPr>
    </w:p>
    <w:p>
      <w:pPr>
        <w:ind w:left="1" w:right="440" w:firstLine="647"/>
        <w:spacing w:after="0" w:line="224" w:lineRule="auto"/>
        <w:tabs>
          <w:tab w:leader="none" w:pos="904"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of the grantee terminates.</w:t>
      </w:r>
    </w:p>
    <w:p>
      <w:pPr>
        <w:spacing w:after="0" w:line="122" w:lineRule="exact"/>
        <w:rPr>
          <w:rFonts w:ascii="Arial" w:cs="Arial" w:eastAsia="Arial" w:hAnsi="Arial"/>
          <w:sz w:val="18"/>
          <w:szCs w:val="18"/>
          <w:color w:val="auto"/>
        </w:rPr>
      </w:pPr>
    </w:p>
    <w:p>
      <w:pPr>
        <w:ind w:left="1" w:right="40" w:firstLine="647"/>
        <w:spacing w:after="0" w:line="225" w:lineRule="auto"/>
        <w:tabs>
          <w:tab w:leader="none" w:pos="893"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21" w:lineRule="exact"/>
        <w:rPr>
          <w:rFonts w:ascii="Arial" w:cs="Arial" w:eastAsia="Arial" w:hAnsi="Arial"/>
          <w:sz w:val="17"/>
          <w:szCs w:val="17"/>
          <w:color w:val="auto"/>
        </w:rPr>
      </w:pPr>
    </w:p>
    <w:p>
      <w:pPr>
        <w:ind w:left="1" w:right="60" w:firstLine="647"/>
        <w:spacing w:after="0" w:line="233" w:lineRule="auto"/>
        <w:tabs>
          <w:tab w:leader="none" w:pos="874"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eligible for Awards, the Administrator, in its sole discretion, shall have the power and authority to: (i) determine which Subsidiaries shall be covered by the Plan; (ii) determine which Eligible Employees outside the United States are eligible to participate in the Plan; (iii) modify the terms and conditions of any Award granted to individuals outside the United States to comply with applicable foreign laws;</w:t>
      </w:r>
    </w:p>
    <w:p>
      <w:pPr>
        <w:ind w:left="1" w:right="180" w:hanging="1"/>
        <w:spacing w:after="0" w:line="220" w:lineRule="auto"/>
        <w:tabs>
          <w:tab w:leader="none" w:pos="30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subplans and modify exercise procedures and other terms and procedures, to the extent the Administrator determines such actions to be necessary or advisable (and such subplans and/or modifications shall be attached to this Plan as appendices) and subject to Nasdaq Listing Rule 5635(c)(4) and related guidelines and interpretations;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44" w:lineRule="exact"/>
        <w:rPr>
          <w:sz w:val="20"/>
          <w:szCs w:val="20"/>
          <w:color w:val="auto"/>
        </w:rPr>
      </w:pPr>
    </w:p>
    <w:p>
      <w:pPr>
        <w:ind w:left="1" w:right="80" w:firstLine="647"/>
        <w:spacing w:after="0" w:line="221" w:lineRule="auto"/>
        <w:tabs>
          <w:tab w:leader="none" w:pos="89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of Stock reserved and available for issuance under the Plan shall be 1,000,000 shares (the “</w:t>
      </w:r>
      <w:r>
        <w:rPr>
          <w:rFonts w:ascii="Arial" w:cs="Arial" w:eastAsia="Arial" w:hAnsi="Arial"/>
          <w:sz w:val="17"/>
          <w:szCs w:val="17"/>
          <w:i w:val="1"/>
          <w:iCs w:val="1"/>
          <w:color w:val="auto"/>
        </w:rPr>
        <w:t>Initial Limit</w:t>
      </w:r>
      <w:r>
        <w:rPr>
          <w:rFonts w:ascii="Arial" w:cs="Arial" w:eastAsia="Arial" w:hAnsi="Arial"/>
          <w:sz w:val="17"/>
          <w:szCs w:val="17"/>
          <w:color w:val="auto"/>
        </w:rPr>
        <w:t>”), subject to adjustment as provided in Section 3(c).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 provided, however, that Stock Options or Stock Appreciation Rights with respect to no more than shares of Stock may be granted to any one individual grantee during any one calendar year period. The shares available for issuance under the Plan may be authorized but unissued shares of Stock or shares of Stock reacquired by the Company.</w:t>
      </w:r>
    </w:p>
    <w:p>
      <w:pPr>
        <w:spacing w:after="0" w:line="126" w:lineRule="exact"/>
        <w:rPr>
          <w:rFonts w:ascii="Arial" w:cs="Arial" w:eastAsia="Arial" w:hAnsi="Arial"/>
          <w:sz w:val="17"/>
          <w:szCs w:val="17"/>
          <w:color w:val="auto"/>
        </w:rPr>
      </w:pPr>
    </w:p>
    <w:p>
      <w:pPr>
        <w:ind w:left="901" w:hanging="253"/>
        <w:spacing w:after="0"/>
        <w:tabs>
          <w:tab w:leader="none" w:pos="90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588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463" w:right="1339" w:bottom="1440" w:gutter="0" w:footer="0" w:header="0"/>
        </w:sectPr>
      </w:pPr>
    </w:p>
    <w:bookmarkStart w:id="12" w:name="page13"/>
    <w:bookmarkEnd w:id="12"/>
    <w:p>
      <w:pPr>
        <w:ind w:right="40" w:firstLine="647"/>
        <w:spacing w:after="0" w:line="219" w:lineRule="auto"/>
        <w:tabs>
          <w:tab w:leader="none" w:pos="89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23" w:lineRule="exact"/>
        <w:rPr>
          <w:rFonts w:ascii="Arial" w:cs="Arial" w:eastAsia="Arial" w:hAnsi="Arial"/>
          <w:sz w:val="17"/>
          <w:szCs w:val="17"/>
          <w:color w:val="auto"/>
        </w:rPr>
      </w:pPr>
    </w:p>
    <w:p>
      <w:pPr>
        <w:ind w:firstLine="647"/>
        <w:spacing w:after="0" w:line="232" w:lineRule="auto"/>
        <w:tabs>
          <w:tab w:leader="none" w:pos="90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 in exchange for cancellation thereof an amount equal to the Sale Price multiplied by the number of shares subject to such Awards, to be paid at the time of the Sale Event or upon the later vesting of such Awards.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44"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Grantees under the Plan will be such Eligible Employees to whom the Company may issue securities without stockholder approval in accordance with Rules 5635(c)(4) of the Marketplace Rules of The Nasdaq Stock Market LLC as are selected from time to time by the Administrator in its sole discretion.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44" w:lineRule="exact"/>
        <w:rPr>
          <w:sz w:val="20"/>
          <w:szCs w:val="20"/>
          <w:color w:val="auto"/>
        </w:rPr>
      </w:pPr>
    </w:p>
    <w:p>
      <w:pPr>
        <w:jc w:val="both"/>
        <w:ind w:right="500" w:firstLine="648"/>
        <w:spacing w:after="0" w:line="224"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22" w:lineRule="exact"/>
        <w:rPr>
          <w:sz w:val="20"/>
          <w:szCs w:val="20"/>
          <w:color w:val="auto"/>
        </w:rPr>
      </w:pPr>
    </w:p>
    <w:p>
      <w:pPr>
        <w:ind w:right="240" w:firstLine="647"/>
        <w:spacing w:after="0" w:line="235" w:lineRule="auto"/>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All Stock Options granted under the Plan shall be non-qualified stock options.</w:t>
      </w:r>
    </w:p>
    <w:p>
      <w:pPr>
        <w:spacing w:after="0" w:line="121" w:lineRule="exact"/>
        <w:rPr>
          <w:rFonts w:ascii="Arial" w:cs="Arial" w:eastAsia="Arial" w:hAnsi="Arial"/>
          <w:sz w:val="18"/>
          <w:szCs w:val="18"/>
          <w:color w:val="auto"/>
        </w:rPr>
      </w:pPr>
    </w:p>
    <w:p>
      <w:pPr>
        <w:ind w:right="20" w:firstLine="647"/>
        <w:spacing w:after="0" w:line="224"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588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638" w:right="1359" w:bottom="1440" w:gutter="0" w:footer="0" w:header="0"/>
        </w:sectPr>
      </w:pPr>
    </w:p>
    <w:bookmarkStart w:id="13" w:name="page14"/>
    <w:bookmarkEnd w:id="13"/>
    <w:p>
      <w:pPr>
        <w:ind w:right="420" w:firstLine="647"/>
        <w:spacing w:after="0" w:line="235" w:lineRule="auto"/>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w:t>
      </w:r>
    </w:p>
    <w:p>
      <w:pPr>
        <w:spacing w:after="0" w:line="121" w:lineRule="exact"/>
        <w:rPr>
          <w:rFonts w:ascii="Arial" w:cs="Arial" w:eastAsia="Arial" w:hAnsi="Arial"/>
          <w:sz w:val="18"/>
          <w:szCs w:val="18"/>
          <w:color w:val="auto"/>
        </w:rPr>
      </w:pPr>
    </w:p>
    <w:p>
      <w:pPr>
        <w:ind w:right="40" w:firstLine="647"/>
        <w:spacing w:after="0" w:line="232" w:lineRule="auto"/>
        <w:tabs>
          <w:tab w:leader="none" w:pos="90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21" w:lineRule="exact"/>
        <w:rPr>
          <w:rFonts w:ascii="Arial" w:cs="Arial" w:eastAsia="Arial" w:hAnsi="Arial"/>
          <w:sz w:val="17"/>
          <w:szCs w:val="17"/>
          <w:color w:val="auto"/>
        </w:rPr>
      </w:pPr>
    </w:p>
    <w:p>
      <w:pPr>
        <w:ind w:right="100" w:firstLine="647"/>
        <w:spacing w:after="0" w:line="224" w:lineRule="auto"/>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to the extent provided in the Option Award Certificate:</w:t>
      </w:r>
    </w:p>
    <w:p>
      <w:pPr>
        <w:spacing w:after="0" w:line="122" w:lineRule="exact"/>
        <w:rPr>
          <w:rFonts w:ascii="Arial" w:cs="Arial" w:eastAsia="Arial" w:hAnsi="Arial"/>
          <w:sz w:val="18"/>
          <w:szCs w:val="18"/>
          <w:color w:val="auto"/>
        </w:rPr>
      </w:pPr>
    </w:p>
    <w:p>
      <w:pPr>
        <w:ind w:left="1500" w:hanging="205"/>
        <w:spacing w:after="0"/>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44" w:lineRule="exact"/>
        <w:rPr>
          <w:rFonts w:ascii="Arial" w:cs="Arial" w:eastAsia="Arial" w:hAnsi="Arial"/>
          <w:sz w:val="18"/>
          <w:szCs w:val="18"/>
          <w:color w:val="auto"/>
        </w:rPr>
      </w:pPr>
    </w:p>
    <w:p>
      <w:pPr>
        <w:jc w:val="both"/>
        <w:ind w:right="540" w:firstLine="1295"/>
        <w:spacing w:after="0" w:line="289" w:lineRule="auto"/>
        <w:tabs>
          <w:tab w:leader="none" w:pos="1558"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83" w:lineRule="exact"/>
        <w:rPr>
          <w:rFonts w:ascii="Arial" w:cs="Arial" w:eastAsia="Arial" w:hAnsi="Arial"/>
          <w:sz w:val="16"/>
          <w:szCs w:val="16"/>
          <w:color w:val="auto"/>
        </w:rPr>
      </w:pPr>
    </w:p>
    <w:p>
      <w:pPr>
        <w:ind w:right="80" w:firstLine="1295"/>
        <w:spacing w:after="0" w:line="216" w:lineRule="auto"/>
        <w:tabs>
          <w:tab w:leader="none" w:pos="1611"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21" w:lineRule="exact"/>
        <w:rPr>
          <w:rFonts w:ascii="Arial" w:cs="Arial" w:eastAsia="Arial" w:hAnsi="Arial"/>
          <w:sz w:val="18"/>
          <w:szCs w:val="18"/>
          <w:color w:val="auto"/>
        </w:rPr>
      </w:pPr>
    </w:p>
    <w:p>
      <w:pPr>
        <w:ind w:right="20" w:firstLine="1295"/>
        <w:spacing w:after="0" w:line="224" w:lineRule="auto"/>
        <w:tabs>
          <w:tab w:leader="none" w:pos="16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44" w:lineRule="exact"/>
        <w:rPr>
          <w:sz w:val="20"/>
          <w:szCs w:val="20"/>
          <w:color w:val="auto"/>
        </w:rPr>
      </w:pPr>
    </w:p>
    <w:p>
      <w:pPr>
        <w:ind w:firstLine="647"/>
        <w:spacing w:after="0" w:line="235" w:lineRule="auto"/>
        <w:tabs>
          <w:tab w:leader="none" w:pos="8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one hundred percent (100%) of the Fair Market Value of the Stock on the date of grant.</w:t>
      </w:r>
    </w:p>
    <w:p>
      <w:pPr>
        <w:spacing w:after="0" w:line="121" w:lineRule="exact"/>
        <w:rPr>
          <w:rFonts w:ascii="Arial" w:cs="Arial" w:eastAsia="Arial" w:hAnsi="Arial"/>
          <w:sz w:val="18"/>
          <w:szCs w:val="18"/>
          <w:color w:val="auto"/>
        </w:rPr>
      </w:pPr>
    </w:p>
    <w:p>
      <w:pPr>
        <w:ind w:right="120" w:firstLine="647"/>
        <w:spacing w:after="0" w:line="235" w:lineRule="auto"/>
        <w:tabs>
          <w:tab w:leader="none" w:pos="90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21" w:lineRule="exact"/>
        <w:rPr>
          <w:rFonts w:ascii="Arial" w:cs="Arial" w:eastAsia="Arial" w:hAnsi="Arial"/>
          <w:sz w:val="18"/>
          <w:szCs w:val="18"/>
          <w:color w:val="auto"/>
        </w:rPr>
      </w:pPr>
    </w:p>
    <w:p>
      <w:pPr>
        <w:ind w:right="160" w:firstLine="647"/>
        <w:spacing w:after="0" w:line="224" w:lineRule="auto"/>
        <w:tabs>
          <w:tab w:leader="none" w:pos="8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 Stock Appreciation Rights shall be subject to such terms and conditions as shall be determined from time to time by the Administrator. The term of a Stock Appreciation Right may not exceed ten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44" w:lineRule="exact"/>
        <w:rPr>
          <w:sz w:val="20"/>
          <w:szCs w:val="20"/>
          <w:color w:val="auto"/>
        </w:rPr>
      </w:pPr>
    </w:p>
    <w:p>
      <w:pPr>
        <w:ind w:right="160" w:firstLine="647"/>
        <w:spacing w:after="0" w:line="244" w:lineRule="auto"/>
        <w:tabs>
          <w:tab w:leader="none" w:pos="89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Stock (the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588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638" w:right="1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Awards and grantees.</w:t>
      </w:r>
    </w:p>
    <w:p>
      <w:pPr>
        <w:spacing w:after="0" w:line="144" w:lineRule="exact"/>
        <w:rPr>
          <w:sz w:val="20"/>
          <w:szCs w:val="20"/>
          <w:color w:val="auto"/>
        </w:rPr>
      </w:pPr>
    </w:p>
    <w:p>
      <w:pPr>
        <w:ind w:right="100" w:firstLine="647"/>
        <w:spacing w:after="0" w:line="236" w:lineRule="auto"/>
        <w:tabs>
          <w:tab w:leader="none" w:pos="90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1" w:lineRule="exact"/>
        <w:rPr>
          <w:rFonts w:ascii="Arial" w:cs="Arial" w:eastAsia="Arial" w:hAnsi="Arial"/>
          <w:sz w:val="16"/>
          <w:szCs w:val="16"/>
          <w:color w:val="auto"/>
        </w:rPr>
      </w:pPr>
    </w:p>
    <w:p>
      <w:pPr>
        <w:ind w:firstLine="647"/>
        <w:spacing w:after="0" w:line="221" w:lineRule="auto"/>
        <w:tabs>
          <w:tab w:leader="none" w:pos="89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26" w:lineRule="exact"/>
        <w:rPr>
          <w:rFonts w:ascii="Arial" w:cs="Arial" w:eastAsia="Arial" w:hAnsi="Arial"/>
          <w:sz w:val="17"/>
          <w:szCs w:val="17"/>
          <w:color w:val="auto"/>
        </w:rPr>
      </w:pPr>
    </w:p>
    <w:p>
      <w:pPr>
        <w:ind w:right="100" w:firstLine="647"/>
        <w:spacing w:after="0" w:line="228"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44" w:lineRule="exact"/>
        <w:rPr>
          <w:sz w:val="20"/>
          <w:szCs w:val="20"/>
          <w:color w:val="auto"/>
        </w:rPr>
      </w:pPr>
    </w:p>
    <w:p>
      <w:pPr>
        <w:ind w:right="60" w:firstLine="647"/>
        <w:spacing w:after="0" w:line="236" w:lineRule="auto"/>
        <w:tabs>
          <w:tab w:leader="none" w:pos="89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6" w:lineRule="exact"/>
        <w:rPr>
          <w:rFonts w:ascii="Arial" w:cs="Arial" w:eastAsia="Arial" w:hAnsi="Arial"/>
          <w:sz w:val="16"/>
          <w:szCs w:val="16"/>
          <w:color w:val="auto"/>
        </w:rPr>
      </w:pPr>
    </w:p>
    <w:p>
      <w:pPr>
        <w:ind w:left="900" w:hanging="25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20" w:firstLine="647"/>
        <w:spacing w:after="0" w:line="219" w:lineRule="auto"/>
        <w:tabs>
          <w:tab w:leader="none" w:pos="89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13 and such terms and conditions as the Administrator may determine.</w:t>
      </w:r>
    </w:p>
    <w:p>
      <w:pPr>
        <w:spacing w:after="0" w:line="122" w:lineRule="exact"/>
        <w:rPr>
          <w:sz w:val="20"/>
          <w:szCs w:val="20"/>
          <w:color w:val="auto"/>
        </w:rPr>
      </w:pPr>
    </w:p>
    <w:p>
      <w:pPr>
        <w:jc w:val="both"/>
        <w:ind w:right="20" w:firstLine="692"/>
        <w:spacing w:after="0" w:line="219" w:lineRule="auto"/>
        <w:tabs>
          <w:tab w:leader="none" w:pos="94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44"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u w:val="single" w:color="auto"/>
          <w:color w:val="auto"/>
        </w:rPr>
        <w:t>Grant or Sale of Unrestricted Stock</w:t>
      </w:r>
      <w:r>
        <w:rPr>
          <w:rFonts w:ascii="Arial" w:cs="Arial" w:eastAsia="Arial" w:hAnsi="Arial"/>
          <w:sz w:val="17"/>
          <w:szCs w:val="17"/>
          <w:color w:val="auto"/>
        </w:rPr>
        <w:t>. The Administrator may, in its sole discretion, grant (or sell at par value or such higher purchase price determined by the Administrator) an Unrestricted Stock Award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316865</wp:posOffset>
            </wp:positionV>
            <wp:extent cx="588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63" w:right="1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[RESERVED]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[RESERVED]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[RESERVED]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DIVIDEND EQUIVALENT RIGHTS</w:t>
      </w:r>
    </w:p>
    <w:p>
      <w:pPr>
        <w:spacing w:after="0" w:line="144" w:lineRule="exact"/>
        <w:rPr>
          <w:sz w:val="20"/>
          <w:szCs w:val="20"/>
          <w:color w:val="auto"/>
        </w:rPr>
      </w:pPr>
    </w:p>
    <w:p>
      <w:pPr>
        <w:ind w:right="40" w:firstLine="647"/>
        <w:spacing w:after="0" w:line="221" w:lineRule="auto"/>
        <w:tabs>
          <w:tab w:leader="none" w:pos="89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A Dividend Equivalent Right may be granted hereunder to any grantee as a component of an award of Restricted Stock Units, Restricted Stock Award or as a freestanding award under the Plan.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6" w:lineRule="exact"/>
        <w:rPr>
          <w:rFonts w:ascii="Arial" w:cs="Arial" w:eastAsia="Arial" w:hAnsi="Arial"/>
          <w:sz w:val="17"/>
          <w:szCs w:val="17"/>
          <w:color w:val="auto"/>
        </w:rPr>
      </w:pPr>
    </w:p>
    <w:p>
      <w:pPr>
        <w:ind w:firstLine="647"/>
        <w:spacing w:after="0" w:line="219"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TRANSFERABILITY OF AWARDS</w:t>
      </w:r>
    </w:p>
    <w:p>
      <w:pPr>
        <w:spacing w:after="0" w:line="144" w:lineRule="exact"/>
        <w:rPr>
          <w:sz w:val="20"/>
          <w:szCs w:val="20"/>
          <w:color w:val="auto"/>
        </w:rPr>
      </w:pPr>
    </w:p>
    <w:p>
      <w:pPr>
        <w:jc w:val="both"/>
        <w:ind w:right="120" w:firstLine="647"/>
        <w:spacing w:after="0" w:line="244" w:lineRule="auto"/>
        <w:tabs>
          <w:tab w:leader="none" w:pos="89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7" w:lineRule="exact"/>
        <w:rPr>
          <w:rFonts w:ascii="Arial" w:cs="Arial" w:eastAsia="Arial" w:hAnsi="Arial"/>
          <w:sz w:val="16"/>
          <w:szCs w:val="16"/>
          <w:color w:val="auto"/>
        </w:rPr>
      </w:pPr>
    </w:p>
    <w:p>
      <w:pPr>
        <w:ind w:firstLine="647"/>
        <w:spacing w:after="0" w:line="214" w:lineRule="auto"/>
        <w:tabs>
          <w:tab w:leader="none" w:pos="9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14(a), the Administrator, in its discretion, may provide either in the Award Certificate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Arial" w:cs="Arial" w:eastAsia="Arial" w:hAnsi="Arial"/>
          <w:sz w:val="18"/>
          <w:szCs w:val="18"/>
          <w:color w:val="auto"/>
        </w:rPr>
      </w:pPr>
    </w:p>
    <w:p>
      <w:pPr>
        <w:ind w:firstLine="647"/>
        <w:spacing w:after="0" w:line="241" w:lineRule="auto"/>
        <w:tabs>
          <w:tab w:leader="none" w:pos="89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19" w:lineRule="exact"/>
        <w:rPr>
          <w:rFonts w:ascii="Arial" w:cs="Arial" w:eastAsia="Arial" w:hAnsi="Arial"/>
          <w:sz w:val="16"/>
          <w:szCs w:val="16"/>
          <w:color w:val="auto"/>
        </w:rPr>
      </w:pPr>
    </w:p>
    <w:p>
      <w:pPr>
        <w:ind w:right="200" w:firstLine="647"/>
        <w:spacing w:after="0" w:line="228"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TAX WITHHOLDING</w:t>
      </w:r>
    </w:p>
    <w:p>
      <w:pPr>
        <w:spacing w:after="0" w:line="144" w:lineRule="exact"/>
        <w:rPr>
          <w:sz w:val="20"/>
          <w:szCs w:val="20"/>
          <w:color w:val="auto"/>
        </w:rPr>
      </w:pPr>
    </w:p>
    <w:p>
      <w:pPr>
        <w:jc w:val="both"/>
        <w:ind w:firstLine="647"/>
        <w:spacing w:after="0" w:line="259" w:lineRule="auto"/>
        <w:tabs>
          <w:tab w:leader="none" w:pos="89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Payment by Grantee</w:t>
      </w:r>
      <w:r>
        <w:rPr>
          <w:rFonts w:ascii="Arial" w:cs="Arial" w:eastAsia="Arial" w:hAnsi="Arial"/>
          <w:sz w:val="16"/>
          <w:szCs w:val="16"/>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316865</wp:posOffset>
            </wp:positionV>
            <wp:extent cx="588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638" w:right="1359" w:bottom="1440" w:gutter="0" w:footer="0" w:header="0"/>
        </w:sectPr>
      </w:pPr>
    </w:p>
    <w:bookmarkStart w:id="16" w:name="page17"/>
    <w:bookmarkEnd w:id="16"/>
    <w:p>
      <w:pPr>
        <w:ind w:right="140"/>
        <w:spacing w:after="0" w:line="232" w:lineRule="auto"/>
        <w:rPr>
          <w:sz w:val="20"/>
          <w:szCs w:val="20"/>
          <w:color w:val="auto"/>
        </w:rPr>
      </w:pPr>
      <w:r>
        <w:rPr>
          <w:rFonts w:ascii="Arial" w:cs="Arial" w:eastAsia="Arial" w:hAnsi="Arial"/>
          <w:sz w:val="17"/>
          <w:szCs w:val="17"/>
          <w:color w:val="auto"/>
        </w:rPr>
        <w:t>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22" w:lineRule="exact"/>
        <w:rPr>
          <w:sz w:val="20"/>
          <w:szCs w:val="20"/>
          <w:color w:val="auto"/>
        </w:rPr>
      </w:pPr>
    </w:p>
    <w:p>
      <w:pPr>
        <w:ind w:firstLine="647"/>
        <w:spacing w:after="0" w:line="219" w:lineRule="auto"/>
        <w:tabs>
          <w:tab w:leader="none" w:pos="90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SECTION 409A AWARDS</w:t>
      </w:r>
    </w:p>
    <w:p>
      <w:pPr>
        <w:spacing w:after="0" w:line="14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TRANSFER, LEAVE OF ABSENCE, ETC.</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144" w:lineRule="exact"/>
        <w:rPr>
          <w:sz w:val="20"/>
          <w:szCs w:val="20"/>
          <w:color w:val="auto"/>
        </w:rPr>
      </w:pPr>
    </w:p>
    <w:p>
      <w:pPr>
        <w:ind w:right="80" w:firstLine="647"/>
        <w:spacing w:after="0" w:line="235" w:lineRule="auto"/>
        <w:tabs>
          <w:tab w:leader="none" w:pos="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or</w:t>
      </w:r>
    </w:p>
    <w:p>
      <w:pPr>
        <w:spacing w:after="0" w:line="121" w:lineRule="exact"/>
        <w:rPr>
          <w:rFonts w:ascii="Arial" w:cs="Arial" w:eastAsia="Arial" w:hAnsi="Arial"/>
          <w:sz w:val="18"/>
          <w:szCs w:val="18"/>
          <w:color w:val="auto"/>
        </w:rPr>
      </w:pPr>
    </w:p>
    <w:p>
      <w:pPr>
        <w:ind w:firstLine="647"/>
        <w:spacing w:after="0" w:line="224"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AMENDMENTS AND TERMINATION</w:t>
      </w:r>
    </w:p>
    <w:p>
      <w:pPr>
        <w:spacing w:after="0" w:line="144"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Nothing in this Section 18 shall limit the Administrator’s authority to take any action permitted pursuant to Section 3(c) or 3(d).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STATUS OF PLAN</w:t>
      </w:r>
    </w:p>
    <w:p>
      <w:pPr>
        <w:spacing w:after="0" w:line="144" w:lineRule="exact"/>
        <w:rPr>
          <w:sz w:val="20"/>
          <w:szCs w:val="20"/>
          <w:color w:val="auto"/>
        </w:rPr>
      </w:pPr>
    </w:p>
    <w:p>
      <w:pPr>
        <w:ind w:right="220" w:firstLine="648"/>
        <w:spacing w:after="0" w:line="226" w:lineRule="auto"/>
        <w:rPr>
          <w:sz w:val="20"/>
          <w:szCs w:val="20"/>
          <w:color w:val="auto"/>
        </w:rPr>
      </w:pPr>
      <w:r>
        <w:rPr>
          <w:rFonts w:ascii="Arial" w:cs="Arial" w:eastAsia="Arial" w:hAnsi="Arial"/>
          <w:sz w:val="17"/>
          <w:szCs w:val="17"/>
          <w:color w:val="auto"/>
        </w:rPr>
        <w:t>With respect to the portion of any Award that has not been settled or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GENERAL PROVISIONS</w:t>
      </w:r>
    </w:p>
    <w:p>
      <w:pPr>
        <w:spacing w:after="0" w:line="144" w:lineRule="exact"/>
        <w:rPr>
          <w:sz w:val="20"/>
          <w:szCs w:val="20"/>
          <w:color w:val="auto"/>
        </w:rPr>
      </w:pPr>
    </w:p>
    <w:p>
      <w:pPr>
        <w:ind w:right="140" w:firstLine="647"/>
        <w:spacing w:after="0" w:line="289" w:lineRule="auto"/>
        <w:tabs>
          <w:tab w:leader="none" w:pos="89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 Distribution</w:t>
      </w:r>
      <w:r>
        <w:rPr>
          <w:rFonts w:ascii="Arial" w:cs="Arial" w:eastAsia="Arial" w:hAnsi="Arial"/>
          <w:sz w:val="16"/>
          <w:szCs w:val="16"/>
          <w:color w:val="auto"/>
        </w:rPr>
        <w:t>. The Administrator may require each person acquiring Stock pursuant to an Award to represent to and agree with the Company in writing that such person is acquiring the shares without a view to distribution thereof.</w:t>
      </w:r>
    </w:p>
    <w:p>
      <w:pPr>
        <w:spacing w:after="0" w:line="83" w:lineRule="exact"/>
        <w:rPr>
          <w:rFonts w:ascii="Arial" w:cs="Arial" w:eastAsia="Arial" w:hAnsi="Arial"/>
          <w:sz w:val="16"/>
          <w:szCs w:val="16"/>
          <w:color w:val="auto"/>
        </w:rPr>
      </w:pPr>
    </w:p>
    <w:p>
      <w:pPr>
        <w:ind w:left="900" w:hanging="25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Delivery of Stock Certificates</w:t>
      </w:r>
      <w:r>
        <w:rPr>
          <w:rFonts w:ascii="Arial" w:cs="Arial" w:eastAsia="Arial" w:hAnsi="Arial"/>
          <w:sz w:val="17"/>
          <w:szCs w:val="17"/>
          <w:color w:val="auto"/>
        </w:rPr>
        <w:t>. Stock certificates to grantees under this Plan shall be deemed delivered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347980</wp:posOffset>
            </wp:positionV>
            <wp:extent cx="588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63" w:right="1339" w:bottom="1440" w:gutter="0" w:footer="0" w:header="0"/>
        </w:sectPr>
      </w:pPr>
    </w:p>
    <w:bookmarkStart w:id="17" w:name="page18"/>
    <w:bookmarkEnd w:id="17"/>
    <w:p>
      <w:pPr>
        <w:spacing w:after="0" w:line="232" w:lineRule="auto"/>
        <w:rPr>
          <w:sz w:val="20"/>
          <w:szCs w:val="20"/>
          <w:color w:val="auto"/>
        </w:rPr>
      </w:pPr>
      <w:r>
        <w:rPr>
          <w:rFonts w:ascii="Arial" w:cs="Arial" w:eastAsia="Arial" w:hAnsi="Arial"/>
          <w:sz w:val="16"/>
          <w:szCs w:val="16"/>
          <w:color w:val="auto"/>
        </w:rPr>
        <w:t>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3" w:lineRule="exact"/>
        <w:rPr>
          <w:sz w:val="20"/>
          <w:szCs w:val="20"/>
          <w:color w:val="auto"/>
        </w:rPr>
      </w:pPr>
    </w:p>
    <w:p>
      <w:pPr>
        <w:ind w:right="180" w:firstLine="647"/>
        <w:spacing w:after="0" w:line="259" w:lineRule="auto"/>
        <w:tabs>
          <w:tab w:leader="none" w:pos="89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06" w:lineRule="exact"/>
        <w:rPr>
          <w:rFonts w:ascii="Arial" w:cs="Arial" w:eastAsia="Arial" w:hAnsi="Arial"/>
          <w:sz w:val="16"/>
          <w:szCs w:val="16"/>
          <w:color w:val="auto"/>
        </w:rPr>
      </w:pPr>
    </w:p>
    <w:p>
      <w:pPr>
        <w:ind w:right="140" w:firstLine="647"/>
        <w:spacing w:after="0" w:line="232" w:lineRule="auto"/>
        <w:tabs>
          <w:tab w:leader="none" w:pos="90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Other Compensation Arrangements; No Employment Rights</w:t>
      </w:r>
      <w:r>
        <w:rPr>
          <w:rFonts w:ascii="Arial" w:cs="Arial" w:eastAsia="Arial" w:hAnsi="Arial"/>
          <w:sz w:val="17"/>
          <w:szCs w:val="17"/>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1" w:lineRule="exact"/>
        <w:rPr>
          <w:rFonts w:ascii="Arial" w:cs="Arial" w:eastAsia="Arial" w:hAnsi="Arial"/>
          <w:sz w:val="17"/>
          <w:szCs w:val="17"/>
          <w:color w:val="auto"/>
        </w:rPr>
      </w:pPr>
    </w:p>
    <w:p>
      <w:pPr>
        <w:ind w:right="220" w:firstLine="647"/>
        <w:spacing w:after="0" w:line="235"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21" w:lineRule="exact"/>
        <w:rPr>
          <w:rFonts w:ascii="Arial" w:cs="Arial" w:eastAsia="Arial" w:hAnsi="Arial"/>
          <w:sz w:val="18"/>
          <w:szCs w:val="18"/>
          <w:color w:val="auto"/>
        </w:rPr>
      </w:pPr>
    </w:p>
    <w:p>
      <w:pPr>
        <w:ind w:left="880" w:hanging="233"/>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Awards under the Plan shall be subject to the Company’s clawback policy, as in effect from time</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DATE OF PLAN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Plan shall become effective immediately upon approval by the 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GOVERNING LAW</w:t>
      </w:r>
    </w:p>
    <w:p>
      <w:pPr>
        <w:spacing w:after="0" w:line="144"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588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63" w:right="1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NON-QUALIFIED STOCK OPTION AGREEMENT</w:t>
      </w:r>
    </w:p>
    <w:p>
      <w:pPr>
        <w:jc w:val="center"/>
        <w:ind w:right="-19"/>
        <w:spacing w:after="0" w:line="203" w:lineRule="auto"/>
        <w:rPr>
          <w:sz w:val="20"/>
          <w:szCs w:val="20"/>
          <w:color w:val="auto"/>
        </w:rPr>
      </w:pPr>
      <w:r>
        <w:rPr>
          <w:rFonts w:ascii="Arial" w:cs="Arial" w:eastAsia="Arial" w:hAnsi="Arial"/>
          <w:sz w:val="18"/>
          <w:szCs w:val="18"/>
          <w:b w:val="1"/>
          <w:bCs w:val="1"/>
          <w:color w:val="auto"/>
        </w:rPr>
        <w:t>UNDER BLUEPRINT MEDICINES CORPORATION</w:t>
      </w:r>
    </w:p>
    <w:p>
      <w:pPr>
        <w:jc w:val="center"/>
        <w:ind w:right="-19"/>
        <w:spacing w:after="0"/>
        <w:rPr>
          <w:sz w:val="20"/>
          <w:szCs w:val="20"/>
          <w:color w:val="auto"/>
        </w:rPr>
      </w:pPr>
      <w:r>
        <w:rPr>
          <w:rFonts w:ascii="Arial" w:cs="Arial" w:eastAsia="Arial" w:hAnsi="Arial"/>
          <w:sz w:val="18"/>
          <w:szCs w:val="18"/>
          <w:b w:val="1"/>
          <w:bCs w:val="1"/>
          <w:color w:val="auto"/>
        </w:rPr>
        <w:t>2020 INDUCEMENT PLAN</w:t>
      </w:r>
    </w:p>
    <w:p>
      <w:pPr>
        <w:sectPr>
          <w:pgSz w:w="11900" w:h="16838" w:orient="portrait"/>
          <w:cols w:equalWidth="0" w:num="1">
            <w:col w:w="9240"/>
          </w:cols>
          <w:pgMar w:left="1320" w:top="447" w:right="1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220"/>
        <w:spacing w:after="0"/>
        <w:rPr>
          <w:sz w:val="20"/>
          <w:szCs w:val="20"/>
          <w:color w:val="auto"/>
        </w:rPr>
      </w:pPr>
      <w:r>
        <w:rPr>
          <w:rFonts w:ascii="Arial" w:cs="Arial" w:eastAsia="Arial" w:hAnsi="Arial"/>
          <w:sz w:val="17"/>
          <w:szCs w:val="17"/>
          <w:color w:val="auto"/>
        </w:rPr>
        <w:t>%%FIRST_NAME%-% %%LAST_NAME%-%</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No. of Option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%%TOTAL_SHARES_GRANTED%-%</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Option 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%%OPTION_PRICE%-%</w:t>
      </w:r>
    </w:p>
    <w:p>
      <w:pPr>
        <w:spacing w:after="0" w:line="167"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%%VEST_BASE_DATE%-%</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%%OPTION_DATE%-%</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%%EXPIRE_DATE_PERIOD1%-%</w:t>
      </w:r>
    </w:p>
    <w:p>
      <w:pPr>
        <w:spacing w:after="0" w:line="200"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line="13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Pursuant to the Blueprint Medicines Corporation 2020 Inducement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For the avoidance of doubt, this Stock Option is not issued under the Company’s 2015 Stock Option and Incentive Plan, as amended from time to time, and does not reduce the share reserve under such equity plan. This Stock Option has been granted as an inducement pursuant to Rule 5635(c)(4) of the Marketplace Rules of The Nasdaq Stock Market LLC. This Stock Option is not intended to be an “incentive stock option” under Section 422 of the Internal Revenue Code of 1986, as amended.</w:t>
      </w:r>
    </w:p>
    <w:p>
      <w:pPr>
        <w:spacing w:after="0" w:line="128" w:lineRule="exact"/>
        <w:rPr>
          <w:sz w:val="20"/>
          <w:szCs w:val="20"/>
          <w:color w:val="auto"/>
        </w:rPr>
      </w:pPr>
    </w:p>
    <w:p>
      <w:pPr>
        <w:ind w:right="100" w:firstLine="647"/>
        <w:spacing w:after="0" w:line="237" w:lineRule="auto"/>
        <w:tabs>
          <w:tab w:leader="none" w:pos="87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2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For so long as Optionee remains an employee of the Company or a Subsidiary on the relevant date, [ ] ([ ]%) of the Option Shares shall vest on the one-year anniversary of the Vesting Start Date, and the remaining [ ] ([ ]%) of the Option Shares shall vest in [ ] ([ ]) equal monthly installments following the one-year anniversary of the Vesting</w:t>
      </w:r>
    </w:p>
    <w:p>
      <w:pPr>
        <w:ind w:right="60"/>
        <w:spacing w:after="0" w:line="218" w:lineRule="auto"/>
        <w:rPr>
          <w:sz w:val="20"/>
          <w:szCs w:val="20"/>
          <w:color w:val="auto"/>
        </w:rPr>
      </w:pPr>
      <w:r>
        <w:rPr>
          <w:rFonts w:ascii="Arial" w:cs="Arial" w:eastAsia="Arial" w:hAnsi="Arial"/>
          <w:sz w:val="18"/>
          <w:szCs w:val="18"/>
          <w:color w:val="auto"/>
        </w:rPr>
        <w:t>Start Date; provided that one hundred percent (100%) of the Option Shares shall become fully vested immediately upon the Optionee’s death or disability, subject to the Optionee’s continued employment with the Company or a Subsidiary until the date of such death or disability.</w:t>
      </w:r>
    </w:p>
    <w:p>
      <w:pPr>
        <w:spacing w:after="0" w:line="162" w:lineRule="exact"/>
        <w:rPr>
          <w:sz w:val="20"/>
          <w:szCs w:val="20"/>
          <w:color w:val="auto"/>
        </w:rPr>
      </w:pPr>
    </w:p>
    <w:p>
      <w:pPr>
        <w:ind w:right="80" w:firstLine="693"/>
        <w:spacing w:after="0" w:line="212"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1" w:lineRule="exact"/>
        <w:rPr>
          <w:sz w:val="20"/>
          <w:szCs w:val="20"/>
          <w:color w:val="auto"/>
        </w:rPr>
      </w:pPr>
    </w:p>
    <w:p>
      <w:pPr>
        <w:ind w:left="920" w:hanging="22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jc w:val="both"/>
        <w:ind w:right="20" w:firstLine="1295"/>
        <w:spacing w:after="0" w:line="219" w:lineRule="auto"/>
        <w:tabs>
          <w:tab w:leader="none" w:pos="15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2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588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47" w:right="1339" w:bottom="1440" w:gutter="0" w:footer="0" w:header="0"/>
          <w:type w:val="continuous"/>
        </w:sectPr>
      </w:pPr>
    </w:p>
    <w:bookmarkStart w:id="19" w:name="page20"/>
    <w:bookmarkEnd w:id="19"/>
    <w:p>
      <w:pPr>
        <w:ind w:left="1"/>
        <w:spacing w:after="0"/>
        <w:rPr>
          <w:sz w:val="20"/>
          <w:szCs w:val="20"/>
          <w:color w:val="auto"/>
        </w:rPr>
      </w:pPr>
      <w:r>
        <w:rPr>
          <w:rFonts w:ascii="Arial" w:cs="Arial" w:eastAsia="Arial" w:hAnsi="Arial"/>
          <w:sz w:val="18"/>
          <w:szCs w:val="18"/>
          <w:color w:val="auto"/>
        </w:rPr>
        <w:t>of (i), (ii), (iii) and (iv) above. Payment instruments will be received subject to collection.</w:t>
      </w:r>
    </w:p>
    <w:p>
      <w:pPr>
        <w:spacing w:after="0" w:line="144" w:lineRule="exact"/>
        <w:rPr>
          <w:sz w:val="20"/>
          <w:szCs w:val="20"/>
          <w:color w:val="auto"/>
        </w:rPr>
      </w:pPr>
    </w:p>
    <w:p>
      <w:pPr>
        <w:ind w:left="1" w:firstLine="648"/>
        <w:spacing w:after="0" w:line="239" w:lineRule="auto"/>
        <w:rPr>
          <w:sz w:val="20"/>
          <w:szCs w:val="20"/>
          <w:color w:val="auto"/>
        </w:rPr>
      </w:pPr>
      <w:r>
        <w:rPr>
          <w:rFonts w:ascii="Arial" w:cs="Arial" w:eastAsia="Arial" w:hAnsi="Arial"/>
          <w:sz w:val="16"/>
          <w:szCs w:val="16"/>
          <w:color w:val="auto"/>
        </w:rPr>
        <w:t>The transfer to the Optionee on the records of the Company or of the transfer agent of the Option Shares will be contingent upon (i) the Company’s receipt from the Optionee of the full purchase price for the Option Shares, as set forth above,</w:t>
      </w:r>
    </w:p>
    <w:p>
      <w:pPr>
        <w:ind w:left="261" w:hanging="261"/>
        <w:spacing w:after="0" w:line="229" w:lineRule="auto"/>
        <w:tabs>
          <w:tab w:leader="none" w:pos="26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fulfillment of any other requirements contained herein or in the Plan or in any other agreement or provision of laws, and</w:t>
      </w:r>
    </w:p>
    <w:p>
      <w:pPr>
        <w:ind w:left="1" w:hanging="1"/>
        <w:spacing w:after="0" w:line="239" w:lineRule="auto"/>
        <w:tabs>
          <w:tab w:leader="none" w:pos="3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20" w:lineRule="exact"/>
        <w:rPr>
          <w:rFonts w:ascii="Arial" w:cs="Arial" w:eastAsia="Arial" w:hAnsi="Arial"/>
          <w:sz w:val="16"/>
          <w:szCs w:val="16"/>
          <w:color w:val="auto"/>
        </w:rPr>
      </w:pPr>
    </w:p>
    <w:p>
      <w:pPr>
        <w:ind w:left="1" w:right="40" w:firstLine="1295"/>
        <w:spacing w:after="0" w:line="222" w:lineRule="auto"/>
        <w:tabs>
          <w:tab w:leader="none" w:pos="1549"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27" w:lineRule="exact"/>
        <w:rPr>
          <w:rFonts w:ascii="Arial" w:cs="Arial" w:eastAsia="Arial" w:hAnsi="Arial"/>
          <w:sz w:val="17"/>
          <w:szCs w:val="17"/>
          <w:color w:val="auto"/>
        </w:rPr>
      </w:pPr>
    </w:p>
    <w:p>
      <w:pPr>
        <w:ind w:left="1541" w:hanging="245"/>
        <w:spacing w:after="0"/>
        <w:tabs>
          <w:tab w:leader="none" w:pos="1541" w:val="left"/>
        </w:tabs>
        <w:numPr>
          <w:ilvl w:val="2"/>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44" w:lineRule="exact"/>
        <w:rPr>
          <w:rFonts w:ascii="Arial" w:cs="Arial" w:eastAsia="Arial" w:hAnsi="Arial"/>
          <w:sz w:val="18"/>
          <w:szCs w:val="18"/>
          <w:color w:val="auto"/>
        </w:rPr>
      </w:pPr>
    </w:p>
    <w:p>
      <w:pPr>
        <w:ind w:left="1" w:right="580" w:firstLine="1295"/>
        <w:spacing w:after="0" w:line="235" w:lineRule="auto"/>
        <w:tabs>
          <w:tab w:leader="none" w:pos="1552" w:val="left"/>
        </w:tabs>
        <w:numPr>
          <w:ilvl w:val="2"/>
          <w:numId w:val="32"/>
        </w:numPr>
        <w:rPr>
          <w:rFonts w:ascii="Arial" w:cs="Arial" w:eastAsia="Arial" w:hAnsi="Arial"/>
          <w:sz w:val="18"/>
          <w:szCs w:val="18"/>
          <w:color w:val="auto"/>
        </w:rPr>
      </w:pPr>
      <w:r>
        <w:rPr>
          <w:rFonts w:ascii="Arial" w:cs="Arial" w:eastAsia="Arial" w:hAnsi="Arial"/>
          <w:sz w:val="18"/>
          <w:szCs w:val="18"/>
          <w:color w:val="auto"/>
        </w:rPr>
        <w:t>Notwithstanding any other provision hereof or of the Plan, no portion of this Stock Option shall be exercisable after the Expiration Date hereof.</w:t>
      </w:r>
    </w:p>
    <w:p>
      <w:pPr>
        <w:spacing w:after="0" w:line="121" w:lineRule="exact"/>
        <w:rPr>
          <w:rFonts w:ascii="Arial" w:cs="Arial" w:eastAsia="Arial" w:hAnsi="Arial"/>
          <w:sz w:val="18"/>
          <w:szCs w:val="18"/>
          <w:color w:val="auto"/>
        </w:rPr>
      </w:pPr>
    </w:p>
    <w:p>
      <w:pPr>
        <w:ind w:left="1" w:right="40" w:firstLine="647"/>
        <w:spacing w:after="0" w:line="289" w:lineRule="auto"/>
        <w:tabs>
          <w:tab w:leader="none" w:pos="829"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If the Optionee’s employment by the Company or a Subsidiary (as defined in the Plan) is terminated, the period within which to exercise the Stock Option may be subject to earlier termination as set forth below.</w:t>
      </w:r>
    </w:p>
    <w:p>
      <w:pPr>
        <w:spacing w:after="0" w:line="83" w:lineRule="exact"/>
        <w:rPr>
          <w:rFonts w:ascii="Arial" w:cs="Arial" w:eastAsia="Arial" w:hAnsi="Arial"/>
          <w:sz w:val="16"/>
          <w:szCs w:val="16"/>
          <w:color w:val="auto"/>
        </w:rPr>
      </w:pPr>
    </w:p>
    <w:p>
      <w:pPr>
        <w:ind w:left="1" w:right="280" w:firstLine="1295"/>
        <w:spacing w:after="0" w:line="216" w:lineRule="auto"/>
        <w:tabs>
          <w:tab w:leader="none" w:pos="1541"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21" w:lineRule="exact"/>
        <w:rPr>
          <w:rFonts w:ascii="Arial" w:cs="Arial" w:eastAsia="Arial" w:hAnsi="Arial"/>
          <w:sz w:val="18"/>
          <w:szCs w:val="18"/>
          <w:color w:val="auto"/>
        </w:rPr>
      </w:pPr>
    </w:p>
    <w:p>
      <w:pPr>
        <w:ind w:left="1" w:right="180" w:firstLine="1295"/>
        <w:spacing w:after="0" w:line="228" w:lineRule="auto"/>
        <w:tabs>
          <w:tab w:leader="none" w:pos="1552"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24" w:lineRule="exact"/>
        <w:rPr>
          <w:rFonts w:ascii="Arial" w:cs="Arial" w:eastAsia="Arial" w:hAnsi="Arial"/>
          <w:sz w:val="17"/>
          <w:szCs w:val="17"/>
          <w:color w:val="auto"/>
        </w:rPr>
      </w:pPr>
    </w:p>
    <w:p>
      <w:pPr>
        <w:ind w:left="1" w:firstLine="1295"/>
        <w:spacing w:after="0" w:line="221" w:lineRule="auto"/>
        <w:tabs>
          <w:tab w:leader="none" w:pos="1541"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21" w:lineRule="exact"/>
        <w:rPr>
          <w:rFonts w:ascii="Arial" w:cs="Arial" w:eastAsia="Arial" w:hAnsi="Arial"/>
          <w:sz w:val="17"/>
          <w:szCs w:val="17"/>
          <w:color w:val="auto"/>
        </w:rPr>
      </w:pPr>
    </w:p>
    <w:p>
      <w:pPr>
        <w:ind w:left="1" w:right="360" w:firstLine="1295"/>
        <w:spacing w:after="0" w:line="249" w:lineRule="auto"/>
        <w:tabs>
          <w:tab w:leader="none" w:pos="1552"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588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463" w:right="1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exercisable on the date of termination shall terminate immediately and be of no further force or effect.</w:t>
      </w:r>
    </w:p>
    <w:p>
      <w:pPr>
        <w:spacing w:after="0" w:line="14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Administrator’s determination of the reason for termination of the Optionee’s employment shall be conclusive and binding on the Optionee and his or her representatives or legatees.</w:t>
      </w:r>
    </w:p>
    <w:p>
      <w:pPr>
        <w:spacing w:after="0" w:line="121" w:lineRule="exact"/>
        <w:rPr>
          <w:sz w:val="20"/>
          <w:szCs w:val="20"/>
          <w:color w:val="auto"/>
        </w:rPr>
      </w:pPr>
    </w:p>
    <w:p>
      <w:pPr>
        <w:ind w:right="140" w:firstLine="647"/>
        <w:spacing w:after="0" w:line="219"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22" w:lineRule="exact"/>
        <w:rPr>
          <w:rFonts w:ascii="Arial" w:cs="Arial" w:eastAsia="Arial" w:hAnsi="Arial"/>
          <w:sz w:val="18"/>
          <w:szCs w:val="18"/>
          <w:color w:val="auto"/>
        </w:rPr>
      </w:pPr>
    </w:p>
    <w:p>
      <w:pPr>
        <w:ind w:right="20" w:firstLine="647"/>
        <w:spacing w:after="0" w:line="259" w:lineRule="auto"/>
        <w:tabs>
          <w:tab w:leader="none" w:pos="82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06" w:lineRule="exact"/>
        <w:rPr>
          <w:rFonts w:ascii="Arial" w:cs="Arial" w:eastAsia="Arial" w:hAnsi="Arial"/>
          <w:sz w:val="16"/>
          <w:szCs w:val="16"/>
          <w:color w:val="auto"/>
        </w:rPr>
      </w:pPr>
    </w:p>
    <w:p>
      <w:pPr>
        <w:ind w:firstLine="647"/>
        <w:spacing w:after="0" w:line="214"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21" w:lineRule="exact"/>
        <w:rPr>
          <w:rFonts w:ascii="Arial" w:cs="Arial" w:eastAsia="Arial" w:hAnsi="Arial"/>
          <w:sz w:val="18"/>
          <w:szCs w:val="18"/>
          <w:color w:val="auto"/>
        </w:rPr>
      </w:pPr>
    </w:p>
    <w:p>
      <w:pPr>
        <w:jc w:val="both"/>
        <w:ind w:right="200" w:firstLine="647"/>
        <w:spacing w:after="0" w:line="259" w:lineRule="auto"/>
        <w:tabs>
          <w:tab w:leader="none" w:pos="82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Employment</w:t>
      </w:r>
      <w:r>
        <w:rPr>
          <w:rFonts w:ascii="Arial" w:cs="Arial" w:eastAsia="Arial" w:hAnsi="Arial"/>
          <w:sz w:val="16"/>
          <w:szCs w:val="16"/>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06" w:lineRule="exact"/>
        <w:rPr>
          <w:rFonts w:ascii="Arial" w:cs="Arial" w:eastAsia="Arial" w:hAnsi="Arial"/>
          <w:sz w:val="16"/>
          <w:szCs w:val="16"/>
          <w:color w:val="auto"/>
        </w:rPr>
      </w:pPr>
    </w:p>
    <w:p>
      <w:pPr>
        <w:ind w:right="180" w:firstLine="647"/>
        <w:spacing w:after="0" w:line="258" w:lineRule="auto"/>
        <w:tabs>
          <w:tab w:leader="none" w:pos="82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Stock Option and supersedes all prior agreements and discussions between the parties concerning such subject matter.</w:t>
      </w:r>
    </w:p>
    <w:p>
      <w:pPr>
        <w:spacing w:after="0" w:line="106" w:lineRule="exact"/>
        <w:rPr>
          <w:rFonts w:ascii="Arial" w:cs="Arial" w:eastAsia="Arial" w:hAnsi="Arial"/>
          <w:sz w:val="17"/>
          <w:szCs w:val="17"/>
          <w:color w:val="auto"/>
        </w:rPr>
      </w:pPr>
    </w:p>
    <w:p>
      <w:pPr>
        <w:ind w:right="100" w:firstLine="647"/>
        <w:spacing w:after="0" w:line="236" w:lineRule="auto"/>
        <w:tabs>
          <w:tab w:leader="none" w:pos="82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588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463" w:right="1359" w:bottom="1440" w:gutter="0" w:footer="0" w:header="0"/>
        </w:sectPr>
      </w:pPr>
    </w:p>
    <w:bookmarkStart w:id="21" w:name="page22"/>
    <w:bookmarkEnd w:id="21"/>
    <w:p>
      <w:pPr>
        <w:ind w:firstLine="647"/>
        <w:spacing w:after="0" w:line="224" w:lineRule="auto"/>
        <w:tabs>
          <w:tab w:leader="none" w:pos="91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3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BLUEPRINT MEDICINES CORPORATION</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w:t>
      </w:r>
    </w:p>
    <w:p>
      <w:pPr>
        <w:ind w:left="4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-123190</wp:posOffset>
            </wp:positionV>
            <wp:extent cx="2554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9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6350</wp:posOffset>
            </wp:positionV>
            <wp:extent cx="2905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Optionee’s Signature</w:t>
      </w:r>
    </w:p>
    <w:p>
      <w:pPr>
        <w:spacing w:after="0" w:line="34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Optionee’s name and address:</w:t>
      </w:r>
    </w:p>
    <w:p>
      <w:pPr>
        <w:ind w:left="4680"/>
        <w:spacing w:after="0" w:line="234" w:lineRule="auto"/>
        <w:tabs>
          <w:tab w:leader="none" w:pos="5320" w:val="left"/>
          <w:tab w:leader="none" w:pos="6080" w:val="left"/>
        </w:tabs>
        <w:rPr>
          <w:sz w:val="20"/>
          <w:szCs w:val="20"/>
          <w:color w:val="auto"/>
        </w:rPr>
      </w:pPr>
      <w:r>
        <w:rPr>
          <w:rFonts w:ascii="Arial" w:cs="Arial" w:eastAsia="Arial" w:hAnsi="Arial"/>
          <w:sz w:val="18"/>
          <w:szCs w:val="18"/>
          <w:color w:val="auto"/>
        </w:rPr>
        <w:t>FIRST</w:t>
        <w:tab/>
        <w:t>NAME</w:t>
        <w:tab/>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tabs>
          <w:tab w:leader="none" w:pos="5660" w:val="left"/>
        </w:tabs>
        <w:rPr>
          <w:sz w:val="20"/>
          <w:szCs w:val="20"/>
          <w:color w:val="auto"/>
        </w:rPr>
      </w:pPr>
      <w:r>
        <w:rPr>
          <w:rFonts w:ascii="Arial" w:cs="Arial" w:eastAsia="Arial" w:hAnsi="Arial"/>
          <w:sz w:val="18"/>
          <w:szCs w:val="18"/>
          <w:color w:val="auto"/>
        </w:rPr>
        <w:t>ADDRESS</w:t>
        <w:tab/>
        <w:t>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rPr>
          <w:sz w:val="20"/>
          <w:szCs w:val="20"/>
          <w:color w:val="auto"/>
        </w:rPr>
      </w:pPr>
      <w:r>
        <w:rPr>
          <w:rFonts w:ascii="Arial" w:cs="Arial" w:eastAsia="Arial" w:hAnsi="Arial"/>
          <w:sz w:val="18"/>
          <w:szCs w:val="18"/>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tabs>
          <w:tab w:leader="none" w:pos="53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-635</wp:posOffset>
            </wp:positionV>
            <wp:extent cx="2905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-3175</wp:posOffset>
            </wp:positionV>
            <wp:extent cx="2905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681990</wp:posOffset>
            </wp:positionV>
            <wp:extent cx="5880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40"/>
          </w:cols>
          <w:pgMar w:left="1320" w:top="814" w:right="14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jc w:val="center"/>
        <w:ind w:right="-19"/>
        <w:spacing w:after="0" w:line="203" w:lineRule="auto"/>
        <w:rPr>
          <w:sz w:val="20"/>
          <w:szCs w:val="20"/>
          <w:color w:val="auto"/>
        </w:rPr>
      </w:pPr>
      <w:r>
        <w:rPr>
          <w:rFonts w:ascii="Arial" w:cs="Arial" w:eastAsia="Arial" w:hAnsi="Arial"/>
          <w:sz w:val="18"/>
          <w:szCs w:val="18"/>
          <w:b w:val="1"/>
          <w:bCs w:val="1"/>
          <w:color w:val="auto"/>
        </w:rPr>
        <w:t>UNDER BLUEPRINT MEDICINES CORPORATION</w:t>
      </w:r>
    </w:p>
    <w:p>
      <w:pPr>
        <w:jc w:val="center"/>
        <w:ind w:right="-19"/>
        <w:spacing w:after="0"/>
        <w:rPr>
          <w:sz w:val="20"/>
          <w:szCs w:val="20"/>
          <w:color w:val="auto"/>
        </w:rPr>
      </w:pPr>
      <w:r>
        <w:rPr>
          <w:rFonts w:ascii="Arial" w:cs="Arial" w:eastAsia="Arial" w:hAnsi="Arial"/>
          <w:sz w:val="18"/>
          <w:szCs w:val="18"/>
          <w:b w:val="1"/>
          <w:bCs w:val="1"/>
          <w:color w:val="auto"/>
        </w:rPr>
        <w:t>2020 INDUCEMENT PLAN</w:t>
      </w:r>
    </w:p>
    <w:p>
      <w:pPr>
        <w:sectPr>
          <w:pgSz w:w="11900" w:h="16838" w:orient="portrait"/>
          <w:cols w:equalWidth="0" w:num="1">
            <w:col w:w="9240"/>
          </w:cols>
          <w:pgMar w:left="1320" w:top="447" w:right="1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220"/>
        <w:spacing w:after="0"/>
        <w:rPr>
          <w:sz w:val="20"/>
          <w:szCs w:val="20"/>
          <w:color w:val="auto"/>
        </w:rPr>
      </w:pPr>
      <w:r>
        <w:rPr>
          <w:rFonts w:ascii="Arial" w:cs="Arial" w:eastAsia="Arial" w:hAnsi="Arial"/>
          <w:sz w:val="17"/>
          <w:szCs w:val="17"/>
          <w:color w:val="auto"/>
        </w:rPr>
        <w:t>%%FIRST_NAME%-% %%LAST_NAME%-%</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No.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%%TOTAL_SHARES_GRANTED%-%</w:t>
      </w:r>
    </w:p>
    <w:p>
      <w:pPr>
        <w:spacing w:after="0" w:line="156"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%%GRANT_DATE%-%</w:t>
      </w:r>
    </w:p>
    <w:p>
      <w:pPr>
        <w:spacing w:after="0" w:line="200" w:lineRule="exact"/>
        <w:rPr>
          <w:sz w:val="20"/>
          <w:szCs w:val="20"/>
          <w:color w:val="auto"/>
        </w:rPr>
      </w:pPr>
    </w:p>
    <w:p>
      <w:pPr>
        <w:sectPr>
          <w:pgSz w:w="11900" w:h="16838" w:orient="portrait"/>
          <w:cols w:equalWidth="0" w:num="2">
            <w:col w:w="2760" w:space="720"/>
            <w:col w:w="5760"/>
          </w:cols>
          <w:pgMar w:left="1320" w:top="447" w:right="1339" w:bottom="1440" w:gutter="0" w:footer="0" w:header="0"/>
          <w:type w:val="continuous"/>
        </w:sectPr>
      </w:pPr>
    </w:p>
    <w:p>
      <w:pPr>
        <w:spacing w:after="0" w:line="131"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Pursuant to the Blueprint Medicines Corporation 2020 Inducement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 For the avoidance of doubt, this Award is not issued under the Company’s 2015 Stock Option and Incentive Plan, as amended from time to time, and does not reduce the share reserve under such equity plan. This Award has been granted as an inducement pursuant to Rule 5635(c)(4) of the Marketplace Rules of The Nasdaq Stock Market LLC.</w:t>
      </w:r>
    </w:p>
    <w:p>
      <w:pPr>
        <w:spacing w:after="0" w:line="124" w:lineRule="exact"/>
        <w:rPr>
          <w:sz w:val="20"/>
          <w:szCs w:val="20"/>
          <w:color w:val="auto"/>
        </w:rPr>
      </w:pPr>
    </w:p>
    <w:p>
      <w:pPr>
        <w:ind w:firstLine="647"/>
        <w:spacing w:after="0" w:line="216" w:lineRule="auto"/>
        <w:tabs>
          <w:tab w:leader="none" w:pos="123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21" w:lineRule="exact"/>
        <w:rPr>
          <w:rFonts w:ascii="Arial" w:cs="Arial" w:eastAsia="Arial" w:hAnsi="Arial"/>
          <w:sz w:val="18"/>
          <w:szCs w:val="18"/>
          <w:color w:val="auto"/>
        </w:rPr>
      </w:pPr>
    </w:p>
    <w:p>
      <w:pPr>
        <w:ind w:firstLine="647"/>
        <w:spacing w:after="0" w:line="212" w:lineRule="auto"/>
        <w:tabs>
          <w:tab w:leader="none" w:pos="123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an employee of the Company or a Subsidiary on such Dates; provided that the vesting of the Award shall accelerate and the Award shall become fully vested immediately upon the Grantee’s death or disability, subject to the Grantee’s continued employment with the Company or a Subsidiary until the date of such death or disability, as applicable.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9240"/>
          </w:cols>
          <w:pgMar w:left="1320" w:top="447" w:right="1339" w:bottom="1440" w:gutter="0" w:footer="0" w:header="0"/>
          <w:type w:val="continuous"/>
        </w:sectPr>
      </w:pP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Incremental Number of</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10795</wp:posOffset>
            </wp:positionV>
            <wp:extent cx="3214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136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6040" w:space="720"/>
            <w:col w:w="2480"/>
          </w:cols>
          <w:pgMar w:left="1320" w:top="447" w:right="1339" w:bottom="1440" w:gutter="0" w:footer="0" w:header="0"/>
          <w:type w:val="continuous"/>
        </w:sectPr>
      </w:pPr>
    </w:p>
    <w:p>
      <w:pPr>
        <w:ind w:left="3540" w:hanging="376"/>
        <w:spacing w:after="0"/>
        <w:tabs>
          <w:tab w:leader="none" w:pos="3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-111760</wp:posOffset>
            </wp:positionV>
            <wp:extent cx="469773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4697730" cy="120015"/>
                    </a:xfrm>
                    <a:prstGeom prst="rect">
                      <a:avLst/>
                    </a:prstGeom>
                    <a:noFill/>
                  </pic:spPr>
                </pic:pic>
              </a:graphicData>
            </a:graphic>
          </wp:anchor>
        </w:drawing>
      </w:r>
    </w:p>
    <w:p>
      <w:pPr>
        <w:ind w:left="3540" w:hanging="376"/>
        <w:spacing w:after="0" w:line="219" w:lineRule="auto"/>
        <w:tabs>
          <w:tab w:leader="none" w:pos="3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p>
    <w:p>
      <w:pPr>
        <w:ind w:left="3540" w:hanging="376"/>
        <w:spacing w:after="0" w:line="219" w:lineRule="auto"/>
        <w:tabs>
          <w:tab w:leader="none" w:pos="3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-111760</wp:posOffset>
            </wp:positionV>
            <wp:extent cx="469773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4697730" cy="120015"/>
                    </a:xfrm>
                    <a:prstGeom prst="rect">
                      <a:avLst/>
                    </a:prstGeom>
                    <a:noFill/>
                  </pic:spPr>
                </pic:pic>
              </a:graphicData>
            </a:graphic>
          </wp:anchor>
        </w:drawing>
      </w:r>
    </w:p>
    <w:p>
      <w:pPr>
        <w:ind w:left="3540" w:hanging="376"/>
        <w:spacing w:after="0" w:line="219" w:lineRule="auto"/>
        <w:tabs>
          <w:tab w:leader="none" w:pos="3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ind w:left="3540" w:hanging="376"/>
        <w:spacing w:after="0"/>
        <w:tabs>
          <w:tab w:leader="none" w:pos="3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-123190</wp:posOffset>
            </wp:positionV>
            <wp:extent cx="469773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4697730" cy="120015"/>
                    </a:xfrm>
                    <a:prstGeom prst="rect">
                      <a:avLst/>
                    </a:prstGeom>
                    <a:noFill/>
                  </pic:spPr>
                </pic:pic>
              </a:graphicData>
            </a:graphic>
          </wp:anchor>
        </w:drawing>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44" w:lineRule="exact"/>
        <w:rPr>
          <w:sz w:val="20"/>
          <w:szCs w:val="20"/>
          <w:color w:val="auto"/>
        </w:rPr>
      </w:pPr>
    </w:p>
    <w:p>
      <w:pPr>
        <w:ind w:right="60" w:firstLine="647"/>
        <w:spacing w:after="0" w:line="216" w:lineRule="auto"/>
        <w:tabs>
          <w:tab w:leader="none" w:pos="123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employment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21" w:lineRule="exact"/>
        <w:rPr>
          <w:rFonts w:ascii="Arial" w:cs="Arial" w:eastAsia="Arial" w:hAnsi="Arial"/>
          <w:sz w:val="18"/>
          <w:szCs w:val="18"/>
          <w:color w:val="auto"/>
        </w:rPr>
      </w:pPr>
    </w:p>
    <w:p>
      <w:pPr>
        <w:ind w:right="20" w:firstLine="647"/>
        <w:spacing w:after="0" w:line="216" w:lineRule="auto"/>
        <w:tabs>
          <w:tab w:leader="none" w:pos="123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21" w:lineRule="exact"/>
        <w:rPr>
          <w:rFonts w:ascii="Arial" w:cs="Arial" w:eastAsia="Arial" w:hAnsi="Arial"/>
          <w:sz w:val="18"/>
          <w:szCs w:val="18"/>
          <w:color w:val="auto"/>
        </w:rPr>
      </w:pPr>
    </w:p>
    <w:p>
      <w:pPr>
        <w:ind w:right="100" w:firstLine="647"/>
        <w:spacing w:after="0" w:line="289" w:lineRule="auto"/>
        <w:tabs>
          <w:tab w:leader="none" w:pos="123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Notwithstanding anything herein to the contrary, this Agreement shall be subject to and governed by all the terms and conditions of the Plan, including the powers of the Administrator set forth in Section 2(b)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588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47" w:right="1339" w:bottom="1440" w:gutter="0" w:footer="0" w:header="0"/>
          <w:type w:val="continuous"/>
        </w:sectPr>
      </w:pPr>
    </w:p>
    <w:bookmarkStart w:id="23" w:name="page24"/>
    <w:bookmarkEnd w:id="23"/>
    <w:p>
      <w:pPr>
        <w:ind w:right="180"/>
        <w:spacing w:after="0" w:line="235" w:lineRule="auto"/>
        <w:rPr>
          <w:sz w:val="20"/>
          <w:szCs w:val="20"/>
          <w:color w:val="auto"/>
        </w:rPr>
      </w:pPr>
      <w:r>
        <w:rPr>
          <w:rFonts w:ascii="Arial" w:cs="Arial" w:eastAsia="Arial" w:hAnsi="Arial"/>
          <w:sz w:val="18"/>
          <w:szCs w:val="18"/>
          <w:color w:val="auto"/>
        </w:rPr>
        <w:t>Plan. Capitalized terms in this Agreement shall have the meaning specified in the Plan, unless a different meaning is specified herein.</w:t>
      </w:r>
    </w:p>
    <w:p>
      <w:pPr>
        <w:spacing w:after="0" w:line="121" w:lineRule="exact"/>
        <w:rPr>
          <w:sz w:val="20"/>
          <w:szCs w:val="20"/>
          <w:color w:val="auto"/>
        </w:rPr>
      </w:pPr>
    </w:p>
    <w:p>
      <w:pPr>
        <w:ind w:right="20" w:firstLine="647"/>
        <w:spacing w:after="0" w:line="222" w:lineRule="auto"/>
        <w:tabs>
          <w:tab w:leader="none" w:pos="123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Accordingly, in the event the Company is required to withhold taxes from the Grantee for taxable compensation relating to the issuance of shares of Stock in connection with this Award, the Company shall cause its transfer agent and any manager of the Company’s stock plan benefits to sell from the number of shares of Stock to be issued to the Grantee, the minimum number of shares of Stock necessary to satisfy the Federal, state and local taxes required by law to be withheld from the Grantee on account of such transfer along with any applicable third-party commission. The Company shall use the proceeds from such sale to satisfy the Grantee’s tax withholding obligation hereunder.</w:t>
      </w:r>
    </w:p>
    <w:p>
      <w:pPr>
        <w:spacing w:after="0" w:line="127" w:lineRule="exact"/>
        <w:rPr>
          <w:rFonts w:ascii="Arial" w:cs="Arial" w:eastAsia="Arial" w:hAnsi="Arial"/>
          <w:sz w:val="17"/>
          <w:szCs w:val="17"/>
          <w:color w:val="auto"/>
        </w:rPr>
      </w:pPr>
    </w:p>
    <w:p>
      <w:pPr>
        <w:ind w:right="80" w:firstLine="647"/>
        <w:spacing w:after="0" w:line="224" w:lineRule="auto"/>
        <w:tabs>
          <w:tab w:leader="none" w:pos="123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22" w:lineRule="exact"/>
        <w:rPr>
          <w:rFonts w:ascii="Arial" w:cs="Arial" w:eastAsia="Arial" w:hAnsi="Arial"/>
          <w:sz w:val="18"/>
          <w:szCs w:val="18"/>
          <w:color w:val="auto"/>
        </w:rPr>
      </w:pPr>
    </w:p>
    <w:p>
      <w:pPr>
        <w:ind w:firstLine="647"/>
        <w:spacing w:after="0" w:line="259" w:lineRule="auto"/>
        <w:tabs>
          <w:tab w:leader="none" w:pos="123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Employment</w:t>
      </w:r>
      <w:r>
        <w:rPr>
          <w:rFonts w:ascii="Arial" w:cs="Arial" w:eastAsia="Arial" w:hAnsi="Arial"/>
          <w:sz w:val="16"/>
          <w:szCs w:val="16"/>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06" w:lineRule="exact"/>
        <w:rPr>
          <w:rFonts w:ascii="Arial" w:cs="Arial" w:eastAsia="Arial" w:hAnsi="Arial"/>
          <w:sz w:val="16"/>
          <w:szCs w:val="16"/>
          <w:color w:val="auto"/>
        </w:rPr>
      </w:pPr>
    </w:p>
    <w:p>
      <w:pPr>
        <w:ind w:right="280" w:firstLine="647"/>
        <w:spacing w:after="0" w:line="258" w:lineRule="auto"/>
        <w:tabs>
          <w:tab w:leader="none" w:pos="123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this Award and supersedes all prior agreements and discussions between the parties concerning such subject matter.</w:t>
      </w:r>
    </w:p>
    <w:p>
      <w:pPr>
        <w:spacing w:after="0" w:line="106" w:lineRule="exact"/>
        <w:rPr>
          <w:rFonts w:ascii="Arial" w:cs="Arial" w:eastAsia="Arial" w:hAnsi="Arial"/>
          <w:sz w:val="17"/>
          <w:szCs w:val="17"/>
          <w:color w:val="auto"/>
        </w:rPr>
      </w:pPr>
    </w:p>
    <w:p>
      <w:pPr>
        <w:ind w:right="60" w:firstLine="647"/>
        <w:spacing w:after="0" w:line="236" w:lineRule="auto"/>
        <w:tabs>
          <w:tab w:leader="none" w:pos="123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588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63" w:right="1339" w:bottom="1440" w:gutter="0" w:footer="0" w:header="0"/>
        </w:sectPr>
      </w:pPr>
    </w:p>
    <w:bookmarkStart w:id="24" w:name="page25"/>
    <w:bookmarkEnd w:id="24"/>
    <w:p>
      <w:pPr>
        <w:ind w:right="79" w:firstLine="647"/>
        <w:spacing w:after="0" w:line="224" w:lineRule="auto"/>
        <w:tabs>
          <w:tab w:leader="none" w:pos="122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3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BLUEPRINT MEDICINES CORPORATION</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w:t>
      </w:r>
    </w:p>
    <w:p>
      <w:pPr>
        <w:ind w:left="4720"/>
        <w:spacing w:after="0" w:line="219"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-111760</wp:posOffset>
            </wp:positionV>
            <wp:extent cx="2537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p>
      <w:pPr>
        <w:ind w:right="199"/>
        <w:spacing w:after="0" w:line="224"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6350</wp:posOffset>
            </wp:positionV>
            <wp:extent cx="2905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Grantee’s Signature</w:t>
      </w:r>
    </w:p>
    <w:p>
      <w:pPr>
        <w:spacing w:after="0" w:line="34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Grantee’s name and address:</w:t>
      </w:r>
    </w:p>
    <w:p>
      <w:pPr>
        <w:ind w:left="4680"/>
        <w:spacing w:after="0" w:line="234" w:lineRule="auto"/>
        <w:tabs>
          <w:tab w:leader="none" w:pos="5320" w:val="left"/>
          <w:tab w:leader="none" w:pos="6080" w:val="left"/>
        </w:tabs>
        <w:rPr>
          <w:sz w:val="20"/>
          <w:szCs w:val="20"/>
          <w:color w:val="auto"/>
        </w:rPr>
      </w:pPr>
      <w:r>
        <w:rPr>
          <w:rFonts w:ascii="Arial" w:cs="Arial" w:eastAsia="Arial" w:hAnsi="Arial"/>
          <w:sz w:val="18"/>
          <w:szCs w:val="18"/>
          <w:color w:val="auto"/>
        </w:rPr>
        <w:t>FIRST</w:t>
        <w:tab/>
        <w:t>NAME</w:t>
        <w:tab/>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tabs>
          <w:tab w:leader="none" w:pos="5660" w:val="left"/>
        </w:tabs>
        <w:rPr>
          <w:sz w:val="20"/>
          <w:szCs w:val="20"/>
          <w:color w:val="auto"/>
        </w:rPr>
      </w:pPr>
      <w:r>
        <w:rPr>
          <w:rFonts w:ascii="Arial" w:cs="Arial" w:eastAsia="Arial" w:hAnsi="Arial"/>
          <w:sz w:val="18"/>
          <w:szCs w:val="18"/>
          <w:color w:val="auto"/>
        </w:rPr>
        <w:t>ADDRESS</w:t>
        <w:tab/>
        <w:t>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rPr>
          <w:sz w:val="20"/>
          <w:szCs w:val="20"/>
          <w:color w:val="auto"/>
        </w:rPr>
      </w:pPr>
      <w:r>
        <w:rPr>
          <w:rFonts w:ascii="Arial" w:cs="Arial" w:eastAsia="Arial" w:hAnsi="Arial"/>
          <w:sz w:val="18"/>
          <w:szCs w:val="18"/>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tabs>
          <w:tab w:leader="none" w:pos="53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0</wp:posOffset>
            </wp:positionV>
            <wp:extent cx="29057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line="23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-635</wp:posOffset>
            </wp:positionV>
            <wp:extent cx="2905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-3175</wp:posOffset>
            </wp:positionV>
            <wp:extent cx="2905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596265</wp:posOffset>
            </wp:positionV>
            <wp:extent cx="588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139"/>
      </w:cols>
      <w:pgMar w:left="132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lowerLetter"/>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lowerLetter"/>
      <w:start w:val="2"/>
    </w:lvl>
  </w:abstractNum>
  <w:abstractNum w:abstractNumId="8">
    <w:nsid w:val="B03E0C6"/>
    <w:multiLevelType w:val="hybridMultilevel"/>
    <w:lvl w:ilvl="0">
      <w:lvlJc w:val="left"/>
      <w:lvlText w:val="(%1)"/>
      <w:numFmt w:val="lowerLetter"/>
      <w:start w:val="8"/>
    </w:lvl>
  </w:abstractNum>
  <w:abstractNum w:abstractNumId="9">
    <w:nsid w:val="189A769B"/>
    <w:multiLevelType w:val="hybridMultilevel"/>
    <w:lvl w:ilvl="0">
      <w:lvlJc w:val="left"/>
      <w:lvlText w:val="(%1)"/>
      <w:numFmt w:val="lowerLetter"/>
      <w:start w:val="1"/>
    </w:lvl>
    <w:lvl w:ilvl="1">
      <w:lvlJc w:val="left"/>
      <w:lvlText w:val="(%2)"/>
      <w:numFmt w:val="lowerRoman"/>
      <w:start w:val="1"/>
    </w:lvl>
  </w:abstractNum>
  <w:abstractNum w:abstractNumId="10">
    <w:nsid w:val="54E49EB4"/>
    <w:multiLevelType w:val="hybridMultilevel"/>
    <w:lvl w:ilvl="0">
      <w:lvlJc w:val="left"/>
      <w:lvlText w:val="(%1)"/>
      <w:numFmt w:val="lowerRoman"/>
      <w:start w:val="5"/>
    </w:lvl>
  </w:abstractNum>
  <w:abstractNum w:abstractNumId="11">
    <w:nsid w:val="71F32454"/>
    <w:multiLevelType w:val="hybridMultilevel"/>
    <w:lvl w:ilvl="0">
      <w:lvlJc w:val="left"/>
      <w:lvlText w:val="%1"/>
      <w:numFmt w:val="lowerRoman"/>
      <w:start w:val="1"/>
    </w:lvl>
    <w:lvl w:ilvl="1">
      <w:lvlJc w:val="left"/>
      <w:lvlText w:val="(%2)"/>
      <w:numFmt w:val="lowerLetter"/>
      <w:start w:val="3"/>
    </w:lvl>
  </w:abstractNum>
  <w:abstractNum w:abstractNumId="12">
    <w:nsid w:val="2CA88611"/>
    <w:multiLevelType w:val="hybridMultilevel"/>
    <w:lvl w:ilvl="0">
      <w:lvlJc w:val="left"/>
      <w:lvlText w:val="(%1)"/>
      <w:numFmt w:val="lowerRoman"/>
      <w:start w:val="4"/>
    </w:lvl>
    <w:lvl w:ilvl="1">
      <w:lvlJc w:val="left"/>
      <w:lvlText w:val="%2"/>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3"/>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3"/>
    </w:lvl>
    <w:lvl w:ilvl="1">
      <w:lvlJc w:val="left"/>
      <w:lvlText w:val="(%2)"/>
      <w:numFmt w:val="lowerRoman"/>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2"/>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4"/>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2"/>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2"/>
    </w:lvl>
    <w:lvl w:ilvl="1">
      <w:lvlJc w:val="left"/>
      <w:lvlText w:val="(%2)"/>
      <w:numFmt w:val="lowerLetter"/>
      <w:start w:val="1"/>
    </w:lvl>
  </w:abstractNum>
  <w:abstractNum w:abstractNumId="31">
    <w:nsid w:val="7724C67E"/>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2"/>
    </w:lvl>
  </w:abstractNum>
  <w:abstractNum w:abstractNumId="32">
    <w:nsid w:val="5C482A9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3">
    <w:nsid w:val="2463B9EA"/>
    <w:multiLevelType w:val="hybridMultilevel"/>
    <w:lvl w:ilvl="0">
      <w:lvlJc w:val="left"/>
      <w:lvlText w:val="%1."/>
      <w:numFmt w:val="decimal"/>
      <w:start w:val="4"/>
    </w:lvl>
  </w:abstractNum>
  <w:abstractNum w:abstractNumId="34">
    <w:nsid w:val="5E884ADC"/>
    <w:multiLevelType w:val="hybridMultilevel"/>
    <w:lvl w:ilvl="0">
      <w:lvlJc w:val="left"/>
      <w:lvlText w:val="%1."/>
      <w:numFmt w:val="decimal"/>
      <w:start w:val="10"/>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3"/>
    </w:lvl>
  </w:abstractNum>
  <w:abstractNum w:abstractNumId="41">
    <w:nsid w:val="6A2342EC"/>
    <w:multiLevelType w:val="hybridMultilevel"/>
    <w:lvl w:ilvl="0">
      <w:lvlJc w:val="left"/>
      <w:lvlText w:val="%1."/>
      <w:numFmt w:val="decimal"/>
      <w:start w:val="6"/>
    </w:lvl>
  </w:abstractNum>
  <w:abstractNum w:abstractNumId="42">
    <w:nsid w:val="2A487CB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15" Type="http://schemas.openxmlformats.org/officeDocument/2006/relationships/hyperlink" Target="http://www.sec.gov/Archives/edgar/data/1597264/000155837020000784/0001558370-20-000784-index.htm" TargetMode="External"/><Relationship Id="rId16" Type="http://schemas.openxmlformats.org/officeDocument/2006/relationships/hyperlink" Target="http://www.sec.gov/Archives/edgar/data/1597264/000155837020005307/0001558370-20-005307-index.htm" TargetMode="External"/><Relationship Id="rId17" Type="http://schemas.openxmlformats.org/officeDocument/2006/relationships/hyperlink" Target="http://www.sec.gov/Archives/edgar/data/1597264/000155837020004625/tmb-20200623xdef14a.htm" TargetMode="External"/><Relationship Id="rId18" Type="http://schemas.openxmlformats.org/officeDocument/2006/relationships/hyperlink" Target="http://www.sec.gov/Archives/edgar/data/1597264/000155837020000074/0001558370-20-000074-index.htm" TargetMode="External"/><Relationship Id="rId19" Type="http://schemas.openxmlformats.org/officeDocument/2006/relationships/hyperlink" Target="http://www.sec.gov/Archives/edgar/data/1597264/000155837020000102/0001558370-20-000102-index.htm" TargetMode="External"/><Relationship Id="rId20" Type="http://schemas.openxmlformats.org/officeDocument/2006/relationships/hyperlink" Target="http://www.sec.gov/Archives/edgar/data/1597264/000155837020000136/0001558370-20-000136-index.htm" TargetMode="External"/><Relationship Id="rId21" Type="http://schemas.openxmlformats.org/officeDocument/2006/relationships/hyperlink" Target="http://www.sec.gov/Archives/edgar/data/1597264/000155837020002717/0001558370-20-002717-index.htm" TargetMode="External"/><Relationship Id="rId22" Type="http://schemas.openxmlformats.org/officeDocument/2006/relationships/hyperlink" Target="http://www.sec.gov/Archives/edgar/data/1597264/000155837020003494/0001558370-20-003494-index.htm" TargetMode="External"/><Relationship Id="rId23" Type="http://schemas.openxmlformats.org/officeDocument/2006/relationships/hyperlink" Target="http://www.sec.gov/Archives/edgar/data/1597264/000155837020004422/0001558370-20-004422-index.htm" TargetMode="External"/><Relationship Id="rId24" Type="http://schemas.openxmlformats.org/officeDocument/2006/relationships/hyperlink" Target="http://www.sec.gov/Archives/edgar/data/1597264/000155837020004434/0001558370-20-004434-index.htm" TargetMode="External"/><Relationship Id="rId25" Type="http://schemas.openxmlformats.org/officeDocument/2006/relationships/hyperlink" Target="http://www.sec.gov/Archives/edgar/data/1597264/000110465915030565/0001104659-15-030565-index.htm" TargetMode="External"/><Relationship Id="rId28" Type="http://schemas.openxmlformats.org/officeDocument/2006/relationships/hyperlink" Target="http://www.sec.gov/Archives/edgar/data/1597264/000155837015002529/bpmc-20150930ex3100367a3.htm" TargetMode="External"/><Relationship Id="rId29" Type="http://schemas.openxmlformats.org/officeDocument/2006/relationships/hyperlink" Target="http://www.sec.gov/Archives/edgar/data/1597264/000155837020005307/bpmc-20200331xex3d1.htm" TargetMode="External"/><Relationship Id="rId30" Type="http://schemas.openxmlformats.org/officeDocument/2006/relationships/hyperlink" Target="http://www.sec.gov/Archives/edgar/data/1597264/000104746915003668/a2224211zex-4_1.htm" TargetMode="External"/><Relationship Id="rId31" Type="http://schemas.openxmlformats.org/officeDocument/2006/relationships/hyperlink" Target="http://www.sec.gov/Archives/edgar/data/1597264/000104746915002608/a2223883zex-4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2020-05-06T15:32:15Z</dcterms:created>
  <dcterms:modified xsi:type="dcterms:W3CDTF">2020-05-06T15:32:15Z</dcterms:modified>
</cp:coreProperties>
</file>