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jc w:val="center"/>
        <w:spacing w:after="0" w:line="412"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jc w:val="center"/>
        <w:ind w:left="940" w:right="440"/>
        <w:spacing w:after="0" w:line="31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001-37359</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2"/>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88"/>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88"/>
              </w:rPr>
              <w:t>45 Sidney Street</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Arial" w:cs="Arial" w:eastAsia="Arial" w:hAnsi="Arial"/>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jc w:val="right"/>
              <w:ind w:right="728"/>
              <w:spacing w:after="0"/>
              <w:rPr>
                <w:sz w:val="20"/>
                <w:szCs w:val="20"/>
                <w:color w:val="auto"/>
              </w:rPr>
            </w:pPr>
            <w:r>
              <w:rPr>
                <w:rFonts w:ascii="Arial" w:cs="Arial" w:eastAsia="Arial" w:hAnsi="Arial"/>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28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firstLine="415"/>
        <w:spacing w:after="0" w:line="31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20" w:type="dxa"/>
        <w:tblCellMar>
          <w:top w:w="0" w:type="dxa"/>
          <w:left w:w="0" w:type="dxa"/>
          <w:bottom w:w="0" w:type="dxa"/>
          <w:right w:w="0" w:type="dxa"/>
        </w:tblCellMar>
      </w:tblPr>
      <w:tr>
        <w:trPr>
          <w:trHeight w:val="189"/>
        </w:trPr>
        <w:tc>
          <w:tcPr>
            <w:tcW w:w="1880" w:type="dxa"/>
            <w:vAlign w:val="bottom"/>
          </w:tcPr>
          <w:p>
            <w:pPr>
              <w:jc w:val="center"/>
              <w:ind w:left="468"/>
              <w:spacing w:after="0"/>
              <w:rPr>
                <w:sz w:val="20"/>
                <w:szCs w:val="20"/>
                <w:color w:val="auto"/>
              </w:rPr>
            </w:pPr>
            <w:r>
              <w:rPr>
                <w:rFonts w:ascii="Arial" w:cs="Arial" w:eastAsia="Arial" w:hAnsi="Arial"/>
                <w:sz w:val="14"/>
                <w:szCs w:val="14"/>
                <w:color w:val="auto"/>
                <w:w w:val="93"/>
              </w:rPr>
              <w:t>Large accelerated filer</w:t>
            </w:r>
          </w:p>
        </w:tc>
        <w:tc>
          <w:tcPr>
            <w:tcW w:w="2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jc w:val="center"/>
              <w:ind w:left="1308"/>
              <w:spacing w:after="0" w:line="161" w:lineRule="exact"/>
              <w:rPr>
                <w:sz w:val="20"/>
                <w:szCs w:val="20"/>
                <w:color w:val="auto"/>
              </w:rPr>
            </w:pPr>
            <w:r>
              <w:rPr>
                <w:rFonts w:ascii="Arial" w:cs="Arial" w:eastAsia="Arial" w:hAnsi="Arial"/>
                <w:sz w:val="14"/>
                <w:szCs w:val="14"/>
                <w:color w:val="auto"/>
                <w:w w:val="98"/>
              </w:rPr>
              <w:t xml:space="preserve">Accelerated filer </w:t>
            </w:r>
            <w:r>
              <w:rPr>
                <w:rFonts w:ascii="MS PGothic" w:cs="MS PGothic" w:eastAsia="MS PGothic" w:hAnsi="MS PGothic"/>
                <w:sz w:val="14"/>
                <w:szCs w:val="14"/>
                <w:color w:val="auto"/>
                <w:w w:val="98"/>
              </w:rPr>
              <w:t>☐</w:t>
            </w:r>
          </w:p>
        </w:tc>
      </w:tr>
      <w:tr>
        <w:trPr>
          <w:trHeight w:val="176"/>
        </w:trPr>
        <w:tc>
          <w:tcPr>
            <w:tcW w:w="1880" w:type="dxa"/>
            <w:vAlign w:val="bottom"/>
          </w:tcPr>
          <w:p>
            <w:pPr>
              <w:jc w:val="center"/>
              <w:ind w:left="508"/>
              <w:spacing w:after="0"/>
              <w:rPr>
                <w:sz w:val="20"/>
                <w:szCs w:val="20"/>
                <w:color w:val="auto"/>
              </w:rPr>
            </w:pPr>
            <w:r>
              <w:rPr>
                <w:rFonts w:ascii="Arial" w:cs="Arial" w:eastAsia="Arial" w:hAnsi="Arial"/>
                <w:sz w:val="14"/>
                <w:szCs w:val="14"/>
                <w:color w:val="auto"/>
                <w:w w:val="94"/>
              </w:rPr>
              <w:t>Non-accelerated filer</w:t>
            </w:r>
          </w:p>
        </w:tc>
        <w:tc>
          <w:tcPr>
            <w:tcW w:w="2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jc w:val="center"/>
              <w:ind w:left="128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r>
      <w:tr>
        <w:trPr>
          <w:trHeight w:val="239"/>
        </w:trPr>
        <w:tc>
          <w:tcPr>
            <w:tcW w:w="4040" w:type="dxa"/>
            <w:vAlign w:val="bottom"/>
            <w:gridSpan w:val="2"/>
          </w:tcPr>
          <w:p>
            <w:pPr>
              <w:spacing w:after="0"/>
              <w:rPr>
                <w:sz w:val="20"/>
                <w:szCs w:val="20"/>
                <w:color w:val="auto"/>
              </w:rPr>
            </w:pPr>
            <w:r>
              <w:rPr>
                <w:rFonts w:ascii="Arial" w:cs="Arial" w:eastAsia="Arial" w:hAnsi="Arial"/>
                <w:sz w:val="14"/>
                <w:szCs w:val="14"/>
                <w:color w:val="auto"/>
              </w:rPr>
              <w:t>(Do not check if a smaller reporting company)</w:t>
            </w:r>
          </w:p>
        </w:tc>
        <w:tc>
          <w:tcPr>
            <w:tcW w:w="3140" w:type="dxa"/>
            <w:vAlign w:val="bottom"/>
          </w:tcPr>
          <w:p>
            <w:pPr>
              <w:jc w:val="center"/>
              <w:ind w:left="128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w w:val="96"/>
              </w:rPr>
              <w:t>☐</w:t>
            </w:r>
          </w:p>
        </w:tc>
      </w:tr>
    </w:tbl>
    <w:p>
      <w:pPr>
        <w:spacing w:after="0" w:line="261" w:lineRule="exact"/>
        <w:rPr>
          <w:sz w:val="24"/>
          <w:szCs w:val="24"/>
          <w:color w:val="auto"/>
        </w:rPr>
      </w:pPr>
    </w:p>
    <w:p>
      <w:pPr>
        <w:ind w:right="180" w:firstLine="415"/>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4" w:lineRule="exact"/>
        <w:rPr>
          <w:sz w:val="24"/>
          <w:szCs w:val="24"/>
          <w:color w:val="auto"/>
        </w:rPr>
      </w:pPr>
    </w:p>
    <w:p>
      <w:pPr>
        <w:ind w:left="420" w:right="188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the registrant’s common stock, $0.001 par value, outstanding on April 30, 2018: 43,837,337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814070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gridSpan w:val="11"/>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80" w:type="dxa"/>
            <w:vAlign w:val="bottom"/>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0"/>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2018 and December 31, 2017</w:t>
              </w:r>
            </w:hyperlink>
          </w:p>
        </w:tc>
        <w:tc>
          <w:tcPr>
            <w:tcW w:w="1500" w:type="dxa"/>
            <w:vAlign w:val="bottom"/>
            <w:gridSpan w:val="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Operations and Comprehensive Loss for the three months ended</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2018 and 2017</w:t>
              </w:r>
            </w:hyperlink>
          </w:p>
        </w:tc>
        <w:tc>
          <w:tcPr>
            <w:tcW w:w="5640" w:type="dxa"/>
            <w:vAlign w:val="bottom"/>
            <w:tcBorders>
              <w:top w:val="single" w:sz="8" w:color="0000EE"/>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8"/>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three months ended March 31, 2018 and 2017</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7"/>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3.</w:t>
              </w:r>
            </w:hyperlink>
          </w:p>
        </w:tc>
        <w:tc>
          <w:tcPr>
            <w:tcW w:w="438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7860" w:type="dxa"/>
            <w:vAlign w:val="bottom"/>
            <w:gridSpan w:val="19"/>
          </w:tcPr>
          <w:p>
            <w:pPr>
              <w:ind w:lef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1.</w:t>
              </w:r>
            </w:hyperlink>
          </w:p>
        </w:tc>
        <w:tc>
          <w:tcPr>
            <w:tcW w:w="7860" w:type="dxa"/>
            <w:vAlign w:val="bottom"/>
            <w:gridSpan w:val="19"/>
          </w:tcPr>
          <w:p>
            <w:pPr>
              <w:ind w:left="20"/>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6520" w:type="dxa"/>
            <w:vAlign w:val="bottom"/>
            <w:gridSpan w:val="1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Exhibits</w:t>
              </w:r>
            </w:hyperlink>
          </w:p>
        </w:tc>
        <w:tc>
          <w:tcPr>
            <w:tcW w:w="420" w:type="dxa"/>
            <w:vAlign w:val="bottom"/>
            <w:tcBorders>
              <w:top w:val="single" w:sz="8" w:color="0000EE"/>
            </w:tcBorders>
          </w:tcPr>
          <w:p>
            <w:pPr>
              <w:spacing w:after="0"/>
              <w:rPr>
                <w:sz w:val="17"/>
                <w:szCs w:val="17"/>
                <w:color w:val="auto"/>
              </w:rPr>
            </w:pPr>
          </w:p>
        </w:tc>
        <w:tc>
          <w:tcPr>
            <w:tcW w:w="6820" w:type="dxa"/>
            <w:vAlign w:val="bottom"/>
            <w:gridSpan w:val="15"/>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5">
              <w:r>
                <w:rPr>
                  <w:rFonts w:ascii="Arial" w:cs="Arial" w:eastAsia="Arial" w:hAnsi="Arial"/>
                  <w:sz w:val="18"/>
                  <w:szCs w:val="18"/>
                  <w:color w:val="0000EE"/>
                  <w:w w:val="85"/>
                </w:rPr>
                <w:t>Signatures</w:t>
              </w:r>
            </w:hyperlink>
          </w:p>
        </w:tc>
        <w:tc>
          <w:tcPr>
            <w:tcW w:w="7640" w:type="dxa"/>
            <w:vAlign w:val="bottom"/>
            <w:gridSpan w:val="1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80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1"/>
          </w:tcPr>
          <w:p>
            <w:pPr>
              <w:jc w:val="center"/>
              <w:ind w:left="357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419" w:hanging="325"/>
        <w:spacing w:after="0" w:line="22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Phase 1 clinical trials and any planned clinical trials for avapritinib, BLU-554, BLU-667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59" w:hanging="325"/>
        <w:spacing w:after="0" w:line="235"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ind w:left="1300" w:right="79" w:hanging="325"/>
        <w:spacing w:after="0" w:line="258"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benefits of our existing cancer immunotherapy collaboration with F. Hoffmann-La Roche Ltd and Hoffmann-La Roche Inc., as well as our ability to enter into other strategic arrangements;</w:t>
      </w:r>
    </w:p>
    <w:p>
      <w:pPr>
        <w:spacing w:after="0" w:line="79" w:lineRule="exact"/>
        <w:rPr>
          <w:rFonts w:ascii="Arial" w:cs="Arial" w:eastAsia="Arial" w:hAnsi="Arial"/>
          <w:sz w:val="17"/>
          <w:szCs w:val="17"/>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134,886</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400,304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472,439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273,052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8,373</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12,149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615,698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685,505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Investments, available-for-sale</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13,798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29,074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24,363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4,557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1,341</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664,468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715,737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000" w:type="dxa"/>
            <w:vAlign w:val="bottom"/>
          </w:tcPr>
          <w:p>
            <w:pPr>
              <w:spacing w:after="0" w:line="122" w:lineRule="exact"/>
              <w:rPr>
                <w:sz w:val="20"/>
                <w:szCs w:val="20"/>
                <w:color w:val="auto"/>
              </w:rPr>
            </w:pPr>
            <w:r>
              <w:rPr>
                <w:rFonts w:ascii="Arial" w:cs="Arial" w:eastAsia="Arial" w:hAnsi="Arial"/>
                <w:sz w:val="14"/>
                <w:szCs w:val="14"/>
                <w:color w:val="auto"/>
              </w:rPr>
              <w:t>Liabilities and stockholders’ equity</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3,288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29,087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30,541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4,803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5,373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1,106</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1,518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39,998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42,890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4,389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34,931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14,189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14,617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long term liabilities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Commitments (Note 10)</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8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43,821,247 and 43,577,526 shares issued at</w:t>
            </w: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March 31, 2018 and December 31, 2017, respectively; 43,821,247 and 43,577,526 shares outstanding at</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March 31, 2018 and December 31, 2017, respectively</w:t>
            </w: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988,872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979,785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(591)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(417,452)</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(355,589)</w:t>
            </w:r>
          </w:p>
        </w:tc>
        <w:tc>
          <w:tcPr>
            <w:tcW w:w="0" w:type="dxa"/>
            <w:vAlign w:val="bottom"/>
          </w:tcPr>
          <w:p>
            <w:pPr>
              <w:spacing w:after="0"/>
              <w:rPr>
                <w:sz w:val="1"/>
                <w:szCs w:val="1"/>
                <w:color w:val="auto"/>
              </w:rPr>
            </w:pPr>
          </w:p>
        </w:tc>
      </w:tr>
      <w:tr>
        <w:trPr>
          <w:trHeight w:val="129"/>
        </w:trPr>
        <w:tc>
          <w:tcPr>
            <w:tcW w:w="7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570,873</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623,970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664,468</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954</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5,840</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49,954</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28,487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9,911</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5,683</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59,865</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34,170</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2,394</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2,362</w:t>
            </w:r>
          </w:p>
        </w:tc>
        <w:tc>
          <w:tcPr>
            <w:tcW w:w="3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(56,549)</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(27,977)</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Unrealized loss on investments</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(323)</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(56,872)</w:t>
            </w:r>
          </w:p>
        </w:tc>
        <w:tc>
          <w:tcPr>
            <w:tcW w:w="3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(28,091)</w:t>
            </w: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60" w:type="dxa"/>
            <w:vAlign w:val="bottom"/>
          </w:tcPr>
          <w:p>
            <w:pPr>
              <w:spacing w:after="0" w:line="163" w:lineRule="exact"/>
              <w:rPr>
                <w:sz w:val="20"/>
                <w:szCs w:val="20"/>
                <w:color w:val="auto"/>
              </w:rPr>
            </w:pPr>
            <w:r>
              <w:rPr>
                <w:rFonts w:ascii="Arial" w:cs="Arial" w:eastAsia="Arial" w:hAnsi="Arial"/>
                <w:sz w:val="18"/>
                <w:szCs w:val="18"/>
                <w:color w:val="auto"/>
              </w:rPr>
              <w:t>Net loss per share applicable to common stockholders — basic and diluted</w:t>
            </w:r>
          </w:p>
        </w:tc>
        <w:tc>
          <w:tcPr>
            <w:tcW w:w="360" w:type="dxa"/>
            <w:vAlign w:val="bottom"/>
            <w:gridSpan w:val="2"/>
          </w:tcPr>
          <w:p>
            <w:pPr>
              <w:jc w:val="right"/>
              <w:ind w:right="45"/>
              <w:spacing w:after="0" w:line="16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63" w:lineRule="exact"/>
              <w:rPr>
                <w:sz w:val="20"/>
                <w:szCs w:val="20"/>
                <w:color w:val="auto"/>
              </w:rPr>
            </w:pPr>
            <w:r>
              <w:rPr>
                <w:rFonts w:ascii="Arial" w:cs="Arial" w:eastAsia="Arial" w:hAnsi="Arial"/>
                <w:sz w:val="18"/>
                <w:szCs w:val="18"/>
                <w:color w:val="auto"/>
              </w:rPr>
              <w:t>(1.29)</w:t>
            </w:r>
          </w:p>
        </w:tc>
        <w:tc>
          <w:tcPr>
            <w:tcW w:w="520" w:type="dxa"/>
            <w:vAlign w:val="bottom"/>
            <w:gridSpan w:val="2"/>
          </w:tcPr>
          <w:p>
            <w:pPr>
              <w:jc w:val="right"/>
              <w:ind w:right="30"/>
              <w:spacing w:after="0" w:line="16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63" w:lineRule="exact"/>
              <w:rPr>
                <w:sz w:val="20"/>
                <w:szCs w:val="20"/>
                <w:color w:val="auto"/>
              </w:rPr>
            </w:pPr>
            <w:r>
              <w:rPr>
                <w:rFonts w:ascii="Arial" w:cs="Arial" w:eastAsia="Arial" w:hAnsi="Arial"/>
                <w:sz w:val="18"/>
                <w:szCs w:val="18"/>
                <w:color w:val="auto"/>
              </w:rPr>
              <w:t>(0.84)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 per share applicable</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33,190</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 common stockholders — basic and diluted</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jc w:val="right"/>
              <w:ind w:right="211"/>
              <w:spacing w:after="0" w:line="102" w:lineRule="exact"/>
              <w:rPr>
                <w:sz w:val="20"/>
                <w:szCs w:val="20"/>
                <w:color w:val="auto"/>
              </w:rPr>
            </w:pPr>
            <w:r>
              <w:rPr>
                <w:rFonts w:ascii="Arial" w:cs="Arial" w:eastAsia="Arial" w:hAnsi="Arial"/>
                <w:sz w:val="11"/>
                <w:szCs w:val="11"/>
                <w:b w:val="1"/>
                <w:bCs w:val="1"/>
                <w:color w:val="auto"/>
              </w:rPr>
              <w:t>2017</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69"/>
        </w:trPr>
        <w:tc>
          <w:tcPr>
            <w:tcW w:w="6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(56,549)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w w:val="92"/>
              </w:rPr>
              <w:t>(27,977)</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780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398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Noncash interest expense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5,549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2,240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Unbilled accounts receivable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3,473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(954)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rent</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69"/>
        </w:trPr>
        <w:tc>
          <w:tcPr>
            <w:tcW w:w="6000" w:type="dxa"/>
            <w:vAlign w:val="bottom"/>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7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(49,563)</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(31,080)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(6,312)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investments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(338,816)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2"/>
              </w:rPr>
              <w:t>(18,003)</w:t>
            </w: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Maturities of investments</w:t>
            </w: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126,000</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54,000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provided by investing activities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(219,128)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35,787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Payment of offering costs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common stock, net of repurchases</w:t>
            </w:r>
          </w:p>
        </w:tc>
        <w:tc>
          <w:tcPr>
            <w:tcW w:w="7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3,643</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 activities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3,062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(420)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(decrease) increase in cash, cash equivalents, and restricted cash</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(265,629)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cash equivalents, and restricted cash at beginning of period</w:t>
            </w: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405,072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53,336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cash equivalents, and restricted cash at end of period</w:t>
            </w:r>
          </w:p>
        </w:tc>
        <w:tc>
          <w:tcPr>
            <w:tcW w:w="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139,443</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57,623</w:t>
            </w: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0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Property and equipment purchases unpaid at period end</w:t>
            </w:r>
          </w:p>
        </w:tc>
        <w:tc>
          <w:tcPr>
            <w:tcW w:w="76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3,126</w:t>
            </w:r>
          </w:p>
        </w:tc>
        <w:tc>
          <w:tcPr>
            <w:tcW w:w="2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80</w:t>
            </w:r>
          </w:p>
        </w:tc>
        <w:tc>
          <w:tcPr>
            <w:tcW w:w="18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2"/>
        </w:trPr>
        <w:tc>
          <w:tcPr>
            <w:tcW w:w="53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134,886</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56,356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4,557</w:t>
            </w: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1,267</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3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cash, cash equivalents, and restricted cash shown in condensed</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139,443</w:t>
            </w: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57,623</w:t>
            </w: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statements of cash flows</w:t>
            </w: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5360" w:type="dxa"/>
            <w:vAlign w:val="bottom"/>
          </w:tcPr>
          <w:p>
            <w:pPr>
              <w:ind w:left="448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1" w:right="139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biopharmaceutical company focused on developing potentially transformational medicines to improve the lives of patients with genomically defined cancers and rare diseases. The Company’s approach is to leverage its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The Company is devoting substantially all of its efforts to research and development, conducting pre-clinical and clinical development, commencing pre-commercial activities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payable by the Company.</w:t>
      </w:r>
    </w:p>
    <w:p>
      <w:pPr>
        <w:spacing w:after="0" w:line="162" w:lineRule="exact"/>
        <w:rPr>
          <w:sz w:val="20"/>
          <w:szCs w:val="20"/>
          <w:color w:val="auto"/>
        </w:rPr>
      </w:pPr>
    </w:p>
    <w:p>
      <w:pPr>
        <w:ind w:right="320" w:firstLine="648"/>
        <w:spacing w:after="0" w:line="229" w:lineRule="auto"/>
        <w:rPr>
          <w:sz w:val="20"/>
          <w:szCs w:val="20"/>
          <w:color w:val="auto"/>
        </w:rPr>
      </w:pPr>
      <w:r>
        <w:rPr>
          <w:rFonts w:ascii="Arial" w:cs="Arial" w:eastAsia="Arial" w:hAnsi="Arial"/>
          <w:sz w:val="17"/>
          <w:szCs w:val="17"/>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payable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15, 2017, the Company closed its underwritten public offering of 4,259,259 shares of its common stock at a price to the public of $81.00 per share, including 555,555 shares of common stock sold by the Company pursuant to the exercise in full by the underwriters of their option to purchase additional shares in connection with the offering. The Company received net proceeds of approximately $325.7 million, after deducting underwriting discounts and commissions and offering expenses payable by the Company.</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6"/>
          <w:szCs w:val="16"/>
          <w:color w:val="auto"/>
        </w:rPr>
        <w:t>As of March 31, 2018, the Company had cash, cash equivalents and investments of $621.1 million. Based on the Company’s current plans, the Company believes its existing cash, cash equivalents and investments, excluding any potential option fees and milestone payments under its existing collaboration with F. Hoffmann-La Roche Ltd and Hoffmann-</w:t>
      </w:r>
    </w:p>
    <w:p>
      <w:pPr>
        <w:spacing w:after="0" w:line="2"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La Roche Inc. (collectively, Roche), will be sufficient to enable it to fund its operating expenses and capital expenditure requirements into the middle of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32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2017 and notes thereto included in the Company’s Annual Report on Form 10-K for the year ended December 31, 2017, filed with the SEC on February 21, 2018.</w:t>
      </w:r>
    </w:p>
    <w:p>
      <w:pPr>
        <w:spacing w:after="0" w:line="167"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 xml:space="preserve">The unaudited interim condensed consolidated financial statements have been prepared on the same basis as the audited financial statements, except as noted below with respect to the adoption of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include the accounts of the Company and its wholly-owned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March 31, 2018 and the results of its operations and cash flows for the three months ended March 31, 2018 and 2017. Such adjustments are of a normal and recurring nature. The results for the three months ended March 31, 2018 are not necessarily indicative of the results for the year ending December 31, 2018, or for any future period.</w:t>
      </w:r>
    </w:p>
    <w:p>
      <w:pPr>
        <w:spacing w:after="0" w:line="164"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Due to the underwritten public offerings completed on April 4, 2017, and December 15, 2017, there was a significant increase in shares outstanding in the year ended December 31, 2017, which impacts the period-over-period comparability of the Company’s net loss per share calculations.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revenue recognition; accrued expenses; and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 xml:space="preserve">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The Company only applied the modified retrospective transition method to contracts that were not completed as of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7"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exclusively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70"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If the license to the Company’s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1"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6"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based on a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complete discussion of accounting for collaboration revenues, see Note 6, “Collaborations.”</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There have been no other significant changes to the Company’s critical accounting policies discussed in its Annual Report on Form 10-K for the year ended December 31, 2017 related to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which amends the guidance for accounting for revenue from contracts with customers. ASU No. 2014-09 superseded the revenue recognition requirements in ASC 605 and created ASC 606 described above. In 2015 and 2016, the FASB issued additional ASUs related to ASC 606 that delayed the effective date of the guidance and clarified various aspects of the new revenue guidance, including principal versus agent considerations, identifying performance obligations, and licensing, and they include other improvements and practical expedients. Effective January 1, 2018, the Company adopted ASC 606 using the modified retrospective transition method.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As a result of adopting ASC 606, the Company has recorded a cumulative-effect increase to opening accumulated deficit of $5.3 million as of January 1, 2018 and a corresponding increase to deferred revenue. Total revenue recorded in the three months ended March 31, 2018 under ASC 606 was $0.9 million, as compared to $1.3 million that would have been recorded under ASC 605. Total deferred revenue as of March 31, 2018 was $39.7 million under ASC 606, as compared to $34.0 million that would have been recorded under ASC 605.</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most significant change to the Company’s accounting for revenue as a result of the adoption of ASC 606 relates to its revenue recognition pattern under step (v) above for the Company’s collaboration and license agreement with Roche (as amended, Roche Agreement). Under ASC 605, the Company was recognizing the revenue allocated to each unit of accounting on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expected to complete its obligations. Under ASC 606, the Company is recognizing the revenue allocated to each performance obligation measuring progress using an input method over the period the Company expects to complete each performance obligation. ASC 606 also requires disclosure of the nature, amount, timing, and uncertainty of revenue and cash flows arising from contracts with customers. For further discussion of the adoption of this standard, see Note 6, “Collaborations.”</w:t>
      </w:r>
    </w:p>
    <w:p>
      <w:pPr>
        <w:spacing w:after="0" w:line="168"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(ASU No. 2016-18). The amendments in ASU No. 2016-18 require an entity to reconcile and explain the period-over-period change in total cash, cash equivalents and restricted cash within its statements of cash flows. ASU No. 2016-18 was effective for the Company on January 1, 2018. The Company adopted ASU No. 2016-18 using a full retrospective approach and it did not have a significant impact on its consolidated financial statements and related disclosures.</w:t>
      </w:r>
    </w:p>
    <w:p>
      <w:pPr>
        <w:spacing w:after="0" w:line="162"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No. 2016-15)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certain elements of cash flow classification. The new guidance is intended to reduce diversity in practice in how certain transactions are classified in the statement of cash flows. ASU No. 2016-15 was effective for the Company on January 1, 2018, and it did not have a material impact on the Company’s consolidated financial statements.</w:t>
      </w:r>
    </w:p>
    <w:p>
      <w:pPr>
        <w:spacing w:after="0" w:line="155" w:lineRule="exact"/>
        <w:rPr>
          <w:sz w:val="20"/>
          <w:szCs w:val="20"/>
          <w:color w:val="auto"/>
        </w:rPr>
      </w:pPr>
    </w:p>
    <w:p>
      <w:pPr>
        <w:ind w:firstLine="648"/>
        <w:spacing w:after="0" w:line="209" w:lineRule="auto"/>
        <w:rPr>
          <w:sz w:val="20"/>
          <w:szCs w:val="20"/>
          <w:color w:val="auto"/>
        </w:rPr>
      </w:pPr>
      <w:r>
        <w:rPr>
          <w:rFonts w:ascii="Arial" w:cs="Arial" w:eastAsia="Arial" w:hAnsi="Arial"/>
          <w:sz w:val="18"/>
          <w:szCs w:val="18"/>
          <w:color w:val="auto"/>
        </w:rPr>
        <w:t xml:space="preserve">In 2016, the FASB issued ASU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(ASU No. 2016-01) related to the recording of financial assets and financial liabilities. Under the amended guidance, equity investments (except those accounted for under the equity method of accounting or those that result in consolidation of the investee) are to be measured at fair value with changes in fair value recognized in net income (loss). However, an entity has the option to either measure equity investments without readily determinable fair values either (i) at fair value or (ii) at cost adjusted for changes in observable prices minus impairment. Changes in measurement under either alternative will be recognized in net income (loss). The amended guidance became effective January 1, 2018. As the Company does not currently hold equity securities, there was no impact on the financial statements at the adoption date. The Company may hold equity securities in the future, at which time the Company will apply the provisions of ASU No. 2016-01 and record changes in the fair value of the equity securities in net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21"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investments, available-for-sale, consisted of the following at March 31, 2018 and</w:t>
      </w:r>
    </w:p>
    <w:p>
      <w:pPr>
        <w:spacing w:after="0"/>
        <w:rPr>
          <w:sz w:val="20"/>
          <w:szCs w:val="20"/>
          <w:color w:val="auto"/>
        </w:rPr>
      </w:pPr>
      <w:r>
        <w:rPr>
          <w:rFonts w:ascii="Arial" w:cs="Arial" w:eastAsia="Arial" w:hAnsi="Arial"/>
          <w:sz w:val="18"/>
          <w:szCs w:val="18"/>
          <w:color w:val="auto"/>
        </w:rPr>
        <w:t>December 31, 2017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2018</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8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6"/>
                <w:szCs w:val="16"/>
                <w:color w:val="auto"/>
              </w:rPr>
            </w:pPr>
          </w:p>
        </w:tc>
        <w:tc>
          <w:tcPr>
            <w:tcW w:w="3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ind w:left="180"/>
              <w:spacing w:after="0" w:line="189" w:lineRule="exact"/>
              <w:rPr>
                <w:sz w:val="20"/>
                <w:szCs w:val="20"/>
                <w:color w:val="auto"/>
              </w:rPr>
            </w:pPr>
            <w:r>
              <w:rPr>
                <w:rFonts w:ascii="Arial" w:cs="Arial" w:eastAsia="Arial" w:hAnsi="Arial"/>
                <w:sz w:val="18"/>
                <w:szCs w:val="18"/>
                <w:color w:val="auto"/>
                <w:w w:val="95"/>
              </w:rPr>
              <w:t>134,886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ind w:left="120"/>
              <w:spacing w:after="0" w:line="189" w:lineRule="exact"/>
              <w:rPr>
                <w:sz w:val="20"/>
                <w:szCs w:val="20"/>
                <w:color w:val="auto"/>
              </w:rPr>
            </w:pPr>
            <w:r>
              <w:rPr>
                <w:rFonts w:ascii="Arial" w:cs="Arial" w:eastAsia="Arial" w:hAnsi="Arial"/>
                <w:sz w:val="18"/>
                <w:szCs w:val="18"/>
                <w:color w:val="auto"/>
                <w:w w:val="95"/>
              </w:rPr>
              <w:t>134,886</w:t>
            </w:r>
          </w:p>
        </w:tc>
        <w:tc>
          <w:tcPr>
            <w:tcW w:w="0" w:type="dxa"/>
            <w:vAlign w:val="bottom"/>
          </w:tcPr>
          <w:p>
            <w:pPr>
              <w:spacing w:after="0"/>
              <w:rPr>
                <w:sz w:val="1"/>
                <w:szCs w:val="1"/>
                <w:color w:val="auto"/>
              </w:rPr>
            </w:pPr>
          </w:p>
        </w:tc>
      </w:tr>
      <w:tr>
        <w:trPr>
          <w:trHeight w:val="189"/>
        </w:trPr>
        <w:tc>
          <w:tcPr>
            <w:tcW w:w="3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980" w:type="dxa"/>
            <w:vAlign w:val="bottom"/>
          </w:tcPr>
          <w:p>
            <w:pPr>
              <w:ind w:left="240"/>
              <w:spacing w:after="0" w:line="189" w:lineRule="exact"/>
              <w:rPr>
                <w:sz w:val="20"/>
                <w:szCs w:val="20"/>
                <w:color w:val="auto"/>
              </w:rPr>
            </w:pPr>
            <w:r>
              <w:rPr>
                <w:rFonts w:ascii="Arial" w:cs="Arial" w:eastAsia="Arial" w:hAnsi="Arial"/>
                <w:sz w:val="18"/>
                <w:szCs w:val="18"/>
                <w:color w:val="auto"/>
                <w:w w:val="94"/>
              </w:rPr>
              <w:t>298 Days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180"/>
              <w:spacing w:after="0" w:line="189" w:lineRule="exact"/>
              <w:rPr>
                <w:sz w:val="20"/>
                <w:szCs w:val="20"/>
                <w:color w:val="auto"/>
              </w:rPr>
            </w:pPr>
            <w:r>
              <w:rPr>
                <w:rFonts w:ascii="Arial" w:cs="Arial" w:eastAsia="Arial" w:hAnsi="Arial"/>
                <w:sz w:val="18"/>
                <w:szCs w:val="18"/>
                <w:color w:val="auto"/>
                <w:w w:val="95"/>
              </w:rPr>
              <w:t>486,829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ind w:left="28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20"/>
              <w:spacing w:after="0" w:line="189" w:lineRule="exact"/>
              <w:rPr>
                <w:sz w:val="20"/>
                <w:szCs w:val="20"/>
                <w:color w:val="auto"/>
              </w:rPr>
            </w:pPr>
            <w:r>
              <w:rPr>
                <w:rFonts w:ascii="Arial" w:cs="Arial" w:eastAsia="Arial" w:hAnsi="Arial"/>
                <w:sz w:val="18"/>
                <w:szCs w:val="18"/>
                <w:color w:val="auto"/>
                <w:w w:val="95"/>
              </w:rPr>
              <w:t>486,237</w:t>
            </w:r>
          </w:p>
        </w:tc>
        <w:tc>
          <w:tcPr>
            <w:tcW w:w="0" w:type="dxa"/>
            <w:vAlign w:val="bottom"/>
          </w:tcPr>
          <w:p>
            <w:pPr>
              <w:spacing w:after="0"/>
              <w:rPr>
                <w:sz w:val="1"/>
                <w:szCs w:val="1"/>
                <w:color w:val="auto"/>
              </w:rPr>
            </w:pPr>
          </w:p>
        </w:tc>
      </w:tr>
      <w:tr>
        <w:trPr>
          <w:trHeight w:val="176"/>
        </w:trPr>
        <w:tc>
          <w:tcPr>
            <w:tcW w:w="384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180"/>
              <w:spacing w:after="0" w:line="170" w:lineRule="exact"/>
              <w:rPr>
                <w:sz w:val="20"/>
                <w:szCs w:val="20"/>
                <w:color w:val="auto"/>
              </w:rPr>
            </w:pPr>
            <w:r>
              <w:rPr>
                <w:rFonts w:ascii="Arial" w:cs="Arial" w:eastAsia="Arial" w:hAnsi="Arial"/>
                <w:sz w:val="18"/>
                <w:szCs w:val="18"/>
                <w:color w:val="auto"/>
                <w:w w:val="95"/>
              </w:rPr>
              <w:t>621,715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ind w:left="280"/>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right"/>
              <w:ind w:right="65"/>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5"/>
              </w:rPr>
              <w:t>621,123</w:t>
            </w:r>
          </w:p>
        </w:tc>
        <w:tc>
          <w:tcPr>
            <w:tcW w:w="0" w:type="dxa"/>
            <w:vAlign w:val="bottom"/>
          </w:tcPr>
          <w:p>
            <w:pPr>
              <w:spacing w:after="0"/>
              <w:rPr>
                <w:sz w:val="1"/>
                <w:szCs w:val="1"/>
                <w:color w:val="auto"/>
              </w:rPr>
            </w:pPr>
          </w:p>
        </w:tc>
      </w:tr>
      <w:tr>
        <w:trPr>
          <w:trHeight w:val="382"/>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Maturity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980" w:type="dxa"/>
            <w:vAlign w:val="bottom"/>
          </w:tcPr>
          <w:p>
            <w:pPr>
              <w:spacing w:after="0"/>
              <w:rPr>
                <w:sz w:val="16"/>
                <w:szCs w:val="16"/>
                <w:color w:val="auto"/>
              </w:rPr>
            </w:pPr>
          </w:p>
        </w:tc>
        <w:tc>
          <w:tcPr>
            <w:tcW w:w="38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ind w:left="220"/>
              <w:spacing w:after="0" w:line="189" w:lineRule="exact"/>
              <w:rPr>
                <w:sz w:val="20"/>
                <w:szCs w:val="20"/>
                <w:color w:val="auto"/>
              </w:rPr>
            </w:pPr>
            <w:r>
              <w:rPr>
                <w:rFonts w:ascii="Arial" w:cs="Arial" w:eastAsia="Arial" w:hAnsi="Arial"/>
                <w:sz w:val="18"/>
                <w:szCs w:val="18"/>
                <w:color w:val="auto"/>
                <w:w w:val="89"/>
              </w:rPr>
              <w:t>400,304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ind w:left="60"/>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260"/>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5"/>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ind w:left="120"/>
              <w:spacing w:after="0" w:line="189" w:lineRule="exact"/>
              <w:rPr>
                <w:sz w:val="20"/>
                <w:szCs w:val="20"/>
                <w:color w:val="auto"/>
              </w:rPr>
            </w:pPr>
            <w:r>
              <w:rPr>
                <w:rFonts w:ascii="Arial" w:cs="Arial" w:eastAsia="Arial" w:hAnsi="Arial"/>
                <w:sz w:val="18"/>
                <w:szCs w:val="18"/>
                <w:color w:val="auto"/>
                <w:w w:val="95"/>
              </w:rPr>
              <w:t>400,304</w:t>
            </w:r>
          </w:p>
        </w:tc>
        <w:tc>
          <w:tcPr>
            <w:tcW w:w="0" w:type="dxa"/>
            <w:vAlign w:val="bottom"/>
          </w:tcPr>
          <w:p>
            <w:pPr>
              <w:spacing w:after="0"/>
              <w:rPr>
                <w:sz w:val="1"/>
                <w:szCs w:val="1"/>
                <w:color w:val="auto"/>
              </w:rPr>
            </w:pPr>
          </w:p>
        </w:tc>
      </w:tr>
      <w:tr>
        <w:trPr>
          <w:trHeight w:val="189"/>
        </w:trPr>
        <w:tc>
          <w:tcPr>
            <w:tcW w:w="3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980" w:type="dxa"/>
            <w:vAlign w:val="bottom"/>
          </w:tcPr>
          <w:p>
            <w:pPr>
              <w:ind w:left="240"/>
              <w:spacing w:after="0" w:line="189" w:lineRule="exact"/>
              <w:rPr>
                <w:sz w:val="20"/>
                <w:szCs w:val="20"/>
                <w:color w:val="auto"/>
              </w:rPr>
            </w:pPr>
            <w:r>
              <w:rPr>
                <w:rFonts w:ascii="Arial" w:cs="Arial" w:eastAsia="Arial" w:hAnsi="Arial"/>
                <w:sz w:val="18"/>
                <w:szCs w:val="18"/>
                <w:color w:val="auto"/>
                <w:w w:val="94"/>
              </w:rPr>
              <w:t>348 Days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220"/>
              <w:spacing w:after="0" w:line="189" w:lineRule="exact"/>
              <w:rPr>
                <w:sz w:val="20"/>
                <w:szCs w:val="20"/>
                <w:color w:val="auto"/>
              </w:rPr>
            </w:pPr>
            <w:r>
              <w:rPr>
                <w:rFonts w:ascii="Arial" w:cs="Arial" w:eastAsia="Arial" w:hAnsi="Arial"/>
                <w:sz w:val="18"/>
                <w:szCs w:val="18"/>
                <w:color w:val="auto"/>
                <w:w w:val="89"/>
              </w:rPr>
              <w:t>273,321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ind w:left="120"/>
              <w:spacing w:after="0" w:line="189" w:lineRule="exact"/>
              <w:rPr>
                <w:sz w:val="20"/>
                <w:szCs w:val="20"/>
                <w:color w:val="auto"/>
              </w:rPr>
            </w:pPr>
            <w:r>
              <w:rPr>
                <w:rFonts w:ascii="Arial" w:cs="Arial" w:eastAsia="Arial" w:hAnsi="Arial"/>
                <w:sz w:val="18"/>
                <w:szCs w:val="18"/>
                <w:color w:val="auto"/>
                <w:w w:val="95"/>
              </w:rPr>
              <w:t>273,052</w:t>
            </w:r>
          </w:p>
        </w:tc>
        <w:tc>
          <w:tcPr>
            <w:tcW w:w="0" w:type="dxa"/>
            <w:vAlign w:val="bottom"/>
          </w:tcPr>
          <w:p>
            <w:pPr>
              <w:spacing w:after="0"/>
              <w:rPr>
                <w:sz w:val="1"/>
                <w:szCs w:val="1"/>
                <w:color w:val="auto"/>
              </w:rPr>
            </w:pPr>
          </w:p>
        </w:tc>
      </w:tr>
      <w:tr>
        <w:trPr>
          <w:trHeight w:val="176"/>
        </w:trPr>
        <w:tc>
          <w:tcPr>
            <w:tcW w:w="384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89"/>
              </w:rPr>
              <w:t>673,625</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ind w:left="36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5"/>
              </w:rPr>
              <w:t>673,356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months ended March 31, 2018 and 2017, there were no realized gains or losses on sales of investments, and no investments were adjusted for other than temporary declines in fair value.</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At March 31, 2018, the Company held 58 securities that were in an unrealized loss position. The aggregate fair value of securities held by the Company in an unrealized loss position for less than twelve months as of March 31, 2018 was $456.3 million. As of March 31, 2018, there were $29.9 million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other-than-temporary impairment as of March 31,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0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94" w:lineRule="exact"/>
        <w:rPr>
          <w:sz w:val="20"/>
          <w:szCs w:val="20"/>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300" w:right="100" w:hanging="325"/>
        <w:spacing w:after="0" w:line="259"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Financial instruments measured at fair value as of March 31, 2018 are classified below based on the fair value hierarchy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Active</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320" w:type="dxa"/>
            <w:vAlign w:val="bottom"/>
            <w:vMerge w:val="continue"/>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3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$ 134,886</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84"/>
              </w:rPr>
              <w:t>$ 134,886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486,237</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486,237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$ 621,123</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621,123</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2017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Active</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3"/>
            <w:vMerge w:val="continue"/>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400,304</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4"/>
              </w:rPr>
              <w:t>$ 400,304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273,052</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273,052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673,356</w:t>
            </w:r>
          </w:p>
        </w:tc>
        <w:tc>
          <w:tcPr>
            <w:tcW w:w="1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$ 673,356</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At March 31, 2018 and December 31, 2017, $4.6 million and $4.8 million, respectively, of the Company’s cash is restricted by a bank. As of March 31, 2018 and December 31, 2017, $4.6 million of the restricted cash was included in long-term assets on the Company’s balance sheet related to security deposits for the lease agreements for the Company’s current and former corporate headquarters.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w:t>
      </w:r>
    </w:p>
    <w:p>
      <w:pPr>
        <w:spacing w:after="0" w:line="185"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In March 2016, the Company and Roche entered into the Roche agreement, which provides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59"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Based on these assessments, the Company identified one performance obligation at the outset of the Roche</w:t>
      </w:r>
    </w:p>
    <w:p>
      <w:pPr>
        <w:jc w:val="center"/>
        <w:spacing w:after="0" w:line="229" w:lineRule="auto"/>
        <w:rPr>
          <w:sz w:val="20"/>
          <w:szCs w:val="20"/>
          <w:color w:val="auto"/>
        </w:rPr>
      </w:pPr>
      <w:r>
        <w:rPr>
          <w:rFonts w:ascii="Arial" w:cs="Arial" w:eastAsia="Arial" w:hAnsi="Arial"/>
          <w:sz w:val="16"/>
          <w:szCs w:val="16"/>
          <w:color w:val="auto"/>
        </w:rPr>
        <w:t>Agreement, which consists of: (1) the non-exclusive license; (2) the research and development activities through Phase 1; and</w:t>
      </w:r>
    </w:p>
    <w:p>
      <w:pPr>
        <w:spacing w:after="0"/>
        <w:rPr>
          <w:sz w:val="20"/>
          <w:szCs w:val="20"/>
          <w:color w:val="auto"/>
        </w:rPr>
      </w:pPr>
      <w:r>
        <w:rPr>
          <w:rFonts w:ascii="Arial" w:cs="Arial" w:eastAsia="Arial" w:hAnsi="Arial"/>
          <w:sz w:val="18"/>
          <w:szCs w:val="18"/>
          <w:color w:val="auto"/>
        </w:rPr>
        <w:t>(3) regulatory responsibilities under Phase 1 clinical trials.</w:t>
      </w:r>
    </w:p>
    <w:p>
      <w:pPr>
        <w:spacing w:after="0" w:line="169"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Under the Roche Agreement, in order to evaluate the appropriate transaction price, the Company determined that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6"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Revenue associated with the performance obligation is being recognized as revenue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research and development services related to this performance obligation are expected to be performed over a period of approximately eight years. The revenue recognized during the first quarter of 2018 represents revenue that was previously deferred. The amounts received that have not yet been recognized as revenue are recorded in deferred revenue on the Company’s condensed consolidated balance sheet.</w:t>
      </w:r>
    </w:p>
    <w:p>
      <w:pPr>
        <w:spacing w:after="0" w:line="167"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Through March 31, 2018, the Company had recognized revenue of $5.3 million as collaboration revenue in the Company’s consolidated statements of operations and comprehensive loss under the Roche Agreement. Deferred revenue related to the Roche Agreement amounted to $39.7 million as of March 31, 2018, of which $4.8 million is included in current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(FOP). On July 26, 2017, the Company received written notice from Alexion of its election to terminate the Alexion agreement for convenience, and the termination became effective on October 24, 2017. Since the Alexion agreement terminated prior to January 1, 2018, the Company recognized revenue from the Alexion collaboration in accordance with ASC 605.</w:t>
      </w:r>
    </w:p>
    <w:p>
      <w:pPr>
        <w:spacing w:after="0" w:line="162"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 through costs and a negotiated yearly rate per full time equivalent for its employees’ time and their associated overhead expenses. As a result of the termination of the Alexion agreement, the Company will not be entitled to receive payment from Alexion for any research and development expenses incurred after the effective date of termination.</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Prior to termination, the Company had received an aggregate amount of $18.8 million in upfront and milestone payments. The Company received a $15.0 million non-refundable upfront payment in March 2015 upon execution of the Alexion agreement and an aggregate amount of $3.8 million in pre-clinical milestone payments prior to the termination of the Alexion agreement. As a result of the termination, the Company was not entitled to receive payment from Alexion for any additional milestones.</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former Alexion collaboration: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were not separable and, accordingly, the license, undelivered research and development activities and JSC and JPT participation were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were expected to be delivered over the same performance period. The Company recognized the remaining deferred revenue balance related to the upfront payment and non-substantive milestone payment previously received under the former collaboration with Alexion, utilizing the proportional performance model over the remaining period of performance, which ended October 24, 2017.</w:t>
      </w:r>
    </w:p>
    <w:p>
      <w:pPr>
        <w:spacing w:after="0" w:line="164" w:lineRule="exact"/>
        <w:rPr>
          <w:sz w:val="20"/>
          <w:szCs w:val="20"/>
          <w:color w:val="auto"/>
        </w:rPr>
      </w:pPr>
    </w:p>
    <w:p>
      <w:pPr>
        <w:ind w:right="300" w:firstLine="648"/>
        <w:spacing w:after="0" w:line="241" w:lineRule="auto"/>
        <w:rPr>
          <w:sz w:val="20"/>
          <w:szCs w:val="20"/>
          <w:color w:val="auto"/>
        </w:rPr>
      </w:pPr>
      <w:r>
        <w:rPr>
          <w:rFonts w:ascii="Arial" w:cs="Arial" w:eastAsia="Arial" w:hAnsi="Arial"/>
          <w:sz w:val="16"/>
          <w:szCs w:val="16"/>
          <w:color w:val="auto"/>
        </w:rPr>
        <w:t>The Company evaluated whether the milestones that it was eligible to receive in connection with the Alexion agreement were substantive or non-substantive milestones. The Company concluded that the first pre-clinical milestone payment under the former Alexion collaboration was non-substantive due to the certainty at the date the arrangement was entered into that the event will be achieved. In the second quarter of 2015, the Company achieved the first pre-clinical milestone under the former Alexion collaboration and received a $1.8 million payment from Alexion. The Company recognized revenues from the related milestone payment over the remaining period of performance.</w:t>
      </w:r>
    </w:p>
    <w:p>
      <w:pPr>
        <w:spacing w:after="0" w:line="161"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The remaining non-refundable pre-clinical milestones that the Company was eligible to achieve as a result of the Company’s efforts prior to the termination were considered substantive. The Company has recognized and received an aggregate of $2.0 million in substantive milestones through December 31, 2017.</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As a result of the termination, the Company did not recognize revenue under the Alexion agreement during the three months ended March 31, 2018. During the three months ended March 31, 2017 the Company recognized revenue under the Alexion agreement of $4.4 million, which represents $2.8 million of reimbursable research and development costs, as well as a portion of the $15.0 million upfront payment and the $1.8 million non-substantive milestone payment previously received under the collaboration.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May 2013, the Company entered into a loan and security agreement with Silicon Valley Bank, which provided for up to $5.0 million in funding, to be made available in three tranches. Loan advances accrue interest at a fixed rate of 2% above the prime rate. In November 2014, the Company amended the loan to allow the Company to borrow an additional $5.0 million. The Company accounted for the amendment as a modification to the existing 2013 loan. The Company immediately drew the additional $5.0 million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1, 2018. The Company is required to pay a fee of 4%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121" w:lineRule="exact"/>
        <w:rPr>
          <w:sz w:val="20"/>
          <w:szCs w:val="20"/>
          <w:color w:val="auto"/>
        </w:rPr>
      </w:pPr>
    </w:p>
    <w:p>
      <w:pPr>
        <w:ind w:right="240" w:firstLine="648"/>
        <w:spacing w:after="0" w:line="187" w:lineRule="exact"/>
        <w:rPr>
          <w:sz w:val="20"/>
          <w:szCs w:val="20"/>
          <w:color w:val="auto"/>
        </w:rPr>
      </w:pPr>
      <w:r>
        <w:rPr>
          <w:rFonts w:ascii="Arial" w:cs="Arial" w:eastAsia="Arial" w:hAnsi="Arial"/>
          <w:sz w:val="18"/>
          <w:szCs w:val="18"/>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based on scheduled principal payments.</w:t>
      </w:r>
    </w:p>
    <w:p>
      <w:pPr>
        <w:spacing w:after="0" w:line="13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5"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the term loan, are $1.1 million, in the aggregate, for the remainder of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Plan was increased by 1,743,101 shares. In addition, the total number of shares reserved for issuance is subject to adjustment in the event of a stock split, stock dividend or other change in our capitalization. At March 31, 2018, there were 2,452,704 shares available for future grant under the 2015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jc w:val="both"/>
        <w:ind w:right="12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94"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Company did not have any unvested restricted stock as of March 31, 2018 and December 31, 2017. There were no restricted stock awards that vested during the three months ended March 31, 2018</w:t>
      </w:r>
      <w:r>
        <w:rPr>
          <w:rFonts w:ascii="Arial" w:cs="Arial" w:eastAsia="Arial" w:hAnsi="Arial"/>
          <w:sz w:val="18"/>
          <w:szCs w:val="18"/>
          <w:b w:val="1"/>
          <w:bCs w:val="1"/>
          <w:color w:val="auto"/>
        </w:rPr>
        <w:t>.</w:t>
      </w:r>
      <w:r>
        <w:rPr>
          <w:rFonts w:ascii="Arial" w:cs="Arial" w:eastAsia="Arial" w:hAnsi="Arial"/>
          <w:sz w:val="18"/>
          <w:szCs w:val="18"/>
          <w:color w:val="auto"/>
        </w:rPr>
        <w:t xml:space="preserve"> The total fair value of restricted stock that vested during the three months ended March 31, 2017 was $0.1 million.</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Remaining</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 Years)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69"/>
        </w:trPr>
        <w:tc>
          <w:tcPr>
            <w:tcW w:w="53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22.45</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8.04</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174,985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1,083,950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81.36</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(243,721)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(24,525)</w:t>
            </w: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39.32</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March 31, 2018</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4,119,870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38.32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219,934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gridSpan w:val="2"/>
          </w:tcPr>
          <w:p>
            <w:pPr>
              <w:spacing w:after="0" w:line="163" w:lineRule="exact"/>
              <w:rPr>
                <w:sz w:val="20"/>
                <w:szCs w:val="20"/>
                <w:color w:val="auto"/>
              </w:rPr>
            </w:pPr>
            <w:r>
              <w:rPr>
                <w:rFonts w:ascii="Arial" w:cs="Arial" w:eastAsia="Arial" w:hAnsi="Arial"/>
                <w:sz w:val="18"/>
                <w:szCs w:val="18"/>
                <w:color w:val="auto"/>
              </w:rPr>
              <w:t>Exercisable at March 31,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1,438,649</w:t>
            </w:r>
          </w:p>
        </w:tc>
        <w:tc>
          <w:tcPr>
            <w:tcW w:w="140" w:type="dxa"/>
            <w:vAlign w:val="bottom"/>
          </w:tcPr>
          <w:p>
            <w:pPr>
              <w:spacing w:after="0"/>
              <w:rPr>
                <w:sz w:val="14"/>
                <w:szCs w:val="14"/>
                <w:color w:val="auto"/>
              </w:rPr>
            </w:pPr>
          </w:p>
        </w:tc>
        <w:tc>
          <w:tcPr>
            <w:tcW w:w="14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8"/>
                <w:szCs w:val="18"/>
                <w:color w:val="auto"/>
              </w:rPr>
              <w:t>13.22</w:t>
            </w:r>
          </w:p>
        </w:tc>
        <w:tc>
          <w:tcPr>
            <w:tcW w:w="14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8"/>
                <w:szCs w:val="18"/>
                <w:color w:val="auto"/>
              </w:rPr>
              <w:t>7.20</w:t>
            </w:r>
          </w:p>
        </w:tc>
        <w:tc>
          <w:tcPr>
            <w:tcW w:w="14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112,909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320" w:hanging="317"/>
        <w:spacing w:after="0" w:line="23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March 31, 2018 of the underlying common stock exceeds the exercise price of the option.</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3180" w:type="dxa"/>
            <w:vAlign w:val="bottom"/>
            <w:gridSpan w:val="4"/>
          </w:tcPr>
          <w:p>
            <w:pPr>
              <w:jc w:val="right"/>
              <w:ind w:right="103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vMerge w:val="restart"/>
          </w:tcPr>
          <w:p>
            <w:pPr>
              <w:spacing w:after="0"/>
              <w:rPr>
                <w:sz w:val="11"/>
                <w:szCs w:val="11"/>
                <w:color w:val="auto"/>
              </w:rPr>
            </w:pPr>
          </w:p>
        </w:tc>
        <w:tc>
          <w:tcPr>
            <w:tcW w:w="1260" w:type="dxa"/>
            <w:vAlign w:val="bottom"/>
            <w:tcBorders>
              <w:top w:val="single" w:sz="8" w:color="auto"/>
              <w:bottom w:val="single" w:sz="8" w:color="auto"/>
            </w:tcBorders>
          </w:tcPr>
          <w:p>
            <w:pPr>
              <w:spacing w:after="0"/>
              <w:rPr>
                <w:sz w:val="11"/>
                <w:szCs w:val="11"/>
                <w:color w:val="auto"/>
              </w:rPr>
            </w:pPr>
          </w:p>
        </w:tc>
        <w:tc>
          <w:tcPr>
            <w:tcW w:w="3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March 31, 2018</w:t>
            </w:r>
          </w:p>
        </w:tc>
        <w:tc>
          <w:tcPr>
            <w:tcW w:w="26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March 31, 2017</w:t>
            </w:r>
          </w:p>
        </w:tc>
        <w:tc>
          <w:tcPr>
            <w:tcW w:w="3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12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592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 %</w:t>
            </w:r>
          </w:p>
        </w:tc>
        <w:tc>
          <w:tcPr>
            <w:tcW w:w="1640" w:type="dxa"/>
            <w:vAlign w:val="bottom"/>
            <w:gridSpan w:val="2"/>
          </w:tcPr>
          <w:p>
            <w:pPr>
              <w:jc w:val="right"/>
              <w:ind w:right="130"/>
              <w:spacing w:after="0" w:line="176"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70.18 %</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75.43 %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00" w:firstLine="648"/>
        <w:spacing w:after="0" w:line="191" w:lineRule="exact"/>
        <w:rPr>
          <w:sz w:val="20"/>
          <w:szCs w:val="20"/>
          <w:color w:val="auto"/>
        </w:rPr>
      </w:pPr>
      <w:r>
        <w:rPr>
          <w:rFonts w:ascii="Arial" w:cs="Arial" w:eastAsia="Arial" w:hAnsi="Arial"/>
          <w:sz w:val="16"/>
          <w:szCs w:val="16"/>
          <w:color w:val="auto"/>
        </w:rPr>
        <w:t>The weighted</w:t>
      </w:r>
      <w:r>
        <w:rPr>
          <w:rFonts w:ascii="MS PGothic" w:cs="MS PGothic" w:eastAsia="MS PGothic" w:hAnsi="MS PGothic"/>
          <w:sz w:val="16"/>
          <w:szCs w:val="16"/>
          <w:color w:val="auto"/>
        </w:rPr>
        <w:t>‑</w:t>
      </w:r>
      <w:r>
        <w:rPr>
          <w:rFonts w:ascii="Arial" w:cs="Arial" w:eastAsia="Arial" w:hAnsi="Arial"/>
          <w:sz w:val="16"/>
          <w:szCs w:val="16"/>
          <w:color w:val="auto"/>
        </w:rPr>
        <w:t>average grant date fair value of options granted in the three months ended March 31, 2018 and 2017 was $52.20 and $23.98, respectively. The total intrinsic value of options exercised in the three months ended March 31, 2018</w:t>
      </w:r>
    </w:p>
    <w:p>
      <w:pPr>
        <w:spacing w:after="0"/>
        <w:rPr>
          <w:sz w:val="20"/>
          <w:szCs w:val="20"/>
          <w:color w:val="auto"/>
        </w:rPr>
      </w:pPr>
      <w:r>
        <w:rPr>
          <w:rFonts w:ascii="Arial" w:cs="Arial" w:eastAsia="Arial" w:hAnsi="Arial"/>
          <w:sz w:val="18"/>
          <w:szCs w:val="18"/>
          <w:color w:val="auto"/>
        </w:rPr>
        <w:t>and 2017 was $17.5 million and $3.5 million, respectively.</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2"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condensed consolidated statements of operations and comprehensive loss is as follows (in thousands):</w:t>
      </w:r>
    </w:p>
    <w:p>
      <w:pPr>
        <w:spacing w:after="0" w:line="157"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Three Months Ended</w:t>
      </w:r>
    </w:p>
    <w:p>
      <w:pPr>
        <w:ind w:left="76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69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4"/>
              <w:spacing w:after="0" w:line="136"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36"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1"/>
                <w:szCs w:val="11"/>
                <w:color w:val="auto"/>
              </w:rPr>
            </w:pPr>
          </w:p>
        </w:tc>
      </w:tr>
      <w:tr>
        <w:trPr>
          <w:trHeight w:val="169"/>
        </w:trPr>
        <w:tc>
          <w:tcPr>
            <w:tcW w:w="6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3,011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4"/>
                <w:szCs w:val="14"/>
                <w:color w:val="auto"/>
              </w:rPr>
            </w:pPr>
          </w:p>
        </w:tc>
      </w:tr>
      <w:tr>
        <w:trPr>
          <w:trHeight w:val="176"/>
        </w:trPr>
        <w:tc>
          <w:tcPr>
            <w:tcW w:w="6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2,538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1,116</w:t>
            </w:r>
          </w:p>
        </w:tc>
        <w:tc>
          <w:tcPr>
            <w:tcW w:w="180" w:type="dxa"/>
            <w:vAlign w:val="bottom"/>
            <w:tcBorders>
              <w:bottom w:val="single" w:sz="8" w:color="CCEEFF"/>
            </w:tcBorders>
          </w:tcPr>
          <w:p>
            <w:pPr>
              <w:spacing w:after="0"/>
              <w:rPr>
                <w:sz w:val="15"/>
                <w:szCs w:val="15"/>
                <w:color w:val="auto"/>
              </w:rPr>
            </w:pPr>
          </w:p>
        </w:tc>
      </w:tr>
      <w:tr>
        <w:trPr>
          <w:trHeight w:val="176"/>
        </w:trPr>
        <w:tc>
          <w:tcPr>
            <w:tcW w:w="69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5,549</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2,240</w:t>
            </w:r>
          </w:p>
        </w:tc>
        <w:tc>
          <w:tcPr>
            <w:tcW w:w="18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At March 31, 2018, the Company had $85.6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2.89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ESPP was increased by 435,775 shares. The Company issued no shares under the ESPP during the three months ended March 31, 2018 and 2017,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19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-3175</wp:posOffset>
            </wp:positionV>
            <wp:extent cx="1252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69"/>
        </w:trPr>
        <w:tc>
          <w:tcPr>
            <w:tcW w:w="6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4,119,870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3,237,043</w:t>
            </w:r>
          </w:p>
        </w:tc>
        <w:tc>
          <w:tcPr>
            <w:tcW w:w="100" w:type="dxa"/>
            <w:vAlign w:val="bottom"/>
            <w:shd w:val="clear" w:color="auto" w:fill="CCEEFF"/>
          </w:tcPr>
          <w:p>
            <w:pPr>
              <w:spacing w:after="0"/>
              <w:rPr>
                <w:sz w:val="14"/>
                <w:szCs w:val="14"/>
                <w:color w:val="auto"/>
              </w:rPr>
            </w:pPr>
          </w:p>
        </w:tc>
      </w:tr>
      <w:tr>
        <w:trPr>
          <w:trHeight w:val="176"/>
        </w:trPr>
        <w:tc>
          <w:tcPr>
            <w:tcW w:w="6980" w:type="dxa"/>
            <w:vAlign w:val="bottom"/>
          </w:tcPr>
          <w:p>
            <w:pPr>
              <w:spacing w:after="0" w:line="176" w:lineRule="exact"/>
              <w:rPr>
                <w:sz w:val="20"/>
                <w:szCs w:val="20"/>
                <w:color w:val="auto"/>
              </w:rPr>
            </w:pPr>
            <w:r>
              <w:rPr>
                <w:rFonts w:ascii="Arial" w:cs="Arial" w:eastAsia="Arial" w:hAnsi="Arial"/>
                <w:sz w:val="18"/>
                <w:szCs w:val="18"/>
                <w:color w:val="auto"/>
              </w:rPr>
              <w:t>Unvested restricted stock</w:t>
            </w:r>
          </w:p>
        </w:tc>
        <w:tc>
          <w:tcPr>
            <w:tcW w:w="10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5"/>
                <w:szCs w:val="15"/>
                <w:color w:val="auto"/>
              </w:rPr>
            </w:pPr>
          </w:p>
        </w:tc>
      </w:tr>
      <w:tr>
        <w:trPr>
          <w:trHeight w:val="176"/>
        </w:trPr>
        <w:tc>
          <w:tcPr>
            <w:tcW w:w="69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4,119,870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3,237,297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37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43,700,226 and 33,189,759 for the three months ended March 31, 2018 and 2017,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8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in Cambridge, Massachusetts, which the Company gained control over on June 15, 2015,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occupancy commenced in October 2015. The lease ends on October 31, 2022. The Company has an option to extend the lease for five additional years. The lease has a total commitment of $17.8 million over the seven-year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consolidated balance sheet at December 31, 2017,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 The lease agreement required the Company to pay a security deposit of $1.3 million, which is recorded in restricted cash on the Company’s balance sheet.</w:t>
      </w:r>
    </w:p>
    <w:p>
      <w:pPr>
        <w:spacing w:after="0" w:line="168"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w:t>
      </w:r>
    </w:p>
    <w:p>
      <w:pPr>
        <w:spacing w:after="0" w:line="165"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The lease agreement also provides the Company with an option to extend the lease agreement for two consecutive five-year periods at the then fair market annual rent, as defined in the lease agreement, as well as a right of first offer with respect to leasing additional space adjacent to the existing leased premises. During the initial term of the lease agreement, the Company has agreed to pay an initial annual base rent of approximately $7.7 million, which rises periodically until it reaches approximately $10.6 million in the last year of the initial term. The Company is recording rent expense on a straight-line basis through the end of the lease term. The Company has recorded deferred rent on the consolidated balance sheet at December 31, 2017 accordingly. The landlord has also agreed to provide the Company with a tenant improvement allowance of approximately $14.2 million for improvements to be made to the premises. The Company accounts for leasehold improvement incentives as a reduction to rent expense ratably over the lease term. The lease agreements required the Company to pay a security deposit of $3.5 million, which is recorded in restricted cash on the Company’s balance sheet.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2018 and 2017, rent expense was $2.2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2017, filed with the Securities and Exchange Commission, or the SEC, on February 21, 2018.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Our most advanced drug candidates are avapritinib, BLU-554 and BLU-667. Our lead drug candidate, avapritinib, is an orally available, potent and highly selective inhibitor that targets KIT and PDGFRα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are currently evaluating avapritinib in an ongoing Phase 1 clinical trial for defined subsets of patients with GIST, which we refer to as our NAVIGATOR trial, and an ongoing Phase 1 clinical trial for advanced SM, which we refer to as our EXPLORER trial. We plan to initiate a global, randomized Phase 3 clinical trial for avapritinib compared to regorafenib in third-line GIST in the second quarter of 2018, which we refer to as our VOYAGER trial. In addition, we anticipate initiating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advanced SM by the middle of 2018, which we refer to as our PATHFINDER trial, and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indolent SM and smoldering SM by the end of 2018, which we refer to as our PIONEER trial.</w:t>
      </w:r>
    </w:p>
    <w:p>
      <w:pPr>
        <w:spacing w:after="0" w:line="166"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7"/>
          <w:szCs w:val="17"/>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w:t>
      </w:r>
    </w:p>
    <w:p>
      <w:pPr>
        <w:spacing w:after="0" w:line="161"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BLU-667 targets RET, a receptor tyrosine kinase that is abnormally activated by mutations or translocations,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and our research suggests that RET may drive disease in subsets of patients with colon cancer, breast cancer and other cancers. We are currently evaluating BLU-667 in an ongoing Phase 1 clinical trial in patients with RET altered NSCLC, MTC and other advanced solid tumors, which we refer to as our ARROW trial.</w:t>
      </w:r>
    </w:p>
    <w:p>
      <w:pPr>
        <w:spacing w:after="0" w:line="16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addition, in the fourth quarter of 2017, we nominated a development candidate, BLU-782, for our discovery program targeting the kinase ALK2 for the treatment of fibrodysplasia ossificans progressiva, or FOP, a rare genetic disease caused by mutations in the ALK2 gene, ACVR1. We initiated Investigational New Drug, or IND, application enabling studies for BLU-782 in the first quarter of 2018.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recently nominated an additional wholly-owned discovery program and currently have three wholly-owned discovery programs for undisclosed kinase targets. We anticipate nominating at least one additional discovery program in 2018.</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In addition to our wholly-owned clinical and pre-clinical programs, in March 2016, we entered into an agreement with F. Hoffmann La Roche Ltd and Hoffmann La Roche Inc.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currently have worldwide development and commercialization rights to avapritinib, BLU-554, BLU-667 and BLU-782 and all of our discovery programs other than the pre-clinical programs under the Roche collaboration. 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Commission granted orphan drug designation to avapritinib for the treatment of GIST. In April 2018, the FDA granted orphan drug designation to BLU-667 for the treatment of RET-rearranged NSCLC, JAK1/2-positive NSCLC or TRKC-positive NSCLC.</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and commencing clinical development and pre-commercial activities. We do not have any drugs approved for sale and have not generated any revenue from drug sales.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and a debt financing. Through March 31, 2018, we have received an aggregate of $1.1 billion from such transactions, including $887.4 million in aggregate gross proceeds from the sale of common stock in our May 2015 initial public offering, or IPO, and December 2016, April 2017 and December 2017 follow-on public offerings, $115.1 million in gross proceeds from the issuance of convertible preferred stock, $18.8 million of upfront and milestone payments under our former collaboration with Alexion Pharma Holding, or Alexion, a $45.0 million upfront payment under our existing collaboration with F. Hoffmann-La Roche Ltd and Hoffmann-La Roche Inc., which we refer to collectively as Roche, and $10.0 million in gross proceeds from the debt financing.</w:t>
      </w:r>
    </w:p>
    <w:p>
      <w:pPr>
        <w:spacing w:after="0" w:line="168"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Since inception, we have incurred significant operating losses. Our net losses were $56.5 million for the three months ended March 31, 2018 and $148.1 million, $72.5 million and $52.8 million for the years ended December 31, 2017, 2016 and 2015. As of March 31, 2018, we had an accumulated deficit of $417.5 million. We expect to continue to incur significant expenses and operating losses over the next several years. We anticipate that our expenses will increase significantly in connection with our ongoing activities, particularly as we:</w:t>
      </w:r>
    </w:p>
    <w:p>
      <w:pPr>
        <w:spacing w:after="0" w:line="161" w:lineRule="exact"/>
        <w:rPr>
          <w:sz w:val="20"/>
          <w:szCs w:val="20"/>
          <w:color w:val="auto"/>
        </w:rPr>
      </w:pPr>
    </w:p>
    <w:p>
      <w:pPr>
        <w:ind w:left="1300" w:right="120" w:hanging="325"/>
        <w:spacing w:after="0" w:line="25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BLU-554, BLU-667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22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 with Roche;</w:t>
      </w:r>
    </w:p>
    <w:p>
      <w:pPr>
        <w:spacing w:after="0" w:line="184" w:lineRule="exact"/>
        <w:rPr>
          <w:rFonts w:ascii="Arial" w:cs="Arial" w:eastAsia="Arial" w:hAnsi="Arial"/>
          <w:sz w:val="18"/>
          <w:szCs w:val="18"/>
          <w:color w:val="auto"/>
        </w:rPr>
      </w:pPr>
    </w:p>
    <w:p>
      <w:pPr>
        <w:ind w:left="1300" w:right="320" w:hanging="325"/>
        <w:spacing w:after="0" w:line="189"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right="52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commercial and general and administrative personnel;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To date, we have not generated any revenue from drug sales and do not expect to generate any revenue from the sale of drugs in the near future. Our revenue consists of collaboration revenue under our former collaboration with Alexion, which was terminated in October 2017, and our existing collaboration with Roche, including amounts that are recognized related to upfront payments, milestone payments and amounts due to us for research and development services. In the future, revenue may include additional milestone payments and royalties on any net product sales under our collaboration with Roche. As a result of the termination of our Alexion collaboration, we will not be entitled to receive any future payments from Alexion for any research and development expenses or milestones. We expect that any revenue we generate will fluctuate from quarter to quarter as a result of the timing and amount of license fees, research and development services and related reimbursements, payments for manufacturing services, and milestone and other payments.</w:t>
      </w:r>
    </w:p>
    <w:p>
      <w:pPr>
        <w:spacing w:after="0" w:line="168" w:lineRule="exact"/>
        <w:rPr>
          <w:sz w:val="20"/>
          <w:szCs w:val="20"/>
          <w:color w:val="auto"/>
        </w:rPr>
      </w:pPr>
    </w:p>
    <w:p>
      <w:pPr>
        <w:ind w:right="90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line="207" w:lineRule="exact"/>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480" w:hanging="325"/>
        <w:spacing w:after="0" w:line="23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line="207" w:lineRule="exact"/>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300" w:right="1060" w:hanging="325"/>
        <w:spacing w:after="0" w:line="203" w:lineRule="exact"/>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expenses are 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stock-based compensation expense. Except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spacing w:after="0" w:line="203" w:lineRule="exact"/>
        <w:rPr>
          <w:sz w:val="20"/>
          <w:szCs w:val="20"/>
          <w:color w:val="auto"/>
        </w:rPr>
      </w:pPr>
      <w:r>
        <w:rPr>
          <w:rFonts w:ascii="Arial" w:cs="Arial" w:eastAsia="Arial" w:hAnsi="Arial"/>
          <w:sz w:val="16"/>
          <w:szCs w:val="16"/>
          <w:color w:val="auto"/>
        </w:rPr>
        <w:t>for internal research and development expenses related to a collaboration agreement, we do not track our internal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w:t>
      </w:r>
    </w:p>
    <w:p>
      <w:pPr>
        <w:spacing w:after="0" w:line="162" w:lineRule="exact"/>
        <w:rPr>
          <w:sz w:val="20"/>
          <w:szCs w:val="20"/>
          <w:color w:val="auto"/>
        </w:rPr>
      </w:pPr>
    </w:p>
    <w:p>
      <w:pPr>
        <w:ind w:right="159" w:firstLine="648"/>
        <w:spacing w:after="0" w:line="194" w:lineRule="exact"/>
        <w:rPr>
          <w:sz w:val="20"/>
          <w:szCs w:val="20"/>
          <w:color w:val="auto"/>
        </w:rPr>
      </w:pPr>
      <w:r>
        <w:rPr>
          <w:rFonts w:ascii="Arial" w:cs="Arial" w:eastAsia="Arial" w:hAnsi="Arial"/>
          <w:sz w:val="18"/>
          <w:szCs w:val="18"/>
          <w:color w:val="auto"/>
        </w:rPr>
        <w:t>The following table summarizes our external research and development expenses by program for the three months ended March 31, 2018 and 2017. Other development and pre</w:t>
      </w:r>
      <w:r>
        <w:rPr>
          <w:rFonts w:ascii="MS PGothic" w:cs="MS PGothic" w:eastAsia="MS PGothic" w:hAnsi="MS PGothic"/>
          <w:sz w:val="18"/>
          <w:szCs w:val="18"/>
          <w:color w:val="auto"/>
        </w:rPr>
        <w:t>‑</w:t>
      </w:r>
      <w:r>
        <w:rPr>
          <w:rFonts w:ascii="Arial" w:cs="Arial" w:eastAsia="Arial" w:hAnsi="Arial"/>
          <w:sz w:val="18"/>
          <w:szCs w:val="18"/>
          <w:color w:val="auto"/>
        </w:rPr>
        <w:t>development candidate expenses, unallocated expenses and internal research and development expenses have been classified separately.</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jc w:val="right"/>
              <w:ind w:right="605"/>
              <w:spacing w:after="0" w:line="129"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1260" w:type="dxa"/>
            <w:vAlign w:val="bottom"/>
            <w:gridSpan w:val="2"/>
            <w:shd w:val="clear" w:color="auto" w:fill="CCEEFF"/>
          </w:tcPr>
          <w:p>
            <w:pPr>
              <w:jc w:val="right"/>
              <w:ind w:right="847"/>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17,783</w:t>
            </w:r>
          </w:p>
        </w:tc>
        <w:tc>
          <w:tcPr>
            <w:tcW w:w="1140" w:type="dxa"/>
            <w:vAlign w:val="bottom"/>
            <w:gridSpan w:val="2"/>
            <w:shd w:val="clear" w:color="auto" w:fill="CCEEFF"/>
          </w:tcPr>
          <w:p>
            <w:pPr>
              <w:jc w:val="right"/>
              <w:ind w:right="685"/>
              <w:spacing w:after="0" w:line="17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6,542</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4,794</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4,900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5,585</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2,018</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1,899</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gridSpan w:val="2"/>
          </w:tcPr>
          <w:p>
            <w:pPr>
              <w:jc w:val="right"/>
              <w:ind w:right="48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Other development and pre-development candidate expenses</w:t>
            </w: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unallocated expenses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Internal research and development expenses</w:t>
            </w:r>
          </w:p>
        </w:tc>
        <w:tc>
          <w:tcPr>
            <w:tcW w:w="2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10,161</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5,973</w:t>
            </w: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4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49,954</w:t>
            </w:r>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85"/>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3"/>
              </w:rPr>
              <w:t>28,487</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program management and drug product and drug substance manufacturing expenses for current and future clinical trials. In addition, we expect that our research and development expenses will increase in future periods as we incur additional costs in connection with research and development activities under our collaboration with Roche and development activities for companion diagnostic tests, including our companion diagnostic tests for avapritinib in order to identify GIST patients with the PDGFRα D842V mutation, BLU</w:t>
      </w:r>
      <w:r>
        <w:rPr>
          <w:rFonts w:ascii="MS PGothic" w:cs="MS PGothic" w:eastAsia="MS PGothic" w:hAnsi="MS PGothic"/>
          <w:sz w:val="17"/>
          <w:szCs w:val="17"/>
          <w:color w:val="auto"/>
        </w:rPr>
        <w:t>‑</w:t>
      </w:r>
      <w:r>
        <w:rPr>
          <w:rFonts w:ascii="Arial" w:cs="Arial" w:eastAsia="Arial" w:hAnsi="Arial"/>
          <w:sz w:val="17"/>
          <w:szCs w:val="17"/>
          <w:color w:val="auto"/>
        </w:rPr>
        <w:t>554 in order to identify HCC patients with FGFR4 pathway activation and BLU-667 in order to identify NSCLC patients with RET fusions.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39" w:firstLine="648"/>
        <w:spacing w:after="0" w:line="187" w:lineRule="exact"/>
        <w:rPr>
          <w:sz w:val="20"/>
          <w:szCs w:val="20"/>
          <w:color w:val="auto"/>
        </w:rPr>
      </w:pPr>
      <w:r>
        <w:rPr>
          <w:rFonts w:ascii="Arial" w:cs="Arial" w:eastAsia="Arial" w:hAnsi="Arial"/>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61"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and establishing a sales, marketing and distribution infrastructure to commercialize any medicines for which we may obtain marketing approval.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79"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2017. Other than as described below, there have been no significant changes to our critical accounting policies since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20" w:firstLine="693"/>
        <w:spacing w:after="0" w:line="232" w:lineRule="auto"/>
        <w:rPr>
          <w:sz w:val="20"/>
          <w:szCs w:val="20"/>
          <w:color w:val="auto"/>
        </w:rPr>
      </w:pPr>
      <w:r>
        <w:rPr>
          <w:rFonts w:ascii="Arial" w:cs="Arial" w:eastAsia="Arial" w:hAnsi="Arial"/>
          <w:sz w:val="16"/>
          <w:szCs w:val="16"/>
          <w:color w:val="auto"/>
        </w:rPr>
        <w:t xml:space="preserve">Effective January 1, 2018, we adopted Accounting Standards Codification, or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we refer to as ASC 606, using the modified retrospective transition method.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only applied the modified retrospective transition method to contracts that were not completed as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We enter into licensing agreements that are within the scope of ASC 606, under which we may exclusively license rights to research, develop, manufacture and commercialize our product candidates to third parties. The terms of these arrangements typically include payment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our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w:t>
      </w:r>
    </w:p>
    <w:p>
      <w:pPr>
        <w:ind w:firstLine="3"/>
        <w:spacing w:after="0" w:line="212"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above; and (c) the stand-alone selling price for each performance obligation identified in the contract for the allocation of transaction price in step (iv) above. We use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w:t>
      </w:r>
    </w:p>
    <w:p>
      <w:pPr>
        <w:spacing w:after="0" w:line="164"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revenue in the accompanying consolidated balance sheets. Amounts not expected to be recognized as revenue within the 12 months following the balance sheet date are classified as deferred revenue, net of current portion.</w:t>
      </w:r>
    </w:p>
    <w:p>
      <w:pPr>
        <w:spacing w:after="0" w:line="147"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i w:val="1"/>
          <w:iCs w:val="1"/>
          <w:color w:val="auto"/>
        </w:rPr>
        <w:t xml:space="preserve">Exclusive Licenses. </w:t>
      </w:r>
      <w:r>
        <w:rPr>
          <w:rFonts w:ascii="Arial" w:cs="Arial" w:eastAsia="Arial" w:hAnsi="Arial"/>
          <w:sz w:val="17"/>
          <w:szCs w:val="17"/>
          <w:color w:val="auto"/>
        </w:rPr>
        <w:t>If the license to our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7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Research and Development Services. </w:t>
      </w:r>
      <w:r>
        <w:rPr>
          <w:rFonts w:ascii="Arial" w:cs="Arial" w:eastAsia="Arial" w:hAnsi="Arial"/>
          <w:sz w:val="17"/>
          <w:szCs w:val="17"/>
          <w:color w:val="auto"/>
        </w:rPr>
        <w:t>The promises under our collaboration agreements may include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services to be performed by our employees on behalf of the partner. Payments or reimbursements resulting from our research and development efforts are recognized as the services are performed and presented on a gross basis because we are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right="140" w:firstLine="648"/>
        <w:spacing w:after="0" w:line="221"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a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2018 and 2017</w:t>
      </w:r>
    </w:p>
    <w:p>
      <w:pPr>
        <w:spacing w:after="0" w:line="185"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March 31, 2018 and 2017,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5,840</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(4,886)</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49,954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28,487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21,467</w:t>
            </w:r>
          </w:p>
        </w:tc>
        <w:tc>
          <w:tcPr>
            <w:tcW w:w="22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9,911</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5,683</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4,228</w:t>
            </w: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59,865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34,170</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25,695</w:t>
            </w:r>
          </w:p>
        </w:tc>
        <w:tc>
          <w:tcPr>
            <w:tcW w:w="2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1,969</w:t>
            </w:r>
          </w:p>
        </w:tc>
        <w:tc>
          <w:tcPr>
            <w:tcW w:w="22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other income (expense)</w:t>
            </w:r>
          </w:p>
        </w:tc>
        <w:tc>
          <w:tcPr>
            <w:tcW w:w="14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2,362</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353</w:t>
            </w: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2,009</w:t>
            </w: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569</w:t>
            </w: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w w:val="92"/>
              </w:rPr>
              <w:t>(56,549)</w:t>
            </w:r>
          </w:p>
        </w:tc>
        <w:tc>
          <w:tcPr>
            <w:tcW w:w="220" w:type="dxa"/>
            <w:vAlign w:val="bottom"/>
          </w:tcPr>
          <w:p>
            <w:pPr>
              <w:spacing w:after="0"/>
              <w:rPr>
                <w:sz w:val="14"/>
                <w:szCs w:val="14"/>
                <w:color w:val="auto"/>
              </w:rPr>
            </w:pPr>
          </w:p>
        </w:tc>
        <w:tc>
          <w:tcPr>
            <w:tcW w:w="100" w:type="dxa"/>
            <w:vAlign w:val="bottom"/>
          </w:tcPr>
          <w:p>
            <w:pPr>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70" w:lineRule="exact"/>
              <w:rPr>
                <w:sz w:val="20"/>
                <w:szCs w:val="20"/>
                <w:color w:val="auto"/>
              </w:rPr>
            </w:pPr>
            <w:r>
              <w:rPr>
                <w:rFonts w:ascii="Arial" w:cs="Arial" w:eastAsia="Arial" w:hAnsi="Arial"/>
                <w:sz w:val="18"/>
                <w:szCs w:val="18"/>
                <w:color w:val="auto"/>
                <w:w w:val="92"/>
              </w:rPr>
              <w:t>(27,977)</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(28,572)</w:t>
            </w:r>
          </w:p>
        </w:tc>
        <w:tc>
          <w:tcPr>
            <w:tcW w:w="22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(102)</w:t>
            </w:r>
          </w:p>
        </w:tc>
        <w:tc>
          <w:tcPr>
            <w:tcW w:w="140" w:type="dxa"/>
            <w:vAlign w:val="bottom"/>
          </w:tcPr>
          <w:p>
            <w:pPr>
              <w:jc w:val="right"/>
              <w:spacing w:after="0" w:line="17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Collaboration revenue decreased by $4.9 million from $5.8 million for the three months ended March 31, 2017 to $0.9 million for the three months ended March 31, 2018. Collaboration revenue for the three months ended March 31, 2017 was related to the Alexion and Roche agreements. We recorded collaboration revenue of $4.4 million under the Alexion agreement for the three months ended March 31, 2017. As a result of the termination of the Alexion agreement during 2017, we did not recognize any revenue under the Alexion agreement during the three months ended March 31, 2018. We recorded collaboration revenue of $0.9 million and $1.4 million under the Roche agreement for the three months ended March 31, 2018 and March 31, 2017, respectively. We adopted ASC 606 effective January 1, 2018 under the modified retrospective transition method, which impacts the year-over-year comparability of our collaboration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ind w:right="440" w:firstLine="648"/>
        <w:spacing w:after="0" w:line="224" w:lineRule="auto"/>
        <w:rPr>
          <w:sz w:val="20"/>
          <w:szCs w:val="20"/>
          <w:color w:val="auto"/>
        </w:rPr>
      </w:pPr>
      <w:r>
        <w:rPr>
          <w:rFonts w:ascii="Arial" w:cs="Arial" w:eastAsia="Arial" w:hAnsi="Arial"/>
          <w:sz w:val="18"/>
          <w:szCs w:val="18"/>
          <w:color w:val="auto"/>
        </w:rPr>
        <w:t>Research and development expense increased by $21.5 million from $28.5 million for the three months ended March 31, 2017 to $50.0 million for the three months ended March 31, 2018. The increase in research and development expense was primarily related to the following:</w:t>
      </w:r>
    </w:p>
    <w:p>
      <w:pPr>
        <w:spacing w:after="0" w:line="163" w:lineRule="exact"/>
        <w:rPr>
          <w:sz w:val="20"/>
          <w:szCs w:val="20"/>
          <w:color w:val="auto"/>
        </w:rPr>
      </w:pPr>
    </w:p>
    <w:p>
      <w:pPr>
        <w:ind w:left="1300" w:right="240" w:hanging="325"/>
        <w:spacing w:after="0" w:line="203" w:lineRule="exact"/>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approximately $8.8 million in increased expenses for external clinical activities as we advanced our lead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BLU-667, further through clinical trials;</w:t>
      </w:r>
    </w:p>
    <w:p>
      <w:pPr>
        <w:spacing w:after="0" w:line="161" w:lineRule="exact"/>
        <w:rPr>
          <w:rFonts w:ascii="Arial" w:cs="Arial" w:eastAsia="Arial" w:hAnsi="Arial"/>
          <w:sz w:val="17"/>
          <w:szCs w:val="17"/>
          <w:color w:val="auto"/>
        </w:rPr>
      </w:pPr>
    </w:p>
    <w:p>
      <w:pPr>
        <w:ind w:left="1300" w:right="20" w:hanging="325"/>
        <w:spacing w:after="0" w:line="22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$6.9 million in increased personnel expense, including an increase of $1.9 million in stock-based compensation expense, primarily due to a 34% increase in headcount driven by growth in the clinical and manufacturing organizations; and</w:t>
      </w:r>
    </w:p>
    <w:p>
      <w:pPr>
        <w:spacing w:after="0" w:line="163"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$3.3 million in increased expenses associated with clinical and commercial manufacturing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General and administrative expense increased by $4.2 million from $5.7 million for the three months ended March 31, 2017 to $9.9 million for the three months ended March 31, 2018. The increase in general and administrative expense was primarily related to the following: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40" w:hanging="325"/>
        <w:spacing w:after="0" w:line="22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$2.3 million in increased personnel expenses, including an increase in stock-based compensation expense of $1.4 million, due to an increase of 44% in general and administrative headcount to support our overall growth as a publicly traded company; and</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approximately $1.1 million in increased professional fees, including pre-commercial planning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right="280" w:firstLine="648"/>
        <w:spacing w:after="0" w:line="232" w:lineRule="auto"/>
        <w:rPr>
          <w:sz w:val="20"/>
          <w:szCs w:val="20"/>
          <w:color w:val="auto"/>
        </w:rPr>
      </w:pPr>
      <w:r>
        <w:rPr>
          <w:rFonts w:ascii="Arial" w:cs="Arial" w:eastAsia="Arial" w:hAnsi="Arial"/>
          <w:sz w:val="17"/>
          <w:szCs w:val="17"/>
          <w:color w:val="auto"/>
        </w:rPr>
        <w:t>Other income (expense), net, increased by $2.0 million from $0.4 million of income for the three months ended March 31, 2017 to $2.4 million of income for the three months ended March 31, 2018. The increase in other income (expense), net, was primarily related to an increase in investment income due to higher average investment balances and a higher rate of return on investments during the three months ended March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three months ended March 31, 2017 to less than $0.1 million for the three months ended March 31, 2018. The decrease was primarily related to a decrease in the average outstanding principle balance under the loan and security agreement with Silicon Valley Bank for the three months ended March 31, 2018. We expect that interest expense will continue to decrease in subsequent periods as the principal amount under the loan decreases.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March 31, 2018, we have received an aggregate of $1.1 billion from such transactions, including $887.4</w:t>
      </w:r>
    </w:p>
    <w:p>
      <w:pPr>
        <w:spacing w:after="0"/>
        <w:rPr>
          <w:sz w:val="20"/>
          <w:szCs w:val="20"/>
          <w:color w:val="auto"/>
        </w:rPr>
      </w:pPr>
      <w:r>
        <w:rPr>
          <w:rFonts w:ascii="Arial" w:cs="Arial" w:eastAsia="Arial" w:hAnsi="Arial"/>
          <w:sz w:val="16"/>
          <w:szCs w:val="16"/>
          <w:color w:val="auto"/>
        </w:rPr>
        <w:t>million in aggregate gross proceeds from the sale of common stock in our May 2015 IPO and December 2016, April 2017</w:t>
      </w:r>
    </w:p>
    <w:p>
      <w:pPr>
        <w:spacing w:after="0" w:line="229" w:lineRule="auto"/>
        <w:rPr>
          <w:sz w:val="20"/>
          <w:szCs w:val="20"/>
          <w:color w:val="auto"/>
        </w:rPr>
      </w:pPr>
      <w:r>
        <w:rPr>
          <w:rFonts w:ascii="Arial" w:cs="Arial" w:eastAsia="Arial" w:hAnsi="Arial"/>
          <w:sz w:val="16"/>
          <w:szCs w:val="16"/>
          <w:color w:val="auto"/>
        </w:rPr>
        <w:t>and December 2017 follow-on public offerings, $115.1 million in gross proceeds from the issuance of convertible preferred</w:t>
      </w:r>
    </w:p>
    <w:p>
      <w:pPr>
        <w:spacing w:after="0" w:line="215" w:lineRule="auto"/>
        <w:rPr>
          <w:sz w:val="20"/>
          <w:szCs w:val="20"/>
          <w:color w:val="auto"/>
        </w:rPr>
      </w:pPr>
      <w:r>
        <w:rPr>
          <w:rFonts w:ascii="Arial" w:cs="Arial" w:eastAsia="Arial" w:hAnsi="Arial"/>
          <w:sz w:val="17"/>
          <w:szCs w:val="17"/>
          <w:color w:val="auto"/>
        </w:rPr>
        <w:t>stock, $18.8 million of upfront and milestone payments from Alexion, a $45.0 million upfront payment from Roche and</w:t>
      </w:r>
    </w:p>
    <w:p>
      <w:pPr>
        <w:spacing w:after="0" w:line="229" w:lineRule="auto"/>
        <w:rPr>
          <w:sz w:val="20"/>
          <w:szCs w:val="20"/>
          <w:color w:val="auto"/>
        </w:rPr>
      </w:pPr>
      <w:r>
        <w:rPr>
          <w:rFonts w:ascii="Arial" w:cs="Arial" w:eastAsia="Arial" w:hAnsi="Arial"/>
          <w:sz w:val="16"/>
          <w:szCs w:val="16"/>
          <w:color w:val="auto"/>
        </w:rPr>
        <w:t>$10.0 million in gross proceeds from the debt financing. As a result of the termination of the Alexion agreement, which was</w:t>
      </w:r>
    </w:p>
    <w:p>
      <w:pPr>
        <w:spacing w:after="0"/>
        <w:rPr>
          <w:sz w:val="20"/>
          <w:szCs w:val="20"/>
          <w:color w:val="auto"/>
        </w:rPr>
      </w:pPr>
      <w:r>
        <w:rPr>
          <w:rFonts w:ascii="Arial" w:cs="Arial" w:eastAsia="Arial" w:hAnsi="Arial"/>
          <w:sz w:val="18"/>
          <w:szCs w:val="18"/>
          <w:color w:val="auto"/>
        </w:rPr>
        <w:t>effective in October 2017, we will not be entitled to receive payment from Alexion for any additional milestones.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we had cash, cash equivalents and investments of $621.1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operating activities</w:t>
      </w:r>
    </w:p>
    <w:p>
      <w:pPr>
        <w:spacing w:after="0" w:line="7" w:lineRule="exact"/>
        <w:rPr>
          <w:sz w:val="20"/>
          <w:szCs w:val="20"/>
          <w:color w:val="auto"/>
        </w:rPr>
      </w:pPr>
    </w:p>
    <w:p>
      <w:pPr>
        <w:ind w:right="2598"/>
        <w:spacing w:after="0" w:line="247" w:lineRule="auto"/>
        <w:rPr>
          <w:sz w:val="20"/>
          <w:szCs w:val="20"/>
          <w:color w:val="auto"/>
        </w:rPr>
      </w:pPr>
      <w:r>
        <w:rPr>
          <w:rFonts w:ascii="Arial" w:cs="Arial" w:eastAsia="Arial" w:hAnsi="Arial"/>
          <w:sz w:val="16"/>
          <w:szCs w:val="16"/>
          <w:color w:val="auto"/>
        </w:rPr>
        <w:t>Net cash (used in) provided by investing activities 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575437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362"/>
        <w:spacing w:after="0"/>
        <w:rPr>
          <w:sz w:val="20"/>
          <w:szCs w:val="20"/>
          <w:color w:val="auto"/>
        </w:rPr>
      </w:pPr>
      <w:r>
        <w:rPr>
          <w:rFonts w:ascii="Arial" w:cs="Arial" w:eastAsia="Arial" w:hAnsi="Arial"/>
          <w:sz w:val="14"/>
          <w:szCs w:val="14"/>
          <w:b w:val="1"/>
          <w:bCs w:val="1"/>
          <w:color w:val="auto"/>
        </w:rPr>
        <w:t>Three Months Ended</w:t>
      </w:r>
    </w:p>
    <w:p>
      <w:pPr>
        <w:ind w:left="682"/>
        <w:spacing w:after="0" w:line="221" w:lineRule="auto"/>
        <w:rPr>
          <w:sz w:val="20"/>
          <w:szCs w:val="20"/>
          <w:color w:val="auto"/>
        </w:rPr>
      </w:pPr>
      <w:r>
        <w:rPr>
          <w:rFonts w:ascii="Arial" w:cs="Arial" w:eastAsia="Arial" w:hAnsi="Arial"/>
          <w:sz w:val="14"/>
          <w:szCs w:val="14"/>
          <w:b w:val="1"/>
          <w:bCs w:val="1"/>
          <w:color w:val="auto"/>
        </w:rPr>
        <w:t>March 31,</w:t>
      </w:r>
    </w:p>
    <w:p>
      <w:pPr>
        <w:ind w:left="322"/>
        <w:spacing w:after="0" w:line="234" w:lineRule="auto"/>
        <w:tabs>
          <w:tab w:leader="none" w:pos="1441"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2865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22" w:hanging="322"/>
        <w:spacing w:after="0" w:line="219" w:lineRule="auto"/>
        <w:tabs>
          <w:tab w:leader="none" w:pos="3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(49,563)   $  (31,080)</w:t>
      </w:r>
    </w:p>
    <w:p>
      <w:pPr>
        <w:ind w:left="222"/>
        <w:spacing w:after="0"/>
        <w:rPr>
          <w:rFonts w:ascii="Arial" w:cs="Arial" w:eastAsia="Arial" w:hAnsi="Arial"/>
          <w:sz w:val="18"/>
          <w:szCs w:val="18"/>
          <w:color w:val="auto"/>
        </w:rPr>
      </w:pPr>
      <w:r>
        <w:rPr>
          <w:rFonts w:ascii="Arial" w:cs="Arial" w:eastAsia="Arial" w:hAnsi="Arial"/>
          <w:sz w:val="18"/>
          <w:szCs w:val="18"/>
          <w:color w:val="auto"/>
        </w:rPr>
        <w:t>(219,128)</w:t>
      </w:r>
      <w:r>
        <w:rPr>
          <w:rFonts w:ascii="Arial" w:cs="Arial" w:eastAsia="Arial" w:hAnsi="Arial"/>
          <w:sz w:val="16"/>
          <w:szCs w:val="16"/>
          <w:color w:val="auto"/>
        </w:rPr>
        <w:t>35,787</w:t>
      </w:r>
    </w:p>
    <w:p>
      <w:pPr>
        <w:jc w:val="both"/>
        <w:ind w:left="482"/>
        <w:spacing w:after="0" w:line="220" w:lineRule="auto"/>
        <w:tabs>
          <w:tab w:leader="none" w:pos="1621" w:val="left"/>
        </w:tabs>
        <w:rPr>
          <w:sz w:val="20"/>
          <w:szCs w:val="20"/>
          <w:color w:val="auto"/>
        </w:rPr>
      </w:pPr>
      <w:r>
        <w:rPr>
          <w:rFonts w:ascii="Arial" w:cs="Arial" w:eastAsia="Arial" w:hAnsi="Arial"/>
          <w:sz w:val="18"/>
          <w:szCs w:val="18"/>
          <w:color w:val="auto"/>
        </w:rPr>
        <w:t>3,062</w:t>
      </w:r>
      <w:r>
        <w:rPr>
          <w:sz w:val="20"/>
          <w:szCs w:val="20"/>
          <w:color w:val="auto"/>
        </w:rPr>
        <w:tab/>
      </w:r>
      <w:r>
        <w:rPr>
          <w:rFonts w:ascii="Arial" w:cs="Arial" w:eastAsia="Arial" w:hAnsi="Arial"/>
          <w:sz w:val="18"/>
          <w:szCs w:val="18"/>
          <w:color w:val="auto"/>
        </w:rPr>
        <w:t>(420)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2865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2"/>
        <w:spacing w:after="0"/>
        <w:tabs>
          <w:tab w:leader="none" w:pos="1161" w:val="left"/>
          <w:tab w:leader="none" w:pos="1541" w:val="left"/>
        </w:tabs>
        <w:rPr>
          <w:sz w:val="20"/>
          <w:szCs w:val="20"/>
          <w:color w:val="auto"/>
        </w:rPr>
      </w:pPr>
      <w:r>
        <w:rPr>
          <w:rFonts w:ascii="Arial" w:cs="Arial" w:eastAsia="Arial" w:hAnsi="Arial"/>
          <w:sz w:val="18"/>
          <w:szCs w:val="18"/>
          <w:u w:val="single" w:color="auto"/>
          <w:color w:val="auto"/>
        </w:rPr>
        <w:t>$  (265,629)</w:t>
        <w:tab/>
        <w:t>$</w:t>
      </w:r>
      <w:r>
        <w:rPr>
          <w:sz w:val="20"/>
          <w:szCs w:val="20"/>
          <w:color w:val="auto"/>
        </w:rPr>
        <w:tab/>
      </w:r>
      <w:r>
        <w:rPr>
          <w:rFonts w:ascii="Arial" w:cs="Arial" w:eastAsia="Arial" w:hAnsi="Arial"/>
          <w:sz w:val="16"/>
          <w:szCs w:val="16"/>
          <w:u w:val="single" w:color="auto"/>
          <w:color w:val="auto"/>
        </w:rPr>
        <w:t>4,287</w:t>
      </w:r>
    </w:p>
    <w:p>
      <w:pPr>
        <w:spacing w:after="0" w:line="196" w:lineRule="exact"/>
        <w:rPr>
          <w:sz w:val="20"/>
          <w:szCs w:val="20"/>
          <w:color w:val="auto"/>
        </w:rPr>
      </w:pPr>
    </w:p>
    <w:p>
      <w:pPr>
        <w:sectPr>
          <w:pgSz w:w="11900" w:h="16838" w:orient="portrait"/>
          <w:cols w:equalWidth="0" w:num="2">
            <w:col w:w="6238" w:space="720"/>
            <w:col w:w="2102"/>
          </w:cols>
          <w:pgMar w:left="1420" w:top="111" w:right="1419" w:bottom="1440" w:gutter="0" w:footer="0" w:header="0"/>
          <w:type w:val="continuous"/>
        </w:sectPr>
      </w:pPr>
    </w:p>
    <w:p>
      <w:pPr>
        <w:jc w:val="both"/>
        <w:ind w:right="280" w:firstLine="648"/>
        <w:spacing w:after="0" w:line="249" w:lineRule="auto"/>
        <w:rPr>
          <w:sz w:val="20"/>
          <w:szCs w:val="20"/>
          <w:color w:val="auto"/>
        </w:rPr>
      </w:pPr>
      <w:r>
        <w:rPr>
          <w:rFonts w:ascii="Arial" w:cs="Arial" w:eastAsia="Arial" w:hAnsi="Arial"/>
          <w:sz w:val="16"/>
          <w:szCs w:val="16"/>
          <w:i w:val="1"/>
          <w:iCs w:val="1"/>
          <w:color w:val="auto"/>
        </w:rPr>
        <w:t>Net Cash Used in Operating Activities</w:t>
      </w:r>
      <w:r>
        <w:rPr>
          <w:rFonts w:ascii="Arial" w:cs="Arial" w:eastAsia="Arial" w:hAnsi="Arial"/>
          <w:sz w:val="16"/>
          <w:szCs w:val="16"/>
          <w:color w:val="auto"/>
        </w:rPr>
        <w:t>. Net cash used in operating activities was $49.6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2018 compared to net cash used in operating activities of $31.1 million during the three months ended March 31, 2017. The increase in net cash used in operating activities was primarily due to an increase in net loss of $28.6 million for the three months ended March 31, 2018 as compared to the three months ended March 31, 2017.</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i w:val="1"/>
          <w:iCs w:val="1"/>
          <w:color w:val="auto"/>
        </w:rPr>
        <w:t>Net Cash Provided by (Used in) Investing Activities</w:t>
      </w:r>
      <w:r>
        <w:rPr>
          <w:rFonts w:ascii="Arial" w:cs="Arial" w:eastAsia="Arial" w:hAnsi="Arial"/>
          <w:sz w:val="17"/>
          <w:szCs w:val="17"/>
          <w:color w:val="auto"/>
        </w:rPr>
        <w:t>. Net cash used in investing activities was $219.1 million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2018 compared to net cash provided by investing activities of $35.8 million during the three months ended March 31, 2017. Net cash used in investing activities for the three months ended March 31, 2018 consisted primarily of purchases of investments, offset by maturities. We classify these investments as available-for-sale and record them at fair value in the accompanying consolidated balance sheets. Net cash used in investing activities during the three months ended March 31, 2018 also consisted of purchases of property and equipment, mainly related to the relocation of our headquarters. Net cash provided by investing activities for the three months ended March 31, 2017 consisted primarily of maturities of investments offset by purchases of investments.</w:t>
      </w:r>
    </w:p>
    <w:p>
      <w:pPr>
        <w:spacing w:after="0" w:line="168"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Net Cash Provided by (Used in) Financing Activities</w:t>
      </w:r>
      <w:r>
        <w:rPr>
          <w:rFonts w:ascii="Arial" w:cs="Arial" w:eastAsia="Arial" w:hAnsi="Arial"/>
          <w:sz w:val="16"/>
          <w:szCs w:val="16"/>
          <w:color w:val="auto"/>
        </w:rPr>
        <w:t>. Net cash provided by financing activities was $3.1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March 31, 2018 compared to net cash used in financing activities of $0.4 million during the three months ended March 31, 2017. Net cash provided by financing activities for the three months ended March 31, 2018 was primarily due to $3.6 million in in proceeds from the issuance of common stock, partially offset by $0.4 million of principal payments on the term loan payable. Net cash used in financing activities for the three months ended March 31, 2017 was primarily due to principal payments on the term loan payable offset by net proceeds from the issuance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Through March 31, 2018, we have made principal payments of $8.9 million on the $10.0 million of advances. We are required to pay a fee of 4% of the total loan advances at the end of the term of the loan. There are no financial covenants associated with the loan and security agreement. As of March 31, 2018, we had $1.1 million in outstanding principal under the loan and security agreement.</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long-term liabilities based on scheduled principal payments.</w:t>
      </w:r>
    </w:p>
    <w:p>
      <w:pPr>
        <w:spacing w:after="0" w:line="15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See Note 7, “Term Loan,” in the accompanying notes to our unaudited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As of March 31, 2018, we had cash, cash equivalents and investments of $621.1 million. Based on our current plans, we believe our existing cash, cash equivalents and investments, excluding any potential option fees and milestone payments under our existing collaboration with Roche, will be sufficient to enable us to fund our operating expenses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capital expenditure requirements into the middle of 2020. Our future capital requirements will depend on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9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17" w:lineRule="exact"/>
        <w:rPr>
          <w:rFonts w:ascii="Arial" w:cs="Arial" w:eastAsia="Arial" w:hAnsi="Arial"/>
          <w:sz w:val="18"/>
          <w:szCs w:val="18"/>
          <w:color w:val="auto"/>
        </w:rPr>
      </w:pPr>
    </w:p>
    <w:p>
      <w:pPr>
        <w:ind w:left="1300" w:right="40" w:hanging="325"/>
        <w:spacing w:after="0" w:line="189" w:lineRule="exact"/>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300" w:right="160" w:hanging="325"/>
        <w:spacing w:after="0" w:line="289"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 with Roche or any collaboration agreements that we may enter into in the future;</w:t>
      </w:r>
    </w:p>
    <w:p>
      <w:pPr>
        <w:spacing w:after="0" w:line="56" w:lineRule="exact"/>
        <w:rPr>
          <w:rFonts w:ascii="Arial" w:cs="Arial" w:eastAsia="Arial" w:hAnsi="Arial"/>
          <w:sz w:val="16"/>
          <w:szCs w:val="16"/>
          <w:color w:val="auto"/>
        </w:rPr>
      </w:pPr>
    </w:p>
    <w:p>
      <w:pPr>
        <w:ind w:left="1300" w:right="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9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potential funds to be earned under our collaboration with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right="140" w:firstLine="648"/>
        <w:spacing w:after="0" w:line="224" w:lineRule="auto"/>
        <w:rPr>
          <w:sz w:val="20"/>
          <w:szCs w:val="20"/>
          <w:color w:val="auto"/>
        </w:rPr>
      </w:pPr>
      <w:r>
        <w:rPr>
          <w:rFonts w:ascii="Arial" w:cs="Arial" w:eastAsia="Arial" w:hAnsi="Arial"/>
          <w:sz w:val="18"/>
          <w:szCs w:val="18"/>
          <w:color w:val="auto"/>
        </w:rPr>
        <w:t>As of March 31, 2018, there have been no material changes to our contractual obligations and commitments from those described under “Management’s Discussion and Analysis of Financial Condition and Results of Operations” included in the Annual Report on Form 10-K for the year ended December 31, 2017.</w:t>
      </w:r>
    </w:p>
    <w:p>
      <w:pPr>
        <w:spacing w:after="0" w:line="159"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As of March 31, 2018, we had cash, cash equivalents and investments of $621.1 million, consisting primarily of money market funds and investments in U.S. treasury obligations and U.S government agency securities.</w:t>
      </w:r>
    </w:p>
    <w:p>
      <w:pPr>
        <w:spacing w:after="0" w:line="12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primary exposure to market risk is interest rate sensitivity, which is affected by changes in the general level of U.S. interest rates, particularly because our investments are in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5"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2018 and December 31, 2017, we had minimal liabilities denominated in foreign currencies.</w:t>
      </w:r>
    </w:p>
    <w:p>
      <w:pPr>
        <w:spacing w:after="0" w:line="162"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2018 and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March 31, 2018. Based upon such evaluation, our Chief Executive Officer and Vice President of Finance have concluded that, as of March 31, 2018,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During the quarter ended March 31, 2018, we implemented certain internal controls in connection with our adoption of ASC 606. There were no other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w:t>
      </w:r>
    </w:p>
    <w:p>
      <w:pPr>
        <w:spacing w:after="0" w:line="165"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We are currently evaluating avapritinib in an ongoing Phase 1 clinical trial for defined subsets of patients with gastrointestinal stromal tumors, or GIST, which we refer to as our NAVIGATOR trial, avapritinib in an ongoing Phase 1 clinical trial for advanced systemic mastocytosis, or SM, which we refer to as our EXPLORER trial, BLU</w:t>
      </w:r>
      <w:r>
        <w:rPr>
          <w:rFonts w:ascii="MS PGothic" w:cs="MS PGothic" w:eastAsia="MS PGothic" w:hAnsi="MS PGothic"/>
          <w:sz w:val="18"/>
          <w:szCs w:val="18"/>
          <w:color w:val="auto"/>
        </w:rPr>
        <w:t>‑</w:t>
      </w:r>
      <w:r>
        <w:rPr>
          <w:rFonts w:ascii="Arial" w:cs="Arial" w:eastAsia="Arial" w:hAnsi="Arial"/>
          <w:sz w:val="18"/>
          <w:szCs w:val="18"/>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 which we refer to as our ARROW trial.</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Medicines Agency granted orphan drug designation to avapritinib for the treatment of GIST. In April 2018, the FDA granted orphan drug designation to BLU-667 for the treatment of RET-rearranged NSCLC, JAK1/2-positive NSCLC or TRKC-positive NSCLC. We have never generated any revenue from drug sales. We have not obtained regulatory approvals for any of our drug candidates.</w:t>
      </w:r>
    </w:p>
    <w:p>
      <w:pPr>
        <w:spacing w:after="0" w:line="167"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inception, we have focused substantially all of our efforts and financial resources on organizing and staffing</w:t>
      </w:r>
    </w:p>
    <w:p>
      <w:pPr>
        <w:spacing w:after="0" w:line="224" w:lineRule="auto"/>
        <w:rPr>
          <w:sz w:val="20"/>
          <w:szCs w:val="20"/>
          <w:color w:val="auto"/>
        </w:rPr>
      </w:pPr>
      <w:r>
        <w:rPr>
          <w:rFonts w:ascii="Arial" w:cs="Arial" w:eastAsia="Arial" w:hAnsi="Arial"/>
          <w:sz w:val="17"/>
          <w:szCs w:val="17"/>
          <w:color w:val="auto"/>
        </w:rPr>
        <w:t>our company, business planning, raising capital, establishing our intellectual property, building our discovery platform,</w:t>
      </w:r>
    </w:p>
    <w:p>
      <w:pPr>
        <w:spacing w:after="0" w:line="229" w:lineRule="auto"/>
        <w:rPr>
          <w:sz w:val="20"/>
          <w:szCs w:val="20"/>
          <w:color w:val="auto"/>
        </w:rPr>
      </w:pPr>
      <w:r>
        <w:rPr>
          <w:rFonts w:ascii="Arial" w:cs="Arial" w:eastAsia="Arial" w:hAnsi="Arial"/>
          <w:sz w:val="16"/>
          <w:szCs w:val="16"/>
          <w:color w:val="auto"/>
        </w:rPr>
        <w:t>including our proprietary compound library and new target discovery engine, identifying kinase drug targets and potential</w:t>
      </w:r>
    </w:p>
    <w:p>
      <w:pPr>
        <w:spacing w:after="0" w:line="216" w:lineRule="auto"/>
        <w:rPr>
          <w:sz w:val="20"/>
          <w:szCs w:val="20"/>
          <w:color w:val="auto"/>
        </w:rPr>
      </w:pPr>
      <w:r>
        <w:rPr>
          <w:rFonts w:ascii="Arial" w:cs="Arial" w:eastAsia="Arial" w:hAnsi="Arial"/>
          <w:sz w:val="17"/>
          <w:szCs w:val="17"/>
          <w:color w:val="auto"/>
        </w:rPr>
        <w:t>drug candidates, producing drug substance and drug product material for use in pre-clinical studies and clinical trials,</w:t>
      </w:r>
    </w:p>
    <w:p>
      <w:pPr>
        <w:spacing w:after="0" w:line="216" w:lineRule="auto"/>
        <w:rPr>
          <w:sz w:val="20"/>
          <w:szCs w:val="20"/>
          <w:color w:val="auto"/>
        </w:rPr>
      </w:pPr>
      <w:r>
        <w:rPr>
          <w:rFonts w:ascii="Arial" w:cs="Arial" w:eastAsia="Arial" w:hAnsi="Arial"/>
          <w:sz w:val="17"/>
          <w:szCs w:val="17"/>
          <w:color w:val="auto"/>
        </w:rPr>
        <w:t>conducting pre-clinical studies and commencing clinical development and pre-commercial activities. To date, we have</w:t>
      </w:r>
    </w:p>
    <w:p>
      <w:pPr>
        <w:spacing w:after="0" w:line="215" w:lineRule="auto"/>
        <w:rPr>
          <w:sz w:val="20"/>
          <w:szCs w:val="20"/>
          <w:color w:val="auto"/>
        </w:rPr>
      </w:pPr>
      <w:r>
        <w:rPr>
          <w:rFonts w:ascii="Arial" w:cs="Arial" w:eastAsia="Arial" w:hAnsi="Arial"/>
          <w:sz w:val="17"/>
          <w:szCs w:val="17"/>
          <w:color w:val="auto"/>
        </w:rPr>
        <w:t>financed our operations primarily through public offerings of our common stock, private placements of our convertible</w:t>
      </w:r>
    </w:p>
    <w:p>
      <w:pPr>
        <w:spacing w:after="0" w:line="229" w:lineRule="auto"/>
        <w:rPr>
          <w:sz w:val="20"/>
          <w:szCs w:val="20"/>
          <w:color w:val="auto"/>
        </w:rPr>
      </w:pPr>
      <w:r>
        <w:rPr>
          <w:rFonts w:ascii="Arial" w:cs="Arial" w:eastAsia="Arial" w:hAnsi="Arial"/>
          <w:sz w:val="16"/>
          <w:szCs w:val="16"/>
          <w:color w:val="auto"/>
        </w:rPr>
        <w:t>preferred stock, collaborations and a debt financing. Through March 31, 2018, we have received an aggregate of $1.1 billion</w:t>
      </w:r>
    </w:p>
    <w:p>
      <w:pPr>
        <w:spacing w:after="0" w:line="216" w:lineRule="auto"/>
        <w:rPr>
          <w:sz w:val="20"/>
          <w:szCs w:val="20"/>
          <w:color w:val="auto"/>
        </w:rPr>
      </w:pPr>
      <w:r>
        <w:rPr>
          <w:rFonts w:ascii="Arial" w:cs="Arial" w:eastAsia="Arial" w:hAnsi="Arial"/>
          <w:sz w:val="17"/>
          <w:szCs w:val="17"/>
          <w:color w:val="auto"/>
        </w:rPr>
        <w:t>from such transactions, including $887.4 million in aggregate gross proceeds from the sale of common stock in our May</w:t>
      </w:r>
    </w:p>
    <w:p>
      <w:pPr>
        <w:spacing w:after="0" w:line="176" w:lineRule="exact"/>
        <w:rPr>
          <w:sz w:val="20"/>
          <w:szCs w:val="20"/>
          <w:color w:val="auto"/>
        </w:rPr>
      </w:pPr>
      <w:r>
        <w:rPr>
          <w:rFonts w:ascii="Arial" w:cs="Arial" w:eastAsia="Arial" w:hAnsi="Arial"/>
          <w:sz w:val="17"/>
          <w:szCs w:val="17"/>
          <w:color w:val="auto"/>
        </w:rPr>
        <w:t>2015 initial public offering, or IPO, and December 2016, April 2017 and December 2017 follow</w:t>
      </w:r>
      <w:r>
        <w:rPr>
          <w:rFonts w:ascii="MS PGothic" w:cs="MS PGothic" w:eastAsia="MS PGothic" w:hAnsi="MS PGothic"/>
          <w:sz w:val="17"/>
          <w:szCs w:val="17"/>
          <w:color w:val="auto"/>
        </w:rPr>
        <w:t>‑</w:t>
      </w:r>
      <w:r>
        <w:rPr>
          <w:rFonts w:ascii="Arial" w:cs="Arial" w:eastAsia="Arial" w:hAnsi="Arial"/>
          <w:sz w:val="17"/>
          <w:szCs w:val="17"/>
          <w:color w:val="auto"/>
        </w:rPr>
        <w:t>on public offerings,</w:t>
      </w:r>
    </w:p>
    <w:p>
      <w:pPr>
        <w:spacing w:after="0" w:line="216" w:lineRule="auto"/>
        <w:rPr>
          <w:sz w:val="20"/>
          <w:szCs w:val="20"/>
          <w:color w:val="auto"/>
        </w:rPr>
      </w:pPr>
      <w:r>
        <w:rPr>
          <w:rFonts w:ascii="Arial" w:cs="Arial" w:eastAsia="Arial" w:hAnsi="Arial"/>
          <w:sz w:val="17"/>
          <w:szCs w:val="17"/>
          <w:color w:val="auto"/>
        </w:rPr>
        <w:t>$115.1 million in gross proceeds from the issuance of convertible preferred stock, $18.8 million of upfront and milestone</w:t>
      </w:r>
    </w:p>
    <w:p>
      <w:pPr>
        <w:spacing w:after="0" w:line="229" w:lineRule="auto"/>
        <w:rPr>
          <w:sz w:val="20"/>
          <w:szCs w:val="20"/>
          <w:color w:val="auto"/>
        </w:rPr>
      </w:pPr>
      <w:r>
        <w:rPr>
          <w:rFonts w:ascii="Arial" w:cs="Arial" w:eastAsia="Arial" w:hAnsi="Arial"/>
          <w:sz w:val="16"/>
          <w:szCs w:val="16"/>
          <w:color w:val="auto"/>
        </w:rPr>
        <w:t>payments under our former collaboration with Alexion Pharma Holding, or Alexion, a $45.0 million upfront payment under</w:t>
      </w:r>
    </w:p>
    <w:p>
      <w:pPr>
        <w:spacing w:after="0" w:line="215" w:lineRule="auto"/>
        <w:rPr>
          <w:sz w:val="20"/>
          <w:szCs w:val="20"/>
          <w:color w:val="auto"/>
        </w:rPr>
      </w:pPr>
      <w:r>
        <w:rPr>
          <w:rFonts w:ascii="Arial" w:cs="Arial" w:eastAsia="Arial" w:hAnsi="Arial"/>
          <w:sz w:val="17"/>
          <w:szCs w:val="17"/>
          <w:color w:val="auto"/>
        </w:rPr>
        <w:t>our existing collaboration with F. Hoffmann-La Roche Ltd and Hoffmann-La Roche Inc., which we refer to collectively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Roche, and $10.0 million in gross proceeds from the debt financing.</w:t>
      </w:r>
    </w:p>
    <w:p>
      <w:pPr>
        <w:spacing w:after="0" w:line="169" w:lineRule="exact"/>
        <w:rPr>
          <w:sz w:val="20"/>
          <w:szCs w:val="20"/>
          <w:color w:val="auto"/>
        </w:rPr>
      </w:pPr>
    </w:p>
    <w:p>
      <w:pPr>
        <w:ind w:right="39" w:firstLine="648"/>
        <w:spacing w:after="0" w:line="179" w:lineRule="exact"/>
        <w:rPr>
          <w:sz w:val="20"/>
          <w:szCs w:val="20"/>
          <w:color w:val="auto"/>
        </w:rPr>
      </w:pPr>
      <w:r>
        <w:rPr>
          <w:rFonts w:ascii="Arial" w:cs="Arial" w:eastAsia="Arial" w:hAnsi="Arial"/>
          <w:sz w:val="16"/>
          <w:szCs w:val="16"/>
          <w:color w:val="auto"/>
        </w:rPr>
        <w:t>Since inception, we have incurred significant operating losses. Our net losses were $56.5 million for the three months ended March 31, 2018 and $148.1 million, $72.5 million and $52.8 million for the years ended December 31, 2017, 2016 and 2015, respectively. As of March 31, 2018, we had an accumulated deficit of $417.5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39" w:firstLine="648"/>
        <w:spacing w:after="0" w:line="187" w:lineRule="exact"/>
        <w:rPr>
          <w:sz w:val="20"/>
          <w:szCs w:val="20"/>
          <w:color w:val="auto"/>
        </w:rPr>
      </w:pPr>
      <w:r>
        <w:rPr>
          <w:rFonts w:ascii="Arial" w:cs="Arial" w:eastAsia="Arial" w:hAnsi="Arial"/>
          <w:sz w:val="18"/>
          <w:szCs w:val="18"/>
          <w:color w:val="auto"/>
        </w:rPr>
        <w:t>To date, we have not generated any revenue from our most advanced drug candidates,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 and we do not expect to generate any revenue from the sale of drugs in the near future. We do not expect to generate significant revenue unless and until we obtain marketing approval of, and begin to sell, avapritinib,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59"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99"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39"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line="184" w:lineRule="exact"/>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99" w:firstLine="648"/>
        <w:spacing w:after="0" w:line="238"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89" w:lineRule="auto"/>
        <w:rPr>
          <w:sz w:val="20"/>
          <w:szCs w:val="20"/>
          <w:color w:val="auto"/>
        </w:rPr>
      </w:pPr>
      <w:r>
        <w:rPr>
          <w:rFonts w:ascii="Arial" w:cs="Arial" w:eastAsia="Arial" w:hAnsi="Arial"/>
          <w:sz w:val="16"/>
          <w:szCs w:val="16"/>
          <w:color w:val="auto"/>
        </w:rPr>
        <w:t>successful. We may not achieve profitability soon after generating drug sales, if ever. If we are unable to generate drug revenue, we will not become profitable and may be unable to continue operations without continued funding.</w:t>
      </w:r>
    </w:p>
    <w:p>
      <w:pPr>
        <w:spacing w:after="0" w:line="12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development of pharmaceuticals is capital</w:t>
      </w:r>
      <w:r>
        <w:rPr>
          <w:rFonts w:ascii="MS PGothic" w:cs="MS PGothic" w:eastAsia="MS PGothic" w:hAnsi="MS PGothic"/>
          <w:sz w:val="16"/>
          <w:szCs w:val="16"/>
          <w:color w:val="auto"/>
        </w:rPr>
        <w:t>‑</w:t>
      </w:r>
      <w:r>
        <w:rPr>
          <w:rFonts w:ascii="Arial" w:cs="Arial" w:eastAsia="Arial" w:hAnsi="Arial"/>
          <w:sz w:val="16"/>
          <w:szCs w:val="16"/>
          <w:color w:val="auto"/>
        </w:rPr>
        <w:t>intensive. We are currently advancing our most advanced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6"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As of March 31, 2018, we had cash, cash equivalents and investments of $621.1 million. Based on our current plans, we believe our existing cash, cash equivalents and investments, excluding any potential option fees and milestone payments under our existing collaboration with Roche, will be sufficient to enable us to fund our operating expenses and capital expenditure requirements into the middle of 2020. Our future capital requirements will depend on and could increase significantly as a result of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 with Roche;</w:t>
      </w:r>
    </w:p>
    <w:p>
      <w:pPr>
        <w:spacing w:after="0" w:line="184"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60" w:hanging="325"/>
        <w:spacing w:after="0" w:line="289"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 with Roche or any collaboration agreements that we may enter into in the future;</w:t>
      </w:r>
    </w:p>
    <w:p>
      <w:pPr>
        <w:spacing w:after="0" w:line="124" w:lineRule="exact"/>
        <w:rPr>
          <w:rFonts w:ascii="Arial" w:cs="Arial" w:eastAsia="Arial" w:hAnsi="Arial"/>
          <w:sz w:val="16"/>
          <w:szCs w:val="16"/>
          <w:color w:val="auto"/>
        </w:rPr>
      </w:pPr>
    </w:p>
    <w:p>
      <w:pPr>
        <w:ind w:left="1300" w:right="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Roche,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very early in our development efforts with only three drug candidates in clinical development: avapritinib,</w:t>
      </w:r>
    </w:p>
    <w:p>
      <w:pPr>
        <w:spacing w:after="0" w:line="8" w:lineRule="exact"/>
        <w:rPr>
          <w:sz w:val="20"/>
          <w:szCs w:val="20"/>
          <w:color w:val="auto"/>
        </w:rPr>
      </w:pPr>
    </w:p>
    <w:p>
      <w:pPr>
        <w:ind w:right="100"/>
        <w:spacing w:after="0" w:line="185" w:lineRule="exact"/>
        <w:rPr>
          <w:sz w:val="20"/>
          <w:szCs w:val="20"/>
          <w:color w:val="auto"/>
        </w:rPr>
      </w:pPr>
      <w:r>
        <w:rPr>
          <w:rFonts w:ascii="Arial" w:cs="Arial" w:eastAsia="Arial" w:hAnsi="Arial"/>
          <w:sz w:val="15"/>
          <w:szCs w:val="15"/>
          <w:b w:val="1"/>
          <w:bCs w:val="1"/>
          <w:i w:val="1"/>
          <w:iCs w:val="1"/>
          <w:color w:val="auto"/>
        </w:rPr>
        <w:t>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554 and 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667.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64"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very early in our development efforts with only three drug candidates in clinical development: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PDGFRα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63" w:lineRule="exact"/>
        <w:rPr>
          <w:sz w:val="20"/>
          <w:szCs w:val="20"/>
          <w:color w:val="auto"/>
        </w:rPr>
      </w:pPr>
    </w:p>
    <w:p>
      <w:pPr>
        <w:ind w:left="1300" w:right="140" w:hanging="325"/>
        <w:spacing w:after="0" w:line="203" w:lineRule="exact"/>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Phase 1 clinical trials for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140" w:hanging="325"/>
        <w:spacing w:after="0" w:line="232"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 development of any companion diagnostic tests for use with our drug candidates, including the development of a companion diagnostic test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are in clinical development, and all of our other drug candidates, including BLU-782,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15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We are currently evaluating avapritinib in an ongoing Phase 1 clinical trial for defined subsets of patients with GIST, which we refer to as our NAVIGATOR trial, avapritinib in an ongoing Phase 1 clinical trial for advanced SM, which we refer to as our EXPLORER trial, BLU</w:t>
      </w:r>
      <w:r>
        <w:rPr>
          <w:rFonts w:ascii="MS PGothic" w:cs="MS PGothic" w:eastAsia="MS PGothic" w:hAnsi="MS PGothic"/>
          <w:sz w:val="16"/>
          <w:szCs w:val="16"/>
          <w:color w:val="auto"/>
        </w:rPr>
        <w:t>‑</w:t>
      </w:r>
      <w:r>
        <w:rPr>
          <w:rFonts w:ascii="Arial" w:cs="Arial" w:eastAsia="Arial" w:hAnsi="Arial"/>
          <w:sz w:val="16"/>
          <w:szCs w:val="16"/>
          <w:color w:val="auto"/>
        </w:rPr>
        <w:t>554 in an ongoing Phase 1 clinical trial in patients with advanced HCC and BLU-667 in an ongoing Phase 1 clinical trial in patients with RET-altered NSCLC, MTC and other advanced solid tumors, which we refer to as our ARROW trial. We plan to initiate a global, randomized Phase 3 clinical trial for avapritinib compared to regorafenib in third-line GIST in the second quarter of 2018, which we refer to as our VOYAGER trial. In addition, we anticipate initiating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advanced SM by the middle of 2018, which we refer to as our PATHFINDER trial, and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indolent SM and smoldering SM by the end of 2018, which we refer to as our PIONEER trial.</w:t>
      </w:r>
    </w:p>
    <w:p>
      <w:pPr>
        <w:spacing w:after="0" w:line="141"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667 and our other drug candidates. We do not know whether any of our clinical trials for our drug candidates will be completed on schedule, if at all.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49" w:lineRule="exact"/>
        <w:rPr>
          <w:sz w:val="20"/>
          <w:szCs w:val="20"/>
          <w:color w:val="auto"/>
        </w:rPr>
      </w:pPr>
    </w:p>
    <w:p>
      <w:pPr>
        <w:ind w:left="1300" w:right="620" w:hanging="325"/>
        <w:spacing w:after="0" w:line="25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jc w:val="both"/>
        <w:ind w:left="1300" w:right="100" w:hanging="325"/>
        <w:spacing w:after="0" w:line="23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47"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clinical trial design and our interpretation of data from clinical trials, or the FDA may change the requirements for approval even after it has reviewed and commented on the design for our clinical trials.</w:t>
      </w:r>
    </w:p>
    <w:p>
      <w:pPr>
        <w:spacing w:after="0" w:line="14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82"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PDGFRα D842V mutation, BLU-554 in order to identify HCC patients with FGFR4 pathway activation and BLU-667 in order to identify NSCLC patients with RET fusions.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12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PDGFRα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BLU-554 and BLU-667. We have not received approval to market any of our drug candidates or related companion diagnostic tests from regulatory authorities in any jurisdiction, and it is possible that none of our current or future drug candidates or related companion diagnostic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20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40" w:hanging="325"/>
        <w:spacing w:after="0" w:line="22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right="20" w:hanging="325"/>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300" w:right="160" w:hanging="325"/>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4" w:lineRule="exact"/>
        <w:rPr>
          <w:rFonts w:ascii="Arial" w:cs="Arial" w:eastAsia="Arial" w:hAnsi="Arial"/>
          <w:sz w:val="16"/>
          <w:szCs w:val="16"/>
          <w:color w:val="auto"/>
        </w:rPr>
      </w:pPr>
    </w:p>
    <w:p>
      <w:pPr>
        <w:ind w:left="1300" w:right="760" w:hanging="325"/>
        <w:spacing w:after="0" w:line="25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4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2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300" w:right="500" w:hanging="325"/>
        <w:spacing w:after="0" w:line="25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0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for the treatment of patients with unresectable or metastatic GIST harboring the PDGFRα D842V mutation,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In June 2017, the FDA granted breakthrough therapy designation to avapritinib for the treatment of patients with unresectable or metastatic GIST harboring the PDGFRα D842V mutation.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9" w:lineRule="exact"/>
        <w:rPr>
          <w:sz w:val="20"/>
          <w:szCs w:val="20"/>
          <w:color w:val="auto"/>
        </w:rPr>
      </w:pPr>
      <w:r>
        <w:rPr>
          <w:rFonts w:ascii="Arial" w:cs="Arial" w:eastAsia="Arial" w:hAnsi="Arial"/>
          <w:sz w:val="18"/>
          <w:szCs w:val="18"/>
          <w:b w:val="1"/>
          <w:bCs w:val="1"/>
          <w:i w:val="1"/>
          <w:iCs w:val="1"/>
          <w:color w:val="auto"/>
        </w:rPr>
        <w:t>While we have received orphan drug designation for our most advanced drug candidates, avapritinib,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and BLU-667,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September 2015, the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in January 2016, the FDA granted orphan drug designation to avapritinib for the treatment of GIST and mastocytosis. In addition, in July 2017, the European Medicines Agency granted orphan drug designation to avapritinib for the treatment of GIST. In April 2018, the FDA granted orphan drug designation to BLU-667 for the treatment of RET-rearranged NSCLC, JAK1/2-positive NSCLC or TRKC-positive NSCLC.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9"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mastocytosis,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BLU-667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3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precise incidence and/or prevalence for SM, GIST, HCC, RET-driven NSCLC, RET-driven MTC and FOP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 (i) 20,700 patients with SM, including 2,600 patients with advanced SM, 1,800 patients with SSM and 16,300 patients with ISM; (ii) 500 patients with PDGFRα D842V-driven GIST; (iii) 24,100 patients with GIST, including approximately 19,300 patients with KIT-driven GIST; (iv) 28,100 first and second line patients with FGFR4-activated HCC;</w:t>
      </w:r>
    </w:p>
    <w:p>
      <w:pPr>
        <w:ind w:right="120" w:firstLine="3"/>
        <w:spacing w:after="0" w:line="226"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10,200 patients with RET-driven NSCLC and approximately 780 patients with RET-driven MTC; and (vi) 1,100 patients with FOP.</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The total addressable market opportunity for avapritinib for the treatment of patients with GIST and SM,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patients with HCC, BLU</w:t>
      </w:r>
      <w:r>
        <w:rPr>
          <w:rFonts w:ascii="MS PGothic" w:cs="MS PGothic" w:eastAsia="MS PGothic" w:hAnsi="MS PGothic"/>
          <w:sz w:val="17"/>
          <w:szCs w:val="17"/>
          <w:color w:val="auto"/>
        </w:rPr>
        <w:t>‑</w:t>
      </w:r>
      <w:r>
        <w:rPr>
          <w:rFonts w:ascii="Arial" w:cs="Arial" w:eastAsia="Arial" w:hAnsi="Arial"/>
          <w:sz w:val="17"/>
          <w:szCs w:val="17"/>
          <w:color w:val="auto"/>
        </w:rPr>
        <w:t>667 for the treatment of patients with RET-driven NSCLC and RET-driven MTC or BLU-782 for the treatment of patients with FOP will ultimately depend upon, among other things, the diagnosis criteria included in the final label for each of avapritinib,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16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PDGFRα D842V mutation, it may face competition from other drug candidates in development for these indications, including drug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79" w:lineRule="exact"/>
        <w:rPr>
          <w:sz w:val="20"/>
          <w:szCs w:val="20"/>
          <w:color w:val="auto"/>
        </w:rPr>
      </w:pPr>
      <w:r>
        <w:rPr>
          <w:rFonts w:ascii="Arial" w:cs="Arial" w:eastAsia="Arial" w:hAnsi="Arial"/>
          <w:sz w:val="16"/>
          <w:szCs w:val="16"/>
          <w:color w:val="auto"/>
        </w:rPr>
        <w:t>candidates in development by AB Science S.A., ARIAD Pharmaceuticals, Inc., a wholly-owned subsidiary of Takeda Pharmaceutical Company Limited, AROG Pharmaceuticals, Inc., Celldex Therapeutics, Inc., Deciphera Pharmaceuticals, LLC and Plexxikon Inc., a wholly-owned subsidiary of Daiichi Sankyo Company, Limited. If BLU-554 receives marketing approval for patients with FGFR4-activated HCC, it will face competition from Bristol-Myers Squibb Company’s nivolumab, an immune checkpoint inhibitor, which was approved in September 2017 by the FDA for the treatment of HCC, as well as sorafenib and regorafenib, multi-kinase inhibitors approved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6"/>
          <w:szCs w:val="16"/>
          <w:color w:val="auto"/>
        </w:rPr>
        <w:t>‑</w:t>
      </w:r>
      <w:r>
        <w:rPr>
          <w:rFonts w:ascii="Arial" w:cs="Arial" w:eastAsia="Arial" w:hAnsi="Arial"/>
          <w:sz w:val="16"/>
          <w:szCs w:val="16"/>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Boston Pharmaceuticals, Inc., Eisai Inc., Exelixis, Inc., GlaxoSmithKline plc, Loxo Oncology, Inc., Mirati Therapeutics, Inc., Novartis AG, Pfizer Inc. and Roche, as well as several approved multi-kinase inhibitors with RET activity being evaluated in clinical trials, including alectinib, apatinib, cabozantinib, dovitinib, lenvatinib, ponatinib, sorafenib, sunitinib and vandetinib. If BLU-782 receives marketing approval for FOP, it may face competition from drug candidates in development by BioCryst Pharmaceuticals, Inc., Clementia Pharmaceuticals Inc. and Regeneron Pharmaceuticals, Inc.</w:t>
      </w:r>
    </w:p>
    <w:p>
      <w:pPr>
        <w:spacing w:after="0" w:line="16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avapritinib, BLU-554 and BLU-667,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3"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4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380" w:hanging="325"/>
        <w:spacing w:after="0" w:line="22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Any delay or failure by us or our collaborators to develop or obtain regulatory approval of the companion diagnostic tests could delay or prevent approval of our drug candidates. If we, or any third parties that we have engaged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or may in the future engage to assist us are unable to successfully develop and commercialize companion diagnostic tests for our drug candidates, or experience delays in doing so:</w:t>
      </w:r>
    </w:p>
    <w:p>
      <w:pPr>
        <w:spacing w:after="0" w:line="162" w:lineRule="exact"/>
        <w:rPr>
          <w:sz w:val="20"/>
          <w:szCs w:val="20"/>
          <w:color w:val="auto"/>
        </w:rPr>
      </w:pPr>
    </w:p>
    <w:p>
      <w:pPr>
        <w:ind w:left="1300" w:right="14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U.S. President Donald Trump and his administration have indicated that enacting changes to or repealing and replacing the Affordable Care Act is a legislative priority. While Congress has not passed repeal legislation to date, the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62"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On October 13, 2017, President Trump signed an Executive Order terminating the cost-sharing subsidies that reimburse insurers under the Affordable Care Act. Several state Attorneys General filed suit to stop the administration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25" w:lineRule="auto"/>
        <w:rPr>
          <w:sz w:val="20"/>
          <w:szCs w:val="20"/>
          <w:color w:val="auto"/>
        </w:rPr>
      </w:pPr>
      <w:r>
        <w:rPr>
          <w:rFonts w:ascii="Arial" w:cs="Arial" w:eastAsia="Arial" w:hAnsi="Arial"/>
          <w:sz w:val="17"/>
          <w:szCs w:val="17"/>
          <w:color w:val="auto"/>
        </w:rPr>
        <w:t>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62"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59"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39"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50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980" w:hanging="329"/>
        <w:spacing w:after="0" w:line="21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120" w:hanging="329"/>
        <w:spacing w:after="0" w:line="24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0" w:lineRule="exact"/>
        <w:rPr>
          <w:rFonts w:ascii="Arial" w:cs="Arial" w:eastAsia="Arial" w:hAnsi="Arial"/>
          <w:sz w:val="16"/>
          <w:szCs w:val="16"/>
          <w:color w:val="auto"/>
        </w:rPr>
      </w:pPr>
    </w:p>
    <w:p>
      <w:pPr>
        <w:ind w:left="980" w:right="40" w:hanging="329"/>
        <w:spacing w:after="0" w:line="21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220" w:hanging="329"/>
        <w:spacing w:after="0" w:line="249"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of value and the ownership and investment interests of such physicians and their immediate family members;</w:t>
      </w:r>
    </w:p>
    <w:p>
      <w:pPr>
        <w:spacing w:after="0" w:line="208" w:lineRule="exact"/>
        <w:rPr>
          <w:sz w:val="20"/>
          <w:szCs w:val="20"/>
          <w:color w:val="auto"/>
        </w:rPr>
      </w:pPr>
    </w:p>
    <w:p>
      <w:pPr>
        <w:ind w:left="980" w:right="80" w:hanging="329"/>
        <w:spacing w:after="0" w:line="21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 with Roche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addition, our collaboration with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progressive for convenience following a strategic review by Alexion of its research and development portfolio. Any termination or expiration of our collaboration agreement with Roche or any future collaboration agreement could adversely affect us financially or harm our business reputation.</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CROs, contract laboratories and other third parties to conduct or otherwise support clinical trials for our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results and the commercial prospects for our drug candidates in the subject indication would be harmed, our costs could increase and our ability to generate revenue could be delayed.</w:t>
      </w:r>
    </w:p>
    <w:p>
      <w:pPr>
        <w:spacing w:after="0" w:line="16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jc w:val="both"/>
        <w:ind w:right="34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product and drug substance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product and drug substance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4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220" w:firstLine="648"/>
        <w:spacing w:after="0" w:line="182"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68"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We own patents and patent applications that relate to avapritinib, BLU</w:t>
      </w:r>
      <w:r>
        <w:rPr>
          <w:rFonts w:ascii="MS PGothic" w:cs="MS PGothic" w:eastAsia="MS PGothic" w:hAnsi="MS PGothic"/>
          <w:sz w:val="17"/>
          <w:szCs w:val="17"/>
          <w:color w:val="auto"/>
        </w:rPr>
        <w:t>‑</w:t>
      </w:r>
      <w:r>
        <w:rPr>
          <w:rFonts w:ascii="Arial" w:cs="Arial" w:eastAsia="Arial" w:hAnsi="Arial"/>
          <w:sz w:val="17"/>
          <w:szCs w:val="17"/>
          <w:color w:val="auto"/>
        </w:rPr>
        <w:t>554, BLU-667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03" w:lineRule="exact"/>
        <w:rPr>
          <w:sz w:val="20"/>
          <w:szCs w:val="20"/>
          <w:color w:val="auto"/>
        </w:rPr>
      </w:pPr>
      <w:r>
        <w:rPr>
          <w:rFonts w:ascii="Arial" w:cs="Arial" w:eastAsia="Arial" w:hAnsi="Arial"/>
          <w:sz w:val="18"/>
          <w:szCs w:val="18"/>
          <w:color w:val="auto"/>
        </w:rPr>
        <w:t>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2034, the issued patent directed to avapritinib composition of matter has a statutory expiration date in 2034.</w:t>
      </w:r>
    </w:p>
    <w:p>
      <w:pPr>
        <w:spacing w:after="0" w:line="162"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As of April 15, 2018, we owned six issued U.S. patents, two issued foreign patents, three pending U.S. non-provisional patent applications, one pending U.S. provisional patent application, 39 foreign patent applications and one pending Patent Cooperation Treaty, or PCT,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w:t>
      </w:r>
      <w:r>
        <w:rPr>
          <w:rFonts w:ascii="MS PGothic" w:cs="MS PGothic" w:eastAsia="MS PGothic" w:hAnsi="MS PGothic"/>
          <w:sz w:val="17"/>
          <w:szCs w:val="17"/>
          <w:color w:val="auto"/>
        </w:rPr>
        <w:t>‑</w:t>
      </w:r>
      <w:r>
        <w:rPr>
          <w:rFonts w:ascii="Arial" w:cs="Arial" w:eastAsia="Arial" w:hAnsi="Arial"/>
          <w:sz w:val="17"/>
          <w:szCs w:val="17"/>
          <w:color w:val="auto"/>
        </w:rPr>
        <w:t>U.S. patents issuing from the pending applications covering avapritinib will have a statutory expiration date of October 2034 or November 2038. Patent term adjustments or patent term extensions could result in later expiration dates.</w:t>
      </w:r>
    </w:p>
    <w:p>
      <w:pPr>
        <w:spacing w:after="0" w:line="168"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As of April 15, 2018, we owned five issued U.S. patents, three pending U.S. non-provisional patent applications, one pending U.S. provisional patent application, three issued foreign patents, 41 pending foreign patent applications and one pending PCT patent application directed to our FGFR4 program, including BLU-554.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and Venezuela. Any U.S. or ex</w:t>
      </w:r>
      <w:r>
        <w:rPr>
          <w:rFonts w:ascii="MS PGothic" w:cs="MS PGothic" w:eastAsia="MS PGothic" w:hAnsi="MS PGothic"/>
          <w:sz w:val="16"/>
          <w:szCs w:val="16"/>
          <w:color w:val="auto"/>
        </w:rPr>
        <w:t>‑</w:t>
      </w:r>
      <w:r>
        <w:rPr>
          <w:rFonts w:ascii="Arial" w:cs="Arial" w:eastAsia="Arial" w:hAnsi="Arial"/>
          <w:sz w:val="16"/>
          <w:szCs w:val="16"/>
          <w:color w:val="auto"/>
        </w:rPr>
        <w:t>U.S. patent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554 will have a statutory expiration date of July 2033, December 2033, October 2034, September 2037 or April 2038. Patent term adjustments or patent term extensions could result in later expiration dates.</w:t>
      </w:r>
    </w:p>
    <w:p>
      <w:pPr>
        <w:spacing w:after="0" w:line="167"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As of April 15, 2018, we owned five pending U.S. non-provisional patent applications, four pending PCT applications, six pending foreign patent applications filed in Argentina, Lebanon, Uruguay and Taiwan and four pending U.S. provisional patent applications directed to our RET program, which, if issued, will have statutory expiration dates of 2036 or 2039. Patent term adjustments or patent term extensions could result in later expiration dates.</w:t>
      </w:r>
    </w:p>
    <w:p>
      <w:pPr>
        <w:spacing w:after="0" w:line="163"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As of April 15, 2018, we owned one pending U.S. patent application, one pending U.S. provisional patent application and one pending PCT international application directed to our ALK2 program, including BLU-782, which, if issued, will have statutory expiration dates of April 2037 or October 2038.</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April 15, 2018, we owned ten pending U.S. patent applications and ten pending European Union patent applications directed to this technology, which, if issued, will have statutory expiration dates ranging from 2034 to 2035.</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w:t>
      </w:r>
      <w:r>
        <w:rPr>
          <w:rFonts w:ascii="MS PGothic" w:cs="MS PGothic" w:eastAsia="MS PGothic" w:hAnsi="MS PGothic"/>
          <w:sz w:val="16"/>
          <w:szCs w:val="16"/>
          <w:color w:val="auto"/>
        </w:rPr>
        <w:t>‑</w:t>
      </w:r>
      <w:r>
        <w:rPr>
          <w:rFonts w:ascii="Arial" w:cs="Arial" w:eastAsia="Arial" w:hAnsi="Arial"/>
          <w:sz w:val="16"/>
          <w:szCs w:val="16"/>
          <w:color w:val="auto"/>
        </w:rPr>
        <w:t>554, BLU-667,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U.S. patents owned by third parties that have generic composition of matter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jc w:val="both"/>
        <w:ind w:right="340" w:firstLine="648"/>
        <w:spacing w:after="0" w:line="244"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is threatened, it could dissuade companies from collaborating with us to license, develop or commercialize current or future drug candidates.</w:t>
      </w:r>
    </w:p>
    <w:p>
      <w:pPr>
        <w:spacing w:after="0" w:line="124"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U.S. patents owned by third parties that have generic composition of matter and method of treatment claims that may cover BLU</w:t>
      </w:r>
      <w:r>
        <w:rPr>
          <w:rFonts w:ascii="MS PGothic" w:cs="MS PGothic" w:eastAsia="MS PGothic" w:hAnsi="MS PGothic"/>
          <w:sz w:val="16"/>
          <w:szCs w:val="16"/>
          <w:color w:val="auto"/>
        </w:rPr>
        <w:t>‑</w:t>
      </w:r>
      <w:r>
        <w:rPr>
          <w:rFonts w:ascii="Arial" w:cs="Arial" w:eastAsia="Arial" w:hAnsi="Arial"/>
          <w:sz w:val="16"/>
          <w:szCs w:val="16"/>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400" w:firstLine="648"/>
        <w:spacing w:after="0" w:line="28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Marion Dorsch, our Chief Scientific Officer, Kathryn Haviland, our Chief Business Officer, Michael Landsittel, our Vice President of Finance, Tracey McCain, our Chief Legal and Compliance Officer, and Christopher Murray, our Senior Vice President of Technical Operations,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4"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As of April 15, 2018, we had 153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65"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66"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For example, the European Union Data Protection Directive 95/46/EC and the country-specific regulations that implement the directive currently impose strict obligations on the processing of personal data and the free movement of such data. Effective May 25, 2018, the current data protection laws of each European Union member state will be replaced by the General Data Protection Regulation 2016/679, or GDPR. The GDPR applies to any company established in the European Union as well as any company outside the European Union that collects and uses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will impose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66"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39"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19"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8" w:lineRule="exact"/>
        <w:rPr>
          <w:sz w:val="20"/>
          <w:szCs w:val="20"/>
          <w:color w:val="auto"/>
        </w:rPr>
      </w:pPr>
    </w:p>
    <w:p>
      <w:pPr>
        <w:ind w:right="19" w:firstLine="648"/>
        <w:spacing w:after="0" w:line="221" w:lineRule="auto"/>
        <w:rPr>
          <w:sz w:val="20"/>
          <w:szCs w:val="20"/>
          <w:color w:val="auto"/>
        </w:rPr>
      </w:pPr>
      <w:r>
        <w:rPr>
          <w:rFonts w:ascii="Arial" w:cs="Arial" w:eastAsia="Arial" w:hAnsi="Arial"/>
          <w:sz w:val="21"/>
          <w:szCs w:val="21"/>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79" w:firstLine="648"/>
        <w:spacing w:after="0" w:line="212"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May 1, 2018.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280" w:hanging="325"/>
        <w:spacing w:after="0" w:line="235"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99" w:hanging="325"/>
        <w:spacing w:after="0" w:line="23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62"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399"/>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61"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68" w:lineRule="exact"/>
        <w:rPr>
          <w:sz w:val="20"/>
          <w:szCs w:val="20"/>
          <w:color w:val="auto"/>
        </w:rPr>
      </w:pPr>
    </w:p>
    <w:p>
      <w:pPr>
        <w:ind w:right="19" w:firstLine="648"/>
        <w:spacing w:after="0" w:line="258"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66"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2017, we had federal net operating loss carryforwards of approximately $288.6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gridSpan w:val="6"/>
          </w:tcPr>
          <w:p>
            <w:pPr>
              <w:ind w:left="26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8"/>
        </w:trPr>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gridSpan w:val="6"/>
            <w:vMerge w:val="restart"/>
          </w:tcPr>
          <w:p>
            <w:pPr>
              <w:ind w:left="3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6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line="156"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gridSpan w:val="6"/>
          </w:tcPr>
          <w:p>
            <w:pPr>
              <w:spacing w:after="0" w:line="156" w:lineRule="exact"/>
              <w:rPr>
                <w:sz w:val="20"/>
                <w:szCs w:val="20"/>
                <w:color w:val="auto"/>
              </w:rPr>
            </w:pPr>
            <w:r>
              <w:rPr>
                <w:rFonts w:ascii="Arial" w:cs="Arial" w:eastAsia="Arial" w:hAnsi="Arial"/>
                <w:sz w:val="18"/>
                <w:szCs w:val="18"/>
                <w:color w:val="0000EE"/>
                <w:w w:val="94"/>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EE"/>
            </w:tcBorders>
            <w:gridSpan w:val="5"/>
          </w:tcPr>
          <w:p>
            <w:pPr>
              <w:spacing w:after="0" w:line="156" w:lineRule="exact"/>
              <w:rPr>
                <w:sz w:val="20"/>
                <w:szCs w:val="20"/>
                <w:color w:val="auto"/>
              </w:rPr>
            </w:pPr>
            <w:r>
              <w:rPr>
                <w:rFonts w:ascii="Arial" w:cs="Arial" w:eastAsia="Arial" w:hAnsi="Arial"/>
                <w:sz w:val="18"/>
                <w:szCs w:val="18"/>
                <w:color w:val="0000EE"/>
              </w:rPr>
              <w:t>Act, as adopted pursuant to Section 302 of the Sarbanes-Oxley Act of 2002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EE"/>
                <w:w w:val="95"/>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0" w:type="dxa"/>
            <w:vAlign w:val="bottom"/>
            <w:tcBorders>
              <w:top w:val="single" w:sz="8" w:color="0000EE"/>
            </w:tcBorders>
            <w:gridSpan w:val="4"/>
          </w:tcPr>
          <w:p>
            <w:pPr>
              <w:spacing w:after="0" w:line="156" w:lineRule="exact"/>
              <w:rPr>
                <w:sz w:val="20"/>
                <w:szCs w:val="20"/>
                <w:color w:val="auto"/>
              </w:rPr>
            </w:pPr>
            <w:r>
              <w:rPr>
                <w:rFonts w:ascii="Arial" w:cs="Arial" w:eastAsia="Arial" w:hAnsi="Arial"/>
                <w:sz w:val="18"/>
                <w:szCs w:val="18"/>
                <w:color w:val="0000EE"/>
              </w:rPr>
              <w:t>Act, as adopted pursuant to Section 302 of the Sarbanes-Oxley Act of 2002</w:t>
            </w:r>
          </w:p>
        </w:tc>
        <w:tc>
          <w:tcPr>
            <w:tcW w:w="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0000EE"/>
                <w:w w:val="95"/>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EE"/>
            </w:tcBorders>
            <w:gridSpan w:val="6"/>
          </w:tcPr>
          <w:p>
            <w:pPr>
              <w:spacing w:after="0" w:line="156" w:lineRule="exact"/>
              <w:rPr>
                <w:sz w:val="20"/>
                <w:szCs w:val="20"/>
                <w:color w:val="auto"/>
              </w:rPr>
            </w:pPr>
            <w:r>
              <w:rPr>
                <w:rFonts w:ascii="Arial" w:cs="Arial" w:eastAsia="Arial" w:hAnsi="Arial"/>
                <w:sz w:val="18"/>
                <w:szCs w:val="18"/>
                <w:color w:val="0000EE"/>
              </w:rPr>
              <w:t>1350, as adopted pursuant to Section 906 of the Sarbanes-Oxley Act of 2002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39" w:hanging="197"/>
        <w:spacing w:after="0" w:line="219"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5" w:name="page76"/>
    <w:bookmarkEnd w:id="75"/>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2018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Vice President of Finance</w:t>
      </w:r>
    </w:p>
    <w:p>
      <w:pPr>
        <w:ind w:left="4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Roman"/>
      <w:start w:val="3"/>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5"/>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2019-12-08T10:14:02Z</dcterms:created>
  <dcterms:modified xsi:type="dcterms:W3CDTF">2019-12-08T10:14:02Z</dcterms:modified>
</cp:coreProperties>
</file>