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On February 13, 2020, Blueprint Medicines Corporation (the “Company”) announced its financial results for the quarter and year ended December 31, 2019 and other business highlights.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8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February 13, 2020</w:t>
              </w:r>
            </w:hyperlink>
          </w:p>
        </w:tc>
        <w:tc>
          <w:tcPr>
            <w:tcW w:w="2540" w:type="dxa"/>
            <w:vAlign w:val="bottom"/>
            <w:tcBorders>
              <w:top w:val="single" w:sz="8" w:color="auto"/>
            </w:tcBorders>
          </w:tcPr>
          <w:p>
            <w:pPr>
              <w:spacing w:after="0"/>
              <w:rPr>
                <w:sz w:val="14"/>
                <w:szCs w:val="14"/>
                <w:color w:val="auto"/>
              </w:rPr>
            </w:pPr>
          </w:p>
        </w:tc>
      </w:tr>
      <w:tr>
        <w:trPr>
          <w:trHeight w:val="237"/>
        </w:trPr>
        <w:tc>
          <w:tcPr>
            <w:tcW w:w="1480" w:type="dxa"/>
            <w:vAlign w:val="bottom"/>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445" w:right="9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13,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 Medicines Reports Fourth Quarter and Full Year 2019 Financial Results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Obtained FDA approval and launched AYVAKIT™ (avapritinib), the first approved precision therapy for GIST and</w:t>
      </w:r>
    </w:p>
    <w:p>
      <w:pPr>
        <w:spacing w:after="0" w:line="38" w:lineRule="exact"/>
        <w:rPr>
          <w:sz w:val="20"/>
          <w:szCs w:val="20"/>
          <w:color w:val="auto"/>
        </w:rPr>
      </w:pPr>
    </w:p>
    <w:p>
      <w:pPr>
        <w:ind w:left="2100"/>
        <w:spacing w:after="0"/>
        <w:rPr>
          <w:sz w:val="20"/>
          <w:szCs w:val="20"/>
          <w:color w:val="auto"/>
        </w:rPr>
      </w:pPr>
      <w:r>
        <w:rPr>
          <w:rFonts w:ascii="Arial" w:cs="Arial" w:eastAsia="Arial" w:hAnsi="Arial"/>
          <w:sz w:val="20"/>
          <w:szCs w:val="20"/>
          <w:i w:val="1"/>
          <w:iCs w:val="1"/>
          <w:color w:val="auto"/>
        </w:rPr>
        <w:t>only highly active treatment for PDGFRA exon 18 mutant GIST –</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Announced top-line ARROW trial data for pralsetinib in RET fusion-positive NSCLC and initiated rolling NDA –</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9"/>
          <w:szCs w:val="19"/>
          <w:i w:val="1"/>
          <w:iCs w:val="1"/>
          <w:color w:val="auto"/>
        </w:rPr>
        <w:t>– Plan to present initial PIONEER trial data for avapritinib in indolent SM at AAAAI Annual Meeting –</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Completed follow-on offering and raised approximately $308.2 million in estimated net proceeds,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20"/>
          <w:szCs w:val="20"/>
          <w:i w:val="1"/>
          <w:iCs w:val="1"/>
          <w:color w:val="auto"/>
        </w:rPr>
        <w:t>extending cash runway into 2H 2022 –</w:t>
      </w:r>
    </w:p>
    <w:p>
      <w:pPr>
        <w:spacing w:after="0" w:line="3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CAMBRIDGE, Mass., February 13, 2020 -- Blueprint Medicines Corporation (NASDAQ: BPMC), a precision therapy company focused on genomically defined cancers, rare diseases and cancer immunotherapy, today reported financial results and provided a business update for the fourth quarter and full year ended December 31, 2019.</w:t>
      </w:r>
    </w:p>
    <w:p>
      <w:pPr>
        <w:spacing w:after="0" w:line="132"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“In 2020, we will complete our evolution into a fully-integrated global biopharmaceutical company and fortify our leadership in the field of precision medicine with further expansion of our research pipeline,” said Jeff Albers, Chief Executive Officer of Blueprint Medicines. “Over the course of the year, we expect a sustained cadence of catalytic milestones across our portfolio, which began with the commercial launch of AYVAKIT in January and will continue with the presentation of updated data for avapritinib in indolent systemic mastocytosis and the completion of our rolling NDA submission for pralsetinib for RET fusion-positive non-small cell lung cancer later this quarter. Ultimately, we believe these and other anticipated achievements throughout the year will transform the profile of our company and create substantial value for patients and healthcare providers.”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2019 Highlights and Recent Progress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Avapritinib: gastrointestinal stromal tumors (GIST)</w:t>
      </w:r>
    </w:p>
    <w:p>
      <w:pPr>
        <w:spacing w:after="0" w:line="235" w:lineRule="exact"/>
        <w:rPr>
          <w:sz w:val="20"/>
          <w:szCs w:val="20"/>
          <w:color w:val="auto"/>
        </w:rPr>
      </w:pPr>
    </w:p>
    <w:p>
      <w:pPr>
        <w:ind w:left="640" w:right="180" w:hanging="321"/>
        <w:spacing w:after="0" w:line="27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U.S. Food and Drug Administration (FDA) approval of AYVAKIT for the treatment of adults with unresectable or metastatic GIST harboring a PDGFRA exon 18 mutation, including PDGFRA D842V mutations. Read the press release here and visit www.AYVAKIT.com for full Prescribing Information.</w:t>
      </w:r>
    </w:p>
    <w:p>
      <w:pPr>
        <w:spacing w:after="0" w:line="1" w:lineRule="exact"/>
        <w:rPr>
          <w:rFonts w:ascii="Arial" w:cs="Arial" w:eastAsia="Arial" w:hAnsi="Arial"/>
          <w:sz w:val="18"/>
          <w:szCs w:val="18"/>
          <w:color w:val="auto"/>
        </w:rPr>
      </w:pPr>
    </w:p>
    <w:p>
      <w:pPr>
        <w:ind w:left="640" w:right="160" w:hanging="321"/>
        <w:spacing w:after="0" w:line="28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that the FDA has extended the Prescription Drug User Fee Act (PDUFA) date for the company’s new drug application (NDA) seeking accelerated approval of avapritinib for the treatment of adults with fourth-line GIST, by three months from February 14, 2020 to May 14, 2020. Read the press release here.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Avapritinib: systemic mastocytosis (SM)</w:t>
      </w:r>
    </w:p>
    <w:p>
      <w:pPr>
        <w:spacing w:after="0" w:line="235" w:lineRule="exact"/>
        <w:rPr>
          <w:sz w:val="20"/>
          <w:szCs w:val="20"/>
          <w:color w:val="auto"/>
        </w:rPr>
      </w:pPr>
    </w:p>
    <w:p>
      <w:pPr>
        <w:ind w:left="640" w:right="120" w:hanging="321"/>
        <w:spacing w:after="0" w:line="24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Reported initial data from Part 1 of the PIONEER trial of avapritinib in patients with indolent SM at the American Society of Hematology Annual Meeting in December 2019 showing rapid and robust reductions in serum tryptase, a measure of mast cell burden, at all dose levels tested. Avapritinib was well-tolerated, and most reported adverse events were Grade 1 or 2. No patients discontinued due to an adverse event. Read the press release here.</w:t>
      </w:r>
    </w:p>
    <w:p>
      <w:pPr>
        <w:spacing w:after="0" w:line="4" w:lineRule="exact"/>
        <w:rPr>
          <w:rFonts w:ascii="Arial" w:cs="Arial" w:eastAsia="Arial" w:hAnsi="Arial"/>
          <w:sz w:val="18"/>
          <w:szCs w:val="18"/>
          <w:color w:val="auto"/>
        </w:rPr>
      </w:pPr>
    </w:p>
    <w:p>
      <w:pPr>
        <w:ind w:left="640" w:right="500" w:hanging="321"/>
        <w:spacing w:after="0" w:line="24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Announced updated data from Part 1 of the PIONEER trial will be reported in a late-breaking oral presentation at the American Academy of Allergy, Asthma &amp; Immunology (AAAAI) annual meeting on March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487045</wp:posOffset>
            </wp:positionV>
            <wp:extent cx="5960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6" w:right="1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Pralsetinib: RET-altered cancers</w:t>
      </w:r>
    </w:p>
    <w:p>
      <w:pPr>
        <w:spacing w:after="0" w:line="236" w:lineRule="exact"/>
        <w:rPr>
          <w:sz w:val="20"/>
          <w:szCs w:val="20"/>
          <w:color w:val="auto"/>
        </w:rPr>
      </w:pPr>
    </w:p>
    <w:p>
      <w:pPr>
        <w:ind w:left="640" w:right="20" w:hanging="321"/>
        <w:spacing w:after="0" w:line="26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8"/>
          <w:szCs w:val="18"/>
          <w:color w:val="auto"/>
        </w:rPr>
        <w:t>Announced centrally reviewed top-line data from the Phase 1/2 ARROW trial of pralsetinib in patients with RET fusion-positive non-small cell lung cancer (NSCLC) treated with pralsetinib at 400 mg QD, which is the proposed indicated dose. In patients previously treated with platinum-based chemotherapy, the overall response rate (ORR) was 61 percent (95% CI: 50-72%; two responses pending confirmation). In treatment-naïve patients, the ORR was 73 percent (95% CI: 52-88%; all responses confirmed), with 12 percent of patients achieving a complete response. The median duration of response, regardless of prior treatment, was not reached. Pralsetinib was well-tolerated, and most AEs were Grade 1 or 2. Across all patients enrolled in the ARROW trial and treated with pralsetinib at 400 mg QD, only four percent of patients discontinued treatment due to treatment-related adverse events. Read the press release here.</w:t>
      </w:r>
    </w:p>
    <w:p>
      <w:pPr>
        <w:spacing w:after="0" w:line="2" w:lineRule="exact"/>
        <w:rPr>
          <w:rFonts w:ascii="Arial" w:cs="Arial" w:eastAsia="Arial" w:hAnsi="Arial"/>
          <w:sz w:val="16"/>
          <w:szCs w:val="16"/>
          <w:color w:val="auto"/>
        </w:rPr>
      </w:pPr>
    </w:p>
    <w:p>
      <w:pPr>
        <w:ind w:left="640" w:right="140" w:hanging="321"/>
        <w:spacing w:after="0" w:line="23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Announced the initiation of a rolling new drug application (NDA) submission to the FDA for pralsetinib for the treatment of RET fusion-positive NSCLC.</w:t>
      </w:r>
    </w:p>
    <w:p>
      <w:pPr>
        <w:spacing w:after="0" w:line="1" w:lineRule="exact"/>
        <w:rPr>
          <w:rFonts w:ascii="Arial" w:cs="Arial" w:eastAsia="Arial" w:hAnsi="Arial"/>
          <w:sz w:val="18"/>
          <w:szCs w:val="18"/>
          <w:color w:val="auto"/>
        </w:rPr>
      </w:pPr>
    </w:p>
    <w:p>
      <w:pPr>
        <w:ind w:left="640" w:right="480" w:hanging="321"/>
        <w:spacing w:after="0" w:line="24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Activated the first clinical trial site for the Phase 3 AcceleRET Lung trial in patients with first-line RET fusion-positive NSCLC.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Fisogatinib: hepatocellular carcinoma (HCC)</w:t>
      </w:r>
    </w:p>
    <w:p>
      <w:pPr>
        <w:spacing w:after="0" w:line="235" w:lineRule="exact"/>
        <w:rPr>
          <w:sz w:val="20"/>
          <w:szCs w:val="20"/>
          <w:color w:val="auto"/>
        </w:rPr>
      </w:pPr>
    </w:p>
    <w:p>
      <w:pPr>
        <w:ind w:left="640" w:right="420" w:hanging="321"/>
        <w:spacing w:after="0" w:line="250"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Dosed the first patient in a Phase 1b/2 trial evaluating fisogatinib in combination with CS1001 for the treatment of locally advanced or metastatic HCC, under Blueprint Medicine’s collaboration with CStone Pharmaceuticals. Read the press release here.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portfolio</w:t>
      </w:r>
    </w:p>
    <w:p>
      <w:pPr>
        <w:spacing w:after="0" w:line="235" w:lineRule="exact"/>
        <w:rPr>
          <w:sz w:val="20"/>
          <w:szCs w:val="20"/>
          <w:color w:val="auto"/>
        </w:rPr>
      </w:pPr>
    </w:p>
    <w:p>
      <w:pPr>
        <w:ind w:left="640" w:right="20" w:hanging="321"/>
        <w:spacing w:after="0" w:line="26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20"/>
          <w:szCs w:val="20"/>
          <w:color w:val="auto"/>
        </w:rPr>
        <w:t>Nominated a potential first-in-class development candidate for the treatment of resistant EGFR-positive triple mutant NSCLC.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235"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Closed an underwritten public offering of 4,710,144 shares of common stock at a public offering price of</w:t>
      </w:r>
    </w:p>
    <w:p>
      <w:pPr>
        <w:spacing w:after="0" w:line="27" w:lineRule="exact"/>
        <w:rPr>
          <w:rFonts w:ascii="Arial" w:cs="Arial" w:eastAsia="Arial" w:hAnsi="Arial"/>
          <w:sz w:val="19"/>
          <w:szCs w:val="19"/>
          <w:color w:val="auto"/>
        </w:rPr>
      </w:pPr>
    </w:p>
    <w:p>
      <w:pPr>
        <w:ind w:left="640"/>
        <w:spacing w:after="0" w:line="244" w:lineRule="auto"/>
        <w:rPr>
          <w:rFonts w:ascii="Arial" w:cs="Arial" w:eastAsia="Arial" w:hAnsi="Arial"/>
          <w:sz w:val="19"/>
          <w:szCs w:val="19"/>
          <w:color w:val="auto"/>
        </w:rPr>
      </w:pPr>
      <w:r>
        <w:rPr>
          <w:rFonts w:ascii="Arial" w:cs="Arial" w:eastAsia="Arial" w:hAnsi="Arial"/>
          <w:sz w:val="20"/>
          <w:szCs w:val="20"/>
          <w:color w:val="auto"/>
        </w:rPr>
        <w:t>$69.00 per share. Blueprint Medicines received estimated net proceeds of approximately $308.2 million, after deducting underwriting discounts and commissions and estimated offering expenses.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Upcoming Milestones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0A0A0A"/>
          <w:highlight w:val="white"/>
        </w:rPr>
        <w:t>The company expects to achieve the following milestones in the first half of 2020.</w:t>
      </w:r>
    </w:p>
    <w:p>
      <w:pPr>
        <w:spacing w:after="0" w:line="229" w:lineRule="exact"/>
        <w:rPr>
          <w:sz w:val="20"/>
          <w:szCs w:val="20"/>
          <w:color w:val="auto"/>
        </w:rPr>
      </w:pPr>
    </w:p>
    <w:p>
      <w:pPr>
        <w:ind w:left="640" w:right="480" w:hanging="321"/>
        <w:spacing w:after="0" w:line="247"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Present updated data from Part 1 of the PIONEER trial of avapritinib in indolent SM at AAAAI Annual Meeting in the first quarter of 2020.</w:t>
      </w:r>
    </w:p>
    <w:p>
      <w:pPr>
        <w:spacing w:after="0" w:line="1" w:lineRule="exact"/>
        <w:rPr>
          <w:rFonts w:ascii="Arial" w:cs="Arial" w:eastAsia="Arial" w:hAnsi="Arial"/>
          <w:sz w:val="20"/>
          <w:szCs w:val="20"/>
          <w:color w:val="auto"/>
        </w:rPr>
      </w:pPr>
    </w:p>
    <w:p>
      <w:pPr>
        <w:ind w:left="640" w:right="60" w:hanging="321"/>
        <w:spacing w:after="0" w:line="239"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Complete the submission of a rolling NDA to the FDA for pralsetinib for RET fusion-positive NSCLC in the first quarter of 2020.</w:t>
      </w:r>
    </w:p>
    <w:p>
      <w:pPr>
        <w:spacing w:after="0" w:line="1" w:lineRule="exact"/>
        <w:rPr>
          <w:rFonts w:ascii="Arial" w:cs="Arial" w:eastAsia="Arial" w:hAnsi="Arial"/>
          <w:sz w:val="20"/>
          <w:szCs w:val="20"/>
          <w:color w:val="auto"/>
        </w:rPr>
      </w:pPr>
    </w:p>
    <w:p>
      <w:pPr>
        <w:ind w:left="640" w:right="220" w:hanging="321"/>
        <w:spacing w:after="0" w:line="239"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Report top-line data from the Phase 3 VOYAGER trial of avapritinib in third-line GIST early in the second quarter of 2020.</w:t>
      </w:r>
    </w:p>
    <w:p>
      <w:pPr>
        <w:spacing w:after="0" w:line="1" w:lineRule="exact"/>
        <w:rPr>
          <w:rFonts w:ascii="Arial" w:cs="Arial" w:eastAsia="Arial" w:hAnsi="Arial"/>
          <w:sz w:val="20"/>
          <w:szCs w:val="20"/>
          <w:color w:val="auto"/>
        </w:rPr>
      </w:pPr>
    </w:p>
    <w:p>
      <w:pPr>
        <w:ind w:left="640" w:right="80" w:hanging="321"/>
        <w:spacing w:after="0" w:line="239"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Gain FDA approval and, if approved, launch avapritinib in fourth-line GIST in the U.S. in the second quarter of 2020.</w:t>
      </w:r>
    </w:p>
    <w:p>
      <w:pPr>
        <w:spacing w:after="0" w:line="1" w:lineRule="exact"/>
        <w:rPr>
          <w:rFonts w:ascii="Arial" w:cs="Arial" w:eastAsia="Arial" w:hAnsi="Arial"/>
          <w:sz w:val="20"/>
          <w:szCs w:val="20"/>
          <w:color w:val="auto"/>
        </w:rPr>
      </w:pPr>
    </w:p>
    <w:p>
      <w:pPr>
        <w:ind w:left="640" w:right="160" w:hanging="321"/>
        <w:spacing w:after="0" w:line="244"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Report top-line data from the Phase 1/2 ARROW trial of pralsetinib in patients with previously treated RET mutant medullary thyroid cancer (MTC).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5960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16" w:right="1299" w:bottom="1440" w:gutter="0" w:footer="0" w:header="0"/>
        </w:sectPr>
      </w:pPr>
    </w:p>
    <w:bookmarkStart w:id="5" w:name="page6"/>
    <w:bookmarkEnd w:id="5"/>
    <w:p>
      <w:pPr>
        <w:ind w:left="640" w:right="100" w:hanging="321"/>
        <w:spacing w:after="0" w:line="248"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Submit an NDA to the FDA for pralsetinib for the treatment of patients with MTC previously treated with an approved multi-kinase inhibitor in the second quarter of 2020.</w:t>
      </w:r>
    </w:p>
    <w:p>
      <w:pPr>
        <w:spacing w:after="0" w:line="1" w:lineRule="exact"/>
        <w:rPr>
          <w:rFonts w:ascii="Arial" w:cs="Arial" w:eastAsia="Arial" w:hAnsi="Arial"/>
          <w:sz w:val="20"/>
          <w:szCs w:val="20"/>
          <w:color w:val="auto"/>
        </w:rPr>
      </w:pPr>
    </w:p>
    <w:p>
      <w:pPr>
        <w:ind w:left="640" w:right="400" w:hanging="321"/>
        <w:spacing w:after="0" w:line="239"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Submit a marketing authorization application to the European Medicines Agency for pralsetinib for RET fusion-positive NSCLC in the second quarter of 2020.</w:t>
      </w:r>
    </w:p>
    <w:p>
      <w:pPr>
        <w:spacing w:after="0" w:line="1" w:lineRule="exact"/>
        <w:rPr>
          <w:rFonts w:ascii="Arial" w:cs="Arial" w:eastAsia="Arial" w:hAnsi="Arial"/>
          <w:sz w:val="20"/>
          <w:szCs w:val="20"/>
          <w:color w:val="auto"/>
        </w:rPr>
      </w:pPr>
    </w:p>
    <w:p>
      <w:pPr>
        <w:ind w:left="640" w:right="220" w:hanging="321"/>
        <w:spacing w:after="0" w:line="244"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Initiate a Phase 1 trial of BLU-263, a next-generation KIT inhibitor, in healthy volunteers in the first half of 2020.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Year End 2019 Financial Results</w:t>
      </w:r>
    </w:p>
    <w:p>
      <w:pPr>
        <w:spacing w:after="0" w:line="229" w:lineRule="exact"/>
        <w:rPr>
          <w:sz w:val="20"/>
          <w:szCs w:val="20"/>
          <w:color w:val="auto"/>
        </w:rPr>
      </w:pPr>
    </w:p>
    <w:p>
      <w:pPr>
        <w:ind w:left="640" w:hanging="321"/>
        <w:spacing w:after="0" w:line="255"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December 31, 2019, cash, cash equivalents and investments were $548.0 million,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$494.0 million as of December 31, 2018. This increase was primarily related to $327.5 million in net proceeds received from the company’s April 2019 follow-on underwritten public offering and the $25.0 million upfront cash payment under the license agreement Clementia, partially offset by an increase in cash used in operating activities. Cash, cash equivalents and investments as of December 31, 2019 do not include the estimated net proceeds of approximately $308.2 million from the company’s follow-on underwritten public offering of common stock, which closed in January 2020.</w:t>
      </w:r>
    </w:p>
    <w:p>
      <w:pPr>
        <w:spacing w:after="0" w:line="4"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20"/>
          <w:szCs w:val="20"/>
          <w:b w:val="1"/>
          <w:bCs w:val="1"/>
          <w:color w:val="auto"/>
        </w:rPr>
        <w:t xml:space="preserve">Collaboration Revenues: </w:t>
      </w:r>
      <w:r>
        <w:rPr>
          <w:rFonts w:ascii="Arial" w:cs="Arial" w:eastAsia="Arial" w:hAnsi="Arial"/>
          <w:sz w:val="20"/>
          <w:szCs w:val="20"/>
          <w:color w:val="auto"/>
        </w:rPr>
        <w:t>Collaboration revenues were $51.5 million for the fourth quarter of 2019</w:t>
      </w:r>
    </w:p>
    <w:p>
      <w:pPr>
        <w:ind w:left="640"/>
        <w:spacing w:after="0" w:line="266" w:lineRule="auto"/>
        <w:rPr>
          <w:rFonts w:ascii="Arial" w:cs="Arial" w:eastAsia="Arial" w:hAnsi="Arial"/>
          <w:sz w:val="18"/>
          <w:szCs w:val="18"/>
          <w:color w:val="auto"/>
        </w:rPr>
      </w:pPr>
      <w:r>
        <w:rPr>
          <w:rFonts w:ascii="Arial" w:cs="Arial" w:eastAsia="Arial" w:hAnsi="Arial"/>
          <w:sz w:val="18"/>
          <w:szCs w:val="18"/>
          <w:color w:val="auto"/>
        </w:rPr>
        <w:t>and $66.5 million for the year ended December 31, 2019, as compared to $1.0 million for the fourth quarter of 2018 and $44.5 million for the year ended December 31, 2018. Collaboration revenue for the year ended December 31, 2019 consisted primarily of the $25.0 million upfront payment and a $20.0 million cash milestone payment due in the third quarter of 2020 under the license agreement with Clementia, an aggregate of $12.0 million in development and regulatory milestones that were achieved in 2019 under the CStone collaboration agreement and $8.2 million under the Roche collaboration agreement. Collaboration revenue for the year ended December 31, 2018 consisted primarily of the $40.0 million upfront payment under the CStone collaboration agreement and $4.5 million under the Roche collaboration agreement.</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expenses were $88.6 million for the fourth quarter of 2019</w:t>
      </w:r>
    </w:p>
    <w:p>
      <w:pPr>
        <w:spacing w:after="0" w:line="11" w:lineRule="exact"/>
        <w:rPr>
          <w:rFonts w:ascii="Arial" w:cs="Arial" w:eastAsia="Arial" w:hAnsi="Arial"/>
          <w:sz w:val="17"/>
          <w:szCs w:val="17"/>
          <w:color w:val="auto"/>
        </w:rPr>
      </w:pPr>
    </w:p>
    <w:p>
      <w:pPr>
        <w:ind w:left="640" w:right="20"/>
        <w:spacing w:after="0" w:line="239" w:lineRule="auto"/>
        <w:rPr>
          <w:rFonts w:ascii="Arial" w:cs="Arial" w:eastAsia="Arial" w:hAnsi="Arial"/>
          <w:sz w:val="17"/>
          <w:szCs w:val="17"/>
          <w:color w:val="auto"/>
        </w:rPr>
      </w:pPr>
      <w:r>
        <w:rPr>
          <w:rFonts w:ascii="Arial" w:cs="Arial" w:eastAsia="Arial" w:hAnsi="Arial"/>
          <w:sz w:val="20"/>
          <w:szCs w:val="20"/>
          <w:color w:val="auto"/>
        </w:rPr>
        <w:t>and $331.5 million for the year ended December 31, 2019, as compared to $70.5 million for the fourth quarter of 2018 and $243.6 million for the year ended December 31, 2018. This increase was primarily due to increased clinical and manufacturing expenses driven by the company’s lead programs and increased personnel expenses. Research and development expenses included $7.6 million in stock-based compensation expenses for the fourth quarter of 2019 and $28.6 million in stock-based compensation expenses for the year ended December 31, 2019.</w:t>
      </w:r>
    </w:p>
    <w:p>
      <w:pPr>
        <w:spacing w:after="0" w:line="3" w:lineRule="exact"/>
        <w:rPr>
          <w:rFonts w:ascii="Arial" w:cs="Arial" w:eastAsia="Arial" w:hAnsi="Arial"/>
          <w:sz w:val="17"/>
          <w:szCs w:val="17"/>
          <w:color w:val="auto"/>
        </w:rPr>
      </w:pPr>
    </w:p>
    <w:p>
      <w:pPr>
        <w:ind w:left="640" w:right="20" w:hanging="321"/>
        <w:spacing w:after="0" w:line="25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9"/>
          <w:szCs w:val="19"/>
          <w:b w:val="1"/>
          <w:bCs w:val="1"/>
          <w:color w:val="auto"/>
        </w:rPr>
        <w:t xml:space="preserve">G&amp;A Expenses: </w:t>
      </w:r>
      <w:r>
        <w:rPr>
          <w:rFonts w:ascii="Arial" w:cs="Arial" w:eastAsia="Arial" w:hAnsi="Arial"/>
          <w:sz w:val="19"/>
          <w:szCs w:val="19"/>
          <w:color w:val="auto"/>
        </w:rPr>
        <w:t>General and administrative expenses were $32.3 million for the fourth quarter of 2019</w:t>
      </w:r>
      <w:r>
        <w:rPr>
          <w:rFonts w:ascii="Arial" w:cs="Arial" w:eastAsia="Arial" w:hAnsi="Arial"/>
          <w:sz w:val="19"/>
          <w:szCs w:val="19"/>
          <w:b w:val="1"/>
          <w:bCs w:val="1"/>
          <w:color w:val="auto"/>
        </w:rPr>
        <w:t xml:space="preserve"> </w:t>
      </w:r>
      <w:r>
        <w:rPr>
          <w:rFonts w:ascii="Arial" w:cs="Arial" w:eastAsia="Arial" w:hAnsi="Arial"/>
          <w:sz w:val="19"/>
          <w:szCs w:val="19"/>
          <w:color w:val="auto"/>
        </w:rPr>
        <w:t>and $96.4 million for the year ended December 31, 2019, as compared to $13.6 million for the fourth quarter of 2018 and $47.9 million for the year ended December 31, 2018. This increase was primarily related to increased costs and personnel expenses associated with building the company’s commercial infrastructure and to support the overall growth of the business. General and administrative expenses included $8.1 million in stock-based compensation expenses for the fourth quarter of 2019 and $26.1 million in stock-based compensation expenses for the year ended December 31, 2019.</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$66.3 million for the fourth quarter of 2019 and $347.7 million for the year</w:t>
      </w:r>
    </w:p>
    <w:p>
      <w:pPr>
        <w:ind w:left="640" w:right="40"/>
        <w:spacing w:after="0" w:line="241" w:lineRule="auto"/>
        <w:rPr>
          <w:rFonts w:ascii="Arial" w:cs="Arial" w:eastAsia="Arial" w:hAnsi="Arial"/>
          <w:sz w:val="18"/>
          <w:szCs w:val="18"/>
          <w:color w:val="auto"/>
        </w:rPr>
      </w:pPr>
      <w:r>
        <w:rPr>
          <w:rFonts w:ascii="Arial" w:cs="Arial" w:eastAsia="Arial" w:hAnsi="Arial"/>
          <w:sz w:val="20"/>
          <w:szCs w:val="20"/>
          <w:color w:val="auto"/>
        </w:rPr>
        <w:t>ended December 31, 2019, or a net loss per share of $1.35 and $7.27, respectively, as compared to a net loss of $80.3 million for the fourth quarter of 2018 and $236.6 million for the year ended December 31, 2018, or a net loss per share of $1.83 and $5.39,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487045</wp:posOffset>
            </wp:positionV>
            <wp:extent cx="5960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Financial Guidance</w:t>
      </w:r>
    </w:p>
    <w:p>
      <w:pPr>
        <w:spacing w:after="0" w:line="23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Based on its current operating plans, Blueprint Medicines expects that its existing cash, cash equivalents and investments including the $308.2 million in estimated net proceeds from the January 2020 follow-on public offering, together with anticipated product revenues but excluding any additional potential option fees, milestone payments or other payments under its collaboration or license agreements, will be sufficient to enable it to fund its operating expenses and capital expenditure requirements into the second half of 2022.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35"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Blueprint Medicines will host a live conference call and webcast at 8:30 a.m. ET today to discuss fourth quarter and full year 2019 financial results and recent business activities. The conference call may be accessed by dialing (855) 728-4793 (domestic) or (503) 343-6666 (international) and referring to conference ID 26735762. A webcast of the conference call will be available in the Investors section of the Blueprint Medicines’ website</w:t>
      </w:r>
    </w:p>
    <w:p>
      <w:pPr>
        <w:spacing w:after="0" w:line="3" w:lineRule="exact"/>
        <w:rPr>
          <w:sz w:val="20"/>
          <w:szCs w:val="20"/>
          <w:color w:val="auto"/>
        </w:rPr>
      </w:pPr>
    </w:p>
    <w:p>
      <w:pPr>
        <w:ind w:right="820"/>
        <w:spacing w:after="0" w:line="298" w:lineRule="auto"/>
        <w:rPr>
          <w:sz w:val="20"/>
          <w:szCs w:val="20"/>
          <w:color w:val="auto"/>
        </w:rPr>
      </w:pPr>
      <w:r>
        <w:rPr>
          <w:rFonts w:ascii="Arial" w:cs="Arial" w:eastAsia="Arial" w:hAnsi="Arial"/>
          <w:sz w:val="18"/>
          <w:szCs w:val="18"/>
          <w:color w:val="auto"/>
        </w:rPr>
        <w:t>at http://ir.blueprintmedicines.com. The archived webcast will be available on Blueprint Medicines’ website approximately two hours after the conference call and will be available for 30 days following the call.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multiple research programs. For more information, visit www.BlueprintMedicines.com and follow us on Twitter (@BlueprintMeds) and LinkedIn.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development of AYVAKIT™ (avapritinib), pralsetinib, fisogatinib, and BLU-263, including the timing, designs, implementation, enrollment, plans and announcement of results regarding Blueprint Medicines' ongoing and planned clinical trials for avapritinib, pralsetinib, fisogatinib and BLU-263; plans and timelines for nominating additional development candidates; plans and timelines for submitting marketing applications for avapritinib and pralsetinib and, if approved, commercializing avapritinib for additional indications or pralsetinib; the potential benefits of Blueprint Medicines' current and future approved drugs or drug candidates in treating patients; plans, timelines and expectations for top-line data from the VOYAGER trial; expectations regarding Blueprint Medicines' existing cash, cash equivalents and investments; and Blueprint Medicines' strategy, goals and anticipated milestones, business plans and focus; the potential benefits of Blueprint Medicines’ current and future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324485</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15" w:right="127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8"/>
          <w:szCs w:val="18"/>
          <w:color w:val="auto"/>
        </w:rPr>
        <w:t>Medicines’ ability and plan in establishing a commercial infrastructure, and successfully launching, marketing and selling its approved product; Blueprint Medicines’ ability to successfully expand the approved indications for AYVAKIT or obtain marketing approval for AYVAKIT in additional geographies in the future;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1640840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21" w:right="131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December 31,</w:t>
            </w: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December 31,</w:t>
            </w:r>
          </w:p>
        </w:tc>
      </w:tr>
      <w:tr>
        <w:trPr>
          <w:trHeight w:val="237"/>
        </w:trPr>
        <w:tc>
          <w:tcPr>
            <w:tcW w:w="45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b w:val="1"/>
                <w:bCs w:val="1"/>
                <w:color w:val="auto"/>
              </w:rPr>
              <w:t>2019</w:t>
            </w:r>
          </w:p>
        </w:tc>
        <w:tc>
          <w:tcPr>
            <w:tcW w:w="3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2018</w:t>
            </w: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20"/>
                <w:szCs w:val="20"/>
                <w:color w:val="auto"/>
              </w:rPr>
              <w:t>Cash, cash equivalents and investments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547,960</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494,012</w:t>
            </w: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Working capital (1)</w:t>
            </w: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410,304</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439,464</w:t>
            </w:r>
          </w:p>
        </w:tc>
      </w:tr>
      <w:tr>
        <w:trPr>
          <w:trHeight w:val="263"/>
        </w:trPr>
        <w:tc>
          <w:tcPr>
            <w:tcW w:w="452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32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707,694</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540,124</w:t>
            </w: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Deferred revenue</w:t>
            </w: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46,073</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46,167</w:t>
            </w:r>
          </w:p>
        </w:tc>
      </w:tr>
      <w:tr>
        <w:trPr>
          <w:trHeight w:val="263"/>
        </w:trPr>
        <w:tc>
          <w:tcPr>
            <w:tcW w:w="4520" w:type="dxa"/>
            <w:vAlign w:val="bottom"/>
            <w:shd w:val="clear" w:color="auto" w:fill="CCEEFF"/>
          </w:tcPr>
          <w:p>
            <w:pPr>
              <w:spacing w:after="0"/>
              <w:rPr>
                <w:sz w:val="20"/>
                <w:szCs w:val="20"/>
                <w:color w:val="auto"/>
              </w:rPr>
            </w:pPr>
            <w:r>
              <w:rPr>
                <w:rFonts w:ascii="Arial" w:cs="Arial" w:eastAsia="Arial" w:hAnsi="Arial"/>
                <w:sz w:val="20"/>
                <w:szCs w:val="20"/>
                <w:color w:val="auto"/>
              </w:rPr>
              <w:t>Lease incentive obligation</w:t>
            </w:r>
          </w:p>
        </w:tc>
        <w:tc>
          <w:tcPr>
            <w:tcW w:w="32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14,617</w:t>
            </w: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Total stockholders’ equity</w:t>
            </w: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464,359</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419,009</w:t>
            </w:r>
          </w:p>
        </w:tc>
      </w:tr>
    </w:tbl>
    <w:p>
      <w:pPr>
        <w:spacing w:after="0" w:line="27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1980" w:type="dxa"/>
            <w:vAlign w:val="bottom"/>
            <w:gridSpan w:val="6"/>
          </w:tcPr>
          <w:p>
            <w:pPr>
              <w:ind w:left="60"/>
              <w:spacing w:after="0"/>
              <w:rPr>
                <w:sz w:val="20"/>
                <w:szCs w:val="20"/>
                <w:color w:val="auto"/>
              </w:rPr>
            </w:pPr>
            <w:r>
              <w:rPr>
                <w:rFonts w:ascii="Arial" w:cs="Arial" w:eastAsia="Arial" w:hAnsi="Arial"/>
                <w:sz w:val="20"/>
                <w:szCs w:val="20"/>
                <w:b w:val="1"/>
                <w:bCs w:val="1"/>
                <w:color w:val="auto"/>
                <w:w w:val="96"/>
              </w:rPr>
              <w:t>Three Months Ended</w:t>
            </w:r>
          </w:p>
        </w:tc>
        <w:tc>
          <w:tcPr>
            <w:tcW w:w="100" w:type="dxa"/>
            <w:vAlign w:val="bottom"/>
          </w:tcPr>
          <w:p>
            <w:pPr>
              <w:spacing w:after="0"/>
              <w:rPr>
                <w:sz w:val="19"/>
                <w:szCs w:val="19"/>
                <w:color w:val="auto"/>
              </w:rPr>
            </w:pPr>
          </w:p>
        </w:tc>
        <w:tc>
          <w:tcPr>
            <w:tcW w:w="1980" w:type="dxa"/>
            <w:vAlign w:val="bottom"/>
            <w:gridSpan w:val="4"/>
          </w:tcPr>
          <w:p>
            <w:pPr>
              <w:jc w:val="right"/>
              <w:ind w:right="401"/>
              <w:spacing w:after="0"/>
              <w:rPr>
                <w:sz w:val="20"/>
                <w:szCs w:val="20"/>
                <w:color w:val="auto"/>
              </w:rPr>
            </w:pPr>
            <w:r>
              <w:rPr>
                <w:rFonts w:ascii="Arial" w:cs="Arial" w:eastAsia="Arial" w:hAnsi="Arial"/>
                <w:sz w:val="20"/>
                <w:szCs w:val="20"/>
                <w:b w:val="1"/>
                <w:bCs w:val="1"/>
                <w:color w:val="auto"/>
              </w:rPr>
              <w:t>Years Ended</w:t>
            </w:r>
          </w:p>
        </w:tc>
        <w:tc>
          <w:tcPr>
            <w:tcW w:w="0" w:type="dxa"/>
            <w:vAlign w:val="bottom"/>
          </w:tcPr>
          <w:p>
            <w:pPr>
              <w:spacing w:after="0"/>
              <w:rPr>
                <w:sz w:val="1"/>
                <w:szCs w:val="1"/>
                <w:color w:val="auto"/>
              </w:rPr>
            </w:pPr>
          </w:p>
        </w:tc>
      </w:tr>
      <w:tr>
        <w:trPr>
          <w:trHeight w:val="252"/>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5"/>
          </w:tcPr>
          <w:p>
            <w:pPr>
              <w:ind w:left="240"/>
              <w:spacing w:after="0"/>
              <w:rPr>
                <w:sz w:val="20"/>
                <w:szCs w:val="20"/>
                <w:color w:val="auto"/>
              </w:rPr>
            </w:pPr>
            <w:r>
              <w:rPr>
                <w:rFonts w:ascii="Arial" w:cs="Arial" w:eastAsia="Arial" w:hAnsi="Arial"/>
                <w:sz w:val="20"/>
                <w:szCs w:val="20"/>
                <w:b w:val="1"/>
                <w:bCs w:val="1"/>
                <w:color w:val="auto"/>
              </w:rPr>
              <w:t>December 31,</w:t>
            </w:r>
          </w:p>
        </w:tc>
        <w:tc>
          <w:tcPr>
            <w:tcW w:w="100" w:type="dxa"/>
            <w:vAlign w:val="bottom"/>
          </w:tcPr>
          <w:p>
            <w:pPr>
              <w:spacing w:after="0"/>
              <w:rPr>
                <w:sz w:val="21"/>
                <w:szCs w:val="21"/>
                <w:color w:val="auto"/>
              </w:rPr>
            </w:pPr>
          </w:p>
        </w:tc>
        <w:tc>
          <w:tcPr>
            <w:tcW w:w="1980" w:type="dxa"/>
            <w:vAlign w:val="bottom"/>
            <w:gridSpan w:val="4"/>
          </w:tcPr>
          <w:p>
            <w:pPr>
              <w:jc w:val="right"/>
              <w:ind w:right="38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41"/>
              <w:spacing w:after="0" w:line="223" w:lineRule="exact"/>
              <w:rPr>
                <w:sz w:val="20"/>
                <w:szCs w:val="20"/>
                <w:color w:val="auto"/>
              </w:rPr>
            </w:pPr>
            <w:r>
              <w:rPr>
                <w:rFonts w:ascii="Arial" w:cs="Arial" w:eastAsia="Arial" w:hAnsi="Arial"/>
                <w:sz w:val="20"/>
                <w:szCs w:val="20"/>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21"/>
              <w:spacing w:after="0" w:line="223" w:lineRule="exact"/>
              <w:rPr>
                <w:sz w:val="20"/>
                <w:szCs w:val="20"/>
                <w:color w:val="auto"/>
              </w:rPr>
            </w:pPr>
            <w:r>
              <w:rPr>
                <w:rFonts w:ascii="Arial" w:cs="Arial" w:eastAsia="Arial" w:hAnsi="Arial"/>
                <w:sz w:val="20"/>
                <w:szCs w:val="20"/>
                <w:b w:val="1"/>
                <w:bCs w:val="1"/>
                <w:color w:val="auto"/>
              </w:rPr>
              <w:t>2018</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81"/>
              <w:spacing w:after="0" w:line="223" w:lineRule="exact"/>
              <w:rPr>
                <w:sz w:val="20"/>
                <w:szCs w:val="20"/>
                <w:color w:val="auto"/>
              </w:rPr>
            </w:pPr>
            <w:r>
              <w:rPr>
                <w:rFonts w:ascii="Arial" w:cs="Arial" w:eastAsia="Arial" w:hAnsi="Arial"/>
                <w:sz w:val="20"/>
                <w:szCs w:val="20"/>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81"/>
              <w:spacing w:after="0" w:line="223" w:lineRule="exact"/>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Collaboration revenue</w:t>
            </w: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51,533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66,512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44,521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20"/>
                <w:szCs w:val="20"/>
                <w:color w:val="auto"/>
              </w:rPr>
              <w:t>Operating expenses: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Research and development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88,646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70,532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331,450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243,621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General and administrative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32,265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13,643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96,388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47,928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Total operating expenses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120,911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84,175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427,838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291,549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20"/>
                <w:szCs w:val="20"/>
                <w:color w:val="auto"/>
              </w:rPr>
              <w:t>Other income (expense):</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Interest income (expense), net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10,566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Other income (expense), net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Total other income (expense)</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3,047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2,820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13,632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10,386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Net loss</w:t>
            </w: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(66,331)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u w:val="single" w:color="auto"/>
                <w:color w:val="auto"/>
                <w:w w:val="71"/>
              </w:rPr>
              <w:t>$</w:t>
            </w:r>
          </w:p>
        </w:tc>
        <w:tc>
          <w:tcPr>
            <w:tcW w:w="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(80,322)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(347,694)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1"/>
              </w:rPr>
              <w:t>(236,642)</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(5.39)</w:t>
            </w:r>
          </w:p>
        </w:tc>
        <w:tc>
          <w:tcPr>
            <w:tcW w:w="0" w:type="dxa"/>
            <w:vAlign w:val="bottom"/>
          </w:tcPr>
          <w:p>
            <w:pPr>
              <w:spacing w:after="0"/>
              <w:rPr>
                <w:sz w:val="1"/>
                <w:szCs w:val="1"/>
                <w:color w:val="auto"/>
              </w:rPr>
            </w:pPr>
          </w:p>
        </w:tc>
      </w:tr>
      <w:tr>
        <w:trPr>
          <w:trHeight w:val="186"/>
        </w:trPr>
        <w:tc>
          <w:tcPr>
            <w:tcW w:w="5320" w:type="dxa"/>
            <w:vAlign w:val="bottom"/>
          </w:tcPr>
          <w:p>
            <w:pPr>
              <w:spacing w:after="0" w:line="186" w:lineRule="exact"/>
              <w:rPr>
                <w:sz w:val="20"/>
                <w:szCs w:val="20"/>
                <w:color w:val="auto"/>
              </w:rPr>
            </w:pPr>
            <w:r>
              <w:rPr>
                <w:rFonts w:ascii="Arial" w:cs="Arial" w:eastAsia="Arial" w:hAnsi="Arial"/>
                <w:sz w:val="20"/>
                <w:szCs w:val="20"/>
                <w:color w:val="auto"/>
                <w:w w:val="96"/>
              </w:rPr>
              <w:t>Weighted-average number of common shares used in net loss</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49,218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43,994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47,829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43,867</w:t>
            </w:r>
          </w:p>
        </w:tc>
        <w:tc>
          <w:tcPr>
            <w:tcW w:w="0" w:type="dxa"/>
            <w:vAlign w:val="bottom"/>
          </w:tcPr>
          <w:p>
            <w:pPr>
              <w:spacing w:after="0"/>
              <w:rPr>
                <w:sz w:val="1"/>
                <w:szCs w:val="1"/>
                <w:color w:val="auto"/>
              </w:rPr>
            </w:pPr>
          </w:p>
        </w:tc>
      </w:tr>
      <w:tr>
        <w:trPr>
          <w:trHeight w:val="240"/>
        </w:trPr>
        <w:tc>
          <w:tcPr>
            <w:tcW w:w="5320" w:type="dxa"/>
            <w:vAlign w:val="bottom"/>
          </w:tcPr>
          <w:p>
            <w:pPr>
              <w:ind w:left="240"/>
              <w:spacing w:after="0"/>
              <w:rPr>
                <w:sz w:val="20"/>
                <w:szCs w:val="20"/>
                <w:color w:val="auto"/>
              </w:rPr>
            </w:pPr>
            <w:r>
              <w:rPr>
                <w:rFonts w:ascii="Arial" w:cs="Arial" w:eastAsia="Arial" w:hAnsi="Arial"/>
                <w:sz w:val="20"/>
                <w:szCs w:val="20"/>
                <w:color w:val="auto"/>
              </w:rPr>
              <w:t>per share — basic and diluted</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49"/>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5" w:right="125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Investor and Media Contact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Jim Baker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617-844-8236</w:t>
      </w:r>
    </w:p>
    <w:p>
      <w:pPr>
        <w:spacing w:after="0"/>
        <w:rPr>
          <w:sz w:val="20"/>
          <w:szCs w:val="20"/>
          <w:color w:val="auto"/>
        </w:rPr>
      </w:pPr>
      <w:r>
        <w:rPr>
          <w:rFonts w:ascii="Arial" w:cs="Arial" w:eastAsia="Arial" w:hAnsi="Arial"/>
          <w:sz w:val="16"/>
          <w:szCs w:val="16"/>
          <w:color w:val="auto"/>
        </w:rPr>
        <w:t>media@blueprintmedicines.com</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Kristin Hodous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617-714-6674</w:t>
      </w:r>
    </w:p>
    <w:p>
      <w:pPr>
        <w:spacing w:after="0"/>
        <w:rPr>
          <w:sz w:val="20"/>
          <w:szCs w:val="20"/>
          <w:color w:val="auto"/>
        </w:rPr>
      </w:pPr>
      <w:r>
        <w:rPr>
          <w:rFonts w:ascii="Arial" w:cs="Arial" w:eastAsia="Arial" w:hAnsi="Arial"/>
          <w:sz w:val="20"/>
          <w:szCs w:val="20"/>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343535</wp:posOffset>
            </wp:positionV>
            <wp:extent cx="5960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199"/>
      </w:cols>
      <w:pgMar w:left="1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2020-02-13T09:53:21Z</dcterms:created>
  <dcterms:modified xsi:type="dcterms:W3CDTF">2020-02-13T09:53:21Z</dcterms:modified>
</cp:coreProperties>
</file>