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Beckman Daniella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12/08/2021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Blueprint Medicines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BPMC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 w:right="1577"/>
        <w:spacing w:after="0" w:line="31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BLUEPRINT MEDICINES CORPORATION</w:t>
      </w: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45 SIDNEY STREET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CAMBRIDGE MA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02139</w:t>
            </w:r>
          </w:p>
        </w:tc>
      </w:tr>
    </w:tbl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3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12/10/2021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39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4" w:lineRule="auto"/>
        <w:tabs>
          <w:tab w:leader="none" w:pos="460" w:val="left"/>
        </w:tabs>
        <w:numPr>
          <w:ilvl w:val="0"/>
          <w:numId w:val="4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60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6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Form 3 is being amended to correct the Reporting Owner, which was incorrect in the original report due to the use of erroneous filer codes, and is otherwise unchanged.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1"/>
              </w:rPr>
              <w:t>/s/ Ariel Hurley,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03/31/2022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513422" TargetMode="External"/><Relationship Id="rId11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2022-03-31T15:24:19Z</dcterms:created>
  <dcterms:modified xsi:type="dcterms:W3CDTF">2022-03-31T15:24:19Z</dcterms:modified>
</cp:coreProperties>
</file>