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May 15, 2020, Blueprint Medicines Corporation issued a press release announcing that the U.S. Food and Drug Administration has issued a complete response letter for the new drug application of avapritinib for the treatment of adults with unresectable or metastatic fourth-line gastrointestinal stromal tumor. A copy of the press release is filed herewith as Exhibit 99.1 to this Current Report on Form 8-K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May 15, 2020</w:t>
              </w:r>
            </w:hyperlink>
          </w:p>
        </w:tc>
      </w:tr>
      <w:tr>
        <w:trPr>
          <w:trHeight w:val="230"/>
        </w:trPr>
        <w:tc>
          <w:tcPr>
            <w:tcW w:w="144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0" w:type="dxa"/>
            <w:vAlign w:val="bottom"/>
          </w:tcPr>
          <w:p>
            <w:pPr>
              <w:jc w:val="right"/>
              <w:ind w:right="4830"/>
              <w:spacing w:after="0"/>
              <w:rPr>
                <w:sz w:val="20"/>
                <w:szCs w:val="20"/>
                <w:color w:val="auto"/>
              </w:rPr>
            </w:pPr>
            <w:r>
              <w:rPr>
                <w:rFonts w:ascii="Arial" w:cs="Arial" w:eastAsia="Arial" w:hAnsi="Arial"/>
                <w:sz w:val="18"/>
                <w:szCs w:val="18"/>
                <w:color w:val="auto"/>
              </w:rPr>
              <w:t>2</w:t>
            </w:r>
          </w:p>
        </w:tc>
      </w:tr>
      <w:tr>
        <w:trPr>
          <w:trHeight w:val="777"/>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May 15,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ind w:left="7740"/>
        <w:spacing w:after="0"/>
        <w:rPr>
          <w:sz w:val="20"/>
          <w:szCs w:val="20"/>
          <w:color w:val="auto"/>
        </w:rPr>
      </w:pPr>
      <w:r>
        <w:rPr>
          <w:rFonts w:ascii="Arial" w:cs="Arial" w:eastAsia="Arial" w:hAnsi="Arial"/>
          <w:sz w:val="19"/>
          <w:szCs w:val="19"/>
          <w:color w:val="auto"/>
        </w:rPr>
        <w:t>Exhibit 99.1</w:t>
      </w:r>
    </w:p>
    <w:p>
      <w:pPr>
        <w:jc w:val="center"/>
        <w:ind w:right="19"/>
        <w:spacing w:after="0" w:line="217" w:lineRule="auto"/>
        <w:rPr>
          <w:sz w:val="20"/>
          <w:szCs w:val="20"/>
          <w:color w:val="auto"/>
        </w:rPr>
      </w:pPr>
      <w:r>
        <w:rPr>
          <w:rFonts w:ascii="Arial" w:cs="Arial" w:eastAsia="Arial" w:hAnsi="Arial"/>
          <w:sz w:val="20"/>
          <w:szCs w:val="20"/>
          <w:b w:val="1"/>
          <w:bCs w:val="1"/>
          <w:color w:val="auto"/>
        </w:rPr>
        <w:t>Blueprint Medicines Receives Complete Response Letter from FDA for Avapritinib</w:t>
      </w:r>
    </w:p>
    <w:p>
      <w:pPr>
        <w:jc w:val="center"/>
        <w:ind w:right="19"/>
        <w:spacing w:after="0"/>
        <w:rPr>
          <w:sz w:val="20"/>
          <w:szCs w:val="20"/>
          <w:color w:val="auto"/>
        </w:rPr>
      </w:pPr>
      <w:r>
        <w:rPr>
          <w:rFonts w:ascii="Arial" w:cs="Arial" w:eastAsia="Arial" w:hAnsi="Arial"/>
          <w:sz w:val="20"/>
          <w:szCs w:val="20"/>
          <w:b w:val="1"/>
          <w:bCs w:val="1"/>
          <w:color w:val="auto"/>
        </w:rPr>
        <w:t>New Drug Application for the Treatment of Fourth-Line Gastrointestinal Stromal Tumor</w:t>
      </w:r>
    </w:p>
    <w:p>
      <w:pPr>
        <w:spacing w:after="0" w:line="132" w:lineRule="exact"/>
        <w:rPr>
          <w:sz w:val="20"/>
          <w:szCs w:val="20"/>
          <w:color w:val="auto"/>
        </w:rPr>
      </w:pPr>
    </w:p>
    <w:p>
      <w:pPr>
        <w:ind w:left="200" w:right="279"/>
        <w:spacing w:after="0" w:line="207" w:lineRule="auto"/>
        <w:rPr>
          <w:sz w:val="20"/>
          <w:szCs w:val="20"/>
          <w:color w:val="auto"/>
        </w:rPr>
      </w:pPr>
      <w:r>
        <w:rPr>
          <w:rFonts w:ascii="Arial" w:cs="Arial" w:eastAsia="Arial" w:hAnsi="Arial"/>
          <w:sz w:val="20"/>
          <w:szCs w:val="20"/>
          <w:color w:val="auto"/>
        </w:rPr>
        <w:t>CAMBRIDGE, Mass., May 15, 2020 –Blueprint Medicines Corporation (NASDAQ: BPMC), a precision therapy company focused on genomically defined cancers, rare diseases and cancer immunotherapy, today announced that the U.S. Food and Drug Administration (FDA) has issued a complete response letter (CRL) for the new drug application of avapritinib for the treatment of adults with unresectable or metastatic fourth-line gastrointestinal stromal tumor (GIST). The CRL states that the FDA cannot approve the application.</w:t>
      </w:r>
    </w:p>
    <w:p>
      <w:pPr>
        <w:spacing w:after="0" w:line="133" w:lineRule="exact"/>
        <w:rPr>
          <w:sz w:val="20"/>
          <w:szCs w:val="20"/>
          <w:color w:val="auto"/>
        </w:rPr>
      </w:pPr>
    </w:p>
    <w:p>
      <w:pPr>
        <w:ind w:left="200" w:right="299"/>
        <w:spacing w:after="0" w:line="228" w:lineRule="auto"/>
        <w:rPr>
          <w:sz w:val="20"/>
          <w:szCs w:val="20"/>
          <w:color w:val="auto"/>
        </w:rPr>
      </w:pPr>
      <w:r>
        <w:rPr>
          <w:rFonts w:ascii="Arial" w:cs="Arial" w:eastAsia="Arial" w:hAnsi="Arial"/>
          <w:sz w:val="18"/>
          <w:szCs w:val="18"/>
          <w:color w:val="auto"/>
        </w:rPr>
        <w:t>As previously announced, Blueprint Medicines plans to continue to commercialize AYVAKIT™ (avapritinib) in the United States for the treatment of adults with unresectable or metastatic GIST harboring a PDGFRA exon 18 mutation, including PDGFRA D842V mutations, and seek marketing approval for avapritinib for the treatment of this patient population in additional geographies, including the European Union. In addition, Blueprint Medicines continues to advance development of avapritinib for the treatment of systemic mastocytosis (SM). Based on top-line results reported in April 2020 for Blueprint Medicines’ Phase 3 VOYAGER trial, the company previously announced plans to discontinue further development of avapritinib in GIST indications other than PDGFRA exon 18 mutant GIST.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A0A0A"/>
        </w:rPr>
        <w:t>About AYVAKIT (avapritinib)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-122555</wp:posOffset>
            </wp:positionV>
            <wp:extent cx="5452110" cy="1080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080135"/>
                    </a:xfrm>
                    <a:prstGeom prst="rect">
                      <a:avLst/>
                    </a:prstGeom>
                    <a:noFill/>
                  </pic:spPr>
                </pic:pic>
              </a:graphicData>
            </a:graphic>
          </wp:anchor>
        </w:drawing>
      </w:r>
    </w:p>
    <w:p>
      <w:pPr>
        <w:spacing w:after="0" w:line="134" w:lineRule="exact"/>
        <w:rPr>
          <w:sz w:val="20"/>
          <w:szCs w:val="20"/>
          <w:color w:val="auto"/>
        </w:rPr>
      </w:pPr>
    </w:p>
    <w:p>
      <w:pPr>
        <w:ind w:left="200" w:right="499"/>
        <w:spacing w:after="0" w:line="231" w:lineRule="auto"/>
        <w:rPr>
          <w:sz w:val="20"/>
          <w:szCs w:val="20"/>
          <w:color w:val="auto"/>
        </w:rPr>
      </w:pPr>
      <w:r>
        <w:rPr>
          <w:rFonts w:ascii="Arial" w:cs="Arial" w:eastAsia="Arial" w:hAnsi="Arial"/>
          <w:sz w:val="18"/>
          <w:szCs w:val="18"/>
          <w:color w:val="0A0A0A"/>
        </w:rPr>
        <w:t>AYVAKIT (avapritinib) is a kinase inhibitor approved by the FDA for the treatment of adults with unresectable or metastatic GIST harboring a PDGFRA exon 18 mutation, including PDGFRA D842V mutations. AYVAKIT is the first precision therapy approved to treat a genomically defined population of patients with GIST and the only highly active treatment for PDGFRA exon 18 mutant GIST. The FDA granted Breakthrough Therapy Designation to avapritinib for the treatment of unresectable or metastatic GIST harboring the PDGFRA D842V mutation. For more information, visit AYVAKIT.com.</w:t>
      </w:r>
    </w:p>
    <w:p>
      <w:pPr>
        <w:spacing w:after="0" w:line="128" w:lineRule="exact"/>
        <w:rPr>
          <w:sz w:val="20"/>
          <w:szCs w:val="20"/>
          <w:color w:val="auto"/>
        </w:rPr>
      </w:pPr>
    </w:p>
    <w:p>
      <w:pPr>
        <w:ind w:left="200" w:right="339"/>
        <w:spacing w:after="0" w:line="229" w:lineRule="auto"/>
        <w:rPr>
          <w:sz w:val="20"/>
          <w:szCs w:val="20"/>
          <w:color w:val="auto"/>
        </w:rPr>
      </w:pPr>
      <w:r>
        <w:rPr>
          <w:rFonts w:ascii="Arial" w:cs="Arial" w:eastAsia="Arial" w:hAnsi="Arial"/>
          <w:sz w:val="20"/>
          <w:szCs w:val="20"/>
          <w:color w:val="auto"/>
        </w:rPr>
        <w:t>Avapritinib is not approved for the treatment of any other indication in the U.S. or any other jurisdiction by the FDA or any other health authority.</w:t>
      </w:r>
    </w:p>
    <w:p>
      <w:pPr>
        <w:spacing w:after="0" w:line="128" w:lineRule="exact"/>
        <w:rPr>
          <w:sz w:val="20"/>
          <w:szCs w:val="20"/>
          <w:color w:val="auto"/>
        </w:rPr>
      </w:pPr>
    </w:p>
    <w:p>
      <w:pPr>
        <w:ind w:left="200" w:right="359"/>
        <w:spacing w:after="0" w:line="213" w:lineRule="auto"/>
        <w:rPr>
          <w:sz w:val="20"/>
          <w:szCs w:val="20"/>
          <w:color w:val="auto"/>
        </w:rPr>
      </w:pPr>
      <w:r>
        <w:rPr>
          <w:rFonts w:ascii="Arial" w:cs="Arial" w:eastAsia="Arial" w:hAnsi="Arial"/>
          <w:sz w:val="20"/>
          <w:szCs w:val="20"/>
          <w:color w:val="0A0A0A"/>
        </w:rPr>
        <w:t>Blueprint Medicines is developing avapritinib globally for the treatment of advanced, smoldering and indolent SM. The FDA granted Breakthrough Therapy Designation to avapritinib for the treatment of advanced SM, including the subtypes of aggressive SM, SM with an associated hematologic neoplasm and mast cell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-498475</wp:posOffset>
            </wp:positionV>
            <wp:extent cx="545211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600075"/>
                    </a:xfrm>
                    <a:prstGeom prst="rect">
                      <a:avLst/>
                    </a:prstGeom>
                    <a:noFill/>
                  </pic:spPr>
                </pic:pic>
              </a:graphicData>
            </a:graphic>
          </wp:anchor>
        </w:drawing>
      </w:r>
    </w:p>
    <w:p>
      <w:pPr>
        <w:spacing w:after="0" w:line="109" w:lineRule="exact"/>
        <w:rPr>
          <w:sz w:val="20"/>
          <w:szCs w:val="20"/>
          <w:color w:val="auto"/>
        </w:rPr>
      </w:pPr>
    </w:p>
    <w:p>
      <w:pPr>
        <w:ind w:left="200" w:right="259"/>
        <w:spacing w:after="0" w:line="213" w:lineRule="auto"/>
        <w:rPr>
          <w:sz w:val="20"/>
          <w:szCs w:val="20"/>
          <w:color w:val="auto"/>
        </w:rPr>
      </w:pPr>
      <w:r>
        <w:rPr>
          <w:rFonts w:ascii="Arial" w:cs="Arial" w:eastAsia="Arial" w:hAnsi="Arial"/>
          <w:sz w:val="20"/>
          <w:szCs w:val="20"/>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545211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20015"/>
                    </a:xfrm>
                    <a:prstGeom prst="rect">
                      <a:avLst/>
                    </a:prstGeom>
                    <a:noFill/>
                  </pic:spPr>
                </pic:pic>
              </a:graphicData>
            </a:graphic>
          </wp:anchor>
        </w:drawing>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left="200" w:right="339"/>
        <w:spacing w:after="0" w:line="233"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200" w:right="379"/>
        <w:spacing w:after="0" w:line="219" w:lineRule="auto"/>
        <w:rPr>
          <w:sz w:val="20"/>
          <w:szCs w:val="20"/>
          <w:color w:val="auto"/>
        </w:rPr>
      </w:pPr>
      <w:r>
        <w:rPr>
          <w:rFonts w:ascii="Arial" w:cs="Arial" w:eastAsia="Arial" w:hAnsi="Arial"/>
          <w:sz w:val="20"/>
          <w:szCs w:val="20"/>
          <w:color w:val="auto"/>
        </w:rPr>
        <w:t xml:space="preserve">and are currently advancing multiple investigational medicines in clinical development, along with a number of research programs. For more information, visit </w:t>
      </w:r>
      <w:r>
        <w:rPr>
          <w:rFonts w:ascii="Arial" w:cs="Arial" w:eastAsia="Arial" w:hAnsi="Arial"/>
          <w:sz w:val="20"/>
          <w:szCs w:val="20"/>
          <w:color w:val="auto"/>
          <w:highlight w:val="white"/>
        </w:rPr>
        <w:t>www.BlueprintMedicines.com</w:t>
      </w:r>
      <w:r>
        <w:rPr>
          <w:rFonts w:ascii="Arial" w:cs="Arial" w:eastAsia="Arial" w:hAnsi="Arial"/>
          <w:sz w:val="20"/>
          <w:szCs w:val="20"/>
          <w:color w:val="auto"/>
        </w:rPr>
        <w:t xml:space="preserve"> </w:t>
      </w:r>
      <w:r>
        <w:rPr>
          <w:rFonts w:ascii="Arial" w:cs="Arial" w:eastAsia="Arial" w:hAnsi="Arial"/>
          <w:sz w:val="20"/>
          <w:szCs w:val="20"/>
          <w:color w:val="0A0A0A"/>
          <w:highlight w:val="white"/>
        </w:rPr>
        <w:t>and follow us on</w:t>
      </w:r>
      <w:r>
        <w:rPr>
          <w:rFonts w:ascii="Arial" w:cs="Arial" w:eastAsia="Arial" w:hAnsi="Arial"/>
          <w:sz w:val="20"/>
          <w:szCs w:val="20"/>
          <w:color w:val="auto"/>
        </w:rPr>
        <w:t xml:space="preserve"> </w:t>
      </w:r>
      <w:r>
        <w:rPr>
          <w:rFonts w:ascii="Arial" w:cs="Arial" w:eastAsia="Arial" w:hAnsi="Arial"/>
          <w:sz w:val="20"/>
          <w:szCs w:val="20"/>
          <w:color w:val="auto"/>
          <w:highlight w:val="white"/>
        </w:rPr>
        <w:t xml:space="preserve">Twitter </w:t>
      </w:r>
      <w:r>
        <w:rPr>
          <w:rFonts w:ascii="Arial" w:cs="Arial" w:eastAsia="Arial" w:hAnsi="Arial"/>
          <w:sz w:val="20"/>
          <w:szCs w:val="20"/>
          <w:color w:val="0A0A0A"/>
          <w:highlight w:val="white"/>
        </w:rPr>
        <w:t>(@BlueprintMeds) and</w:t>
      </w:r>
      <w:r>
        <w:rPr>
          <w:rFonts w:ascii="Arial" w:cs="Arial" w:eastAsia="Arial" w:hAnsi="Arial"/>
          <w:sz w:val="20"/>
          <w:szCs w:val="20"/>
          <w:color w:val="auto"/>
          <w:highlight w:val="white"/>
        </w:rPr>
        <w:t xml:space="preserve"> LinkedIn</w:t>
      </w:r>
      <w:r>
        <w:rPr>
          <w:rFonts w:ascii="Arial" w:cs="Arial" w:eastAsia="Arial" w:hAnsi="Arial"/>
          <w:sz w:val="20"/>
          <w:szCs w:val="20"/>
          <w:color w:val="0A0A0A"/>
          <w:highlight w:val="white"/>
        </w:rPr>
        <w: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This press release contains forward-looking statements within the meaning of the Private</w:t>
      </w:r>
    </w:p>
    <w:p>
      <w:pPr>
        <w:ind w:left="200" w:right="219"/>
        <w:spacing w:after="0" w:line="219" w:lineRule="auto"/>
        <w:rPr>
          <w:sz w:val="20"/>
          <w:szCs w:val="20"/>
          <w:color w:val="auto"/>
        </w:rPr>
      </w:pPr>
      <w:r>
        <w:rPr>
          <w:rFonts w:ascii="Arial" w:cs="Arial" w:eastAsia="Arial" w:hAnsi="Arial"/>
          <w:sz w:val="18"/>
          <w:szCs w:val="18"/>
          <w:color w:val="auto"/>
        </w:rPr>
        <w:t>Securities Litigation Reform Act of 1995, as amended, including, without limitation, statements regarding plans to continue to commercialize AYVAKIT in the United States for the treatment of adults with unresectable or metastatic GIST harboring a PDGFRA exon 18 mutation, including PDGFRA D842V mutations, and plans to seek marketing approval for avapritinib for the treatment of this patient population in additional geographies; plans to discontinue further development of avapritinib for GIST indications other than PDGFRA exon 18 mutant GIST; the potential benefits of Blueprint Medicines’ current and future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the launch, marketing and sale of current or future approved products; Blueprint Medicines’ ability and plan in establishing a commercial infrastructure, and successfully launching, marketing and selling its approved product; Blueprint Medicines’ ability to successfully expand the approved indications for AYVAKIT or obtain marketing approval for AYVAKIT in additional geographies in the future; the delay of any current or planned clinical trials or the development of Blueprint Medicines’ drug candidates or licensed product candidate; Blueprint Medicines’ advancement of multiple early-stage efforts; Blueprint Medicines’ ability to successfully demonstrate the efficacy and safety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w:t>
      </w:r>
    </w:p>
    <w:p>
      <w:pPr>
        <w:spacing w:after="0" w:line="4" w:lineRule="exact"/>
        <w:rPr>
          <w:sz w:val="20"/>
          <w:szCs w:val="20"/>
          <w:color w:val="auto"/>
        </w:rPr>
      </w:pPr>
    </w:p>
    <w:p>
      <w:pPr>
        <w:ind w:left="200" w:right="279"/>
        <w:spacing w:after="0" w:line="206" w:lineRule="auto"/>
        <w:rPr>
          <w:sz w:val="20"/>
          <w:szCs w:val="20"/>
          <w:color w:val="auto"/>
        </w:rPr>
      </w:pPr>
      <w:r>
        <w:rPr>
          <w:rFonts w:ascii="Arial" w:cs="Arial" w:eastAsia="Arial" w:hAnsi="Arial"/>
          <w:sz w:val="20"/>
          <w:szCs w:val="20"/>
          <w:color w:val="auto"/>
        </w:rPr>
        <w:t>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856615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20"/>
          <w:szCs w:val="20"/>
          <w:b w:val="1"/>
          <w:bCs w:val="1"/>
          <w:color w:val="auto"/>
        </w:rPr>
        <w:t>Investor Relations Contact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Kristin Hodous</w:t>
      </w:r>
    </w:p>
    <w:p>
      <w:pPr>
        <w:ind w:left="200"/>
        <w:spacing w:after="0" w:line="197" w:lineRule="auto"/>
        <w:rPr>
          <w:sz w:val="20"/>
          <w:szCs w:val="20"/>
          <w:color w:val="auto"/>
        </w:rPr>
      </w:pPr>
      <w:r>
        <w:rPr>
          <w:rFonts w:ascii="Arial" w:cs="Arial" w:eastAsia="Arial" w:hAnsi="Arial"/>
          <w:sz w:val="20"/>
          <w:szCs w:val="20"/>
          <w:color w:val="auto"/>
        </w:rPr>
        <w:t>617-714-6674</w:t>
      </w:r>
    </w:p>
    <w:p>
      <w:pPr>
        <w:ind w:left="200"/>
        <w:spacing w:after="0"/>
        <w:rPr>
          <w:sz w:val="20"/>
          <w:szCs w:val="20"/>
          <w:color w:val="auto"/>
        </w:rPr>
      </w:pPr>
      <w:r>
        <w:rPr>
          <w:rFonts w:ascii="Arial" w:cs="Arial" w:eastAsia="Arial" w:hAnsi="Arial"/>
          <w:sz w:val="20"/>
          <w:szCs w:val="20"/>
          <w:color w:val="auto"/>
        </w:rPr>
        <w:t>ir@blueprintmedicines.com</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Media Relations Contact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Andrew Law</w:t>
      </w:r>
    </w:p>
    <w:p>
      <w:pPr>
        <w:ind w:left="200"/>
        <w:spacing w:after="0" w:line="197" w:lineRule="auto"/>
        <w:rPr>
          <w:sz w:val="20"/>
          <w:szCs w:val="20"/>
          <w:color w:val="auto"/>
        </w:rPr>
      </w:pPr>
      <w:r>
        <w:rPr>
          <w:rFonts w:ascii="Arial" w:cs="Arial" w:eastAsia="Arial" w:hAnsi="Arial"/>
          <w:sz w:val="20"/>
          <w:szCs w:val="20"/>
          <w:color w:val="auto"/>
        </w:rPr>
        <w:t>617-844-8205</w:t>
      </w:r>
    </w:p>
    <w:p>
      <w:pPr>
        <w:ind w:left="20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1240790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2020-05-15T07:31:55Z</dcterms:created>
  <dcterms:modified xsi:type="dcterms:W3CDTF">2020-05-15T07:31:55Z</dcterms:modified>
</cp:coreProperties>
</file>