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333-216573</w:t>
      </w:r>
    </w:p>
    <w:p>
      <w:pPr>
        <w:spacing w:after="0" w:line="200" w:lineRule="exact"/>
        <w:rPr>
          <w:sz w:val="24"/>
          <w:szCs w:val="24"/>
          <w:color w:val="auto"/>
        </w:rPr>
      </w:pPr>
    </w:p>
    <w:p>
      <w:pPr>
        <w:spacing w:after="0" w:line="232" w:lineRule="exact"/>
        <w:rPr>
          <w:sz w:val="24"/>
          <w:szCs w:val="24"/>
          <w:color w:val="auto"/>
        </w:rPr>
      </w:pPr>
    </w:p>
    <w:tbl>
      <w:tblPr>
        <w:tblLayout w:type="fixed"/>
        <w:tblInd w:w="960" w:type="dxa"/>
        <w:tblCellMar>
          <w:top w:w="0" w:type="dxa"/>
          <w:left w:w="0" w:type="dxa"/>
          <w:bottom w:w="0" w:type="dxa"/>
          <w:right w:w="0" w:type="dxa"/>
        </w:tblCellMar>
      </w:tblPr>
      <w:tr>
        <w:trPr>
          <w:trHeight w:val="40"/>
        </w:trPr>
        <w:tc>
          <w:tcPr>
            <w:tcW w:w="408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spacing w:after="0" w:line="186" w:lineRule="exact"/>
              <w:rPr>
                <w:sz w:val="20"/>
                <w:szCs w:val="20"/>
                <w:color w:val="auto"/>
              </w:rPr>
            </w:pPr>
            <w:r>
              <w:rPr>
                <w:rFonts w:ascii="Arial" w:cs="Arial" w:eastAsia="Arial" w:hAnsi="Arial"/>
                <w:sz w:val="18"/>
                <w:szCs w:val="18"/>
                <w:color w:val="auto"/>
                <w:w w:val="98"/>
              </w:rPr>
              <w:t>Proposed</w:t>
            </w:r>
          </w:p>
        </w:tc>
        <w:tc>
          <w:tcPr>
            <w:tcW w:w="1380" w:type="dxa"/>
            <w:vAlign w:val="bottom"/>
          </w:tcPr>
          <w:p>
            <w:pPr>
              <w:jc w:val="center"/>
              <w:ind w:left="12"/>
              <w:spacing w:after="0" w:line="186" w:lineRule="exact"/>
              <w:rPr>
                <w:sz w:val="20"/>
                <w:szCs w:val="20"/>
                <w:color w:val="auto"/>
              </w:rPr>
            </w:pPr>
            <w:r>
              <w:rPr>
                <w:rFonts w:ascii="Arial" w:cs="Arial" w:eastAsia="Arial" w:hAnsi="Arial"/>
                <w:sz w:val="18"/>
                <w:szCs w:val="18"/>
                <w:color w:val="auto"/>
                <w:w w:val="98"/>
              </w:rPr>
              <w:t>Proposed</w:t>
            </w:r>
          </w:p>
        </w:tc>
        <w:tc>
          <w:tcPr>
            <w:tcW w:w="1160" w:type="dxa"/>
            <w:vAlign w:val="bottom"/>
            <w:vMerge w:val="restart"/>
          </w:tcPr>
          <w:p>
            <w:pPr>
              <w:jc w:val="center"/>
              <w:ind w:left="72"/>
              <w:spacing w:after="0"/>
              <w:rPr>
                <w:sz w:val="20"/>
                <w:szCs w:val="20"/>
                <w:color w:val="auto"/>
              </w:rPr>
            </w:pPr>
            <w:r>
              <w:rPr>
                <w:rFonts w:ascii="Arial" w:cs="Arial" w:eastAsia="Arial" w:hAnsi="Arial"/>
                <w:sz w:val="18"/>
                <w:szCs w:val="18"/>
                <w:color w:val="auto"/>
                <w:w w:val="97"/>
              </w:rPr>
              <w:t>Amount of</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Arial" w:cs="Arial" w:eastAsia="Arial" w:hAnsi="Arial"/>
                <w:sz w:val="18"/>
                <w:szCs w:val="18"/>
                <w:color w:val="auto"/>
                <w:w w:val="97"/>
              </w:rPr>
              <w:t>Maximum</w:t>
            </w:r>
          </w:p>
        </w:tc>
        <w:tc>
          <w:tcPr>
            <w:tcW w:w="1380" w:type="dxa"/>
            <w:vAlign w:val="bottom"/>
          </w:tcPr>
          <w:p>
            <w:pPr>
              <w:jc w:val="center"/>
              <w:ind w:left="12"/>
              <w:spacing w:after="0" w:line="162" w:lineRule="exact"/>
              <w:rPr>
                <w:sz w:val="20"/>
                <w:szCs w:val="20"/>
                <w:color w:val="auto"/>
              </w:rPr>
            </w:pPr>
            <w:r>
              <w:rPr>
                <w:rFonts w:ascii="Arial" w:cs="Arial" w:eastAsia="Arial" w:hAnsi="Arial"/>
                <w:sz w:val="18"/>
                <w:szCs w:val="18"/>
                <w:color w:val="auto"/>
                <w:w w:val="97"/>
              </w:rPr>
              <w:t>Maximum</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80" w:type="dxa"/>
            <w:vAlign w:val="bottom"/>
          </w:tcPr>
          <w:p>
            <w:pPr>
              <w:spacing w:after="0"/>
              <w:rPr>
                <w:sz w:val="17"/>
                <w:szCs w:val="17"/>
                <w:color w:val="auto"/>
              </w:rPr>
            </w:pPr>
          </w:p>
        </w:tc>
        <w:tc>
          <w:tcPr>
            <w:tcW w:w="1360" w:type="dxa"/>
            <w:vAlign w:val="bottom"/>
          </w:tcPr>
          <w:p>
            <w:pPr>
              <w:ind w:left="200"/>
              <w:spacing w:after="0" w:line="202" w:lineRule="exact"/>
              <w:rPr>
                <w:sz w:val="20"/>
                <w:szCs w:val="20"/>
                <w:color w:val="auto"/>
              </w:rPr>
            </w:pPr>
            <w:r>
              <w:rPr>
                <w:rFonts w:ascii="Arial" w:cs="Arial" w:eastAsia="Arial" w:hAnsi="Arial"/>
                <w:sz w:val="18"/>
                <w:szCs w:val="18"/>
                <w:color w:val="auto"/>
              </w:rPr>
              <w:t>Amount to be</w:t>
            </w:r>
          </w:p>
        </w:tc>
        <w:tc>
          <w:tcPr>
            <w:tcW w:w="18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Offering Price</w:t>
            </w:r>
          </w:p>
        </w:tc>
        <w:tc>
          <w:tcPr>
            <w:tcW w:w="1380" w:type="dxa"/>
            <w:vAlign w:val="bottom"/>
          </w:tcPr>
          <w:p>
            <w:pPr>
              <w:jc w:val="center"/>
              <w:ind w:left="12"/>
              <w:spacing w:after="0" w:line="202" w:lineRule="exact"/>
              <w:rPr>
                <w:sz w:val="20"/>
                <w:szCs w:val="20"/>
                <w:color w:val="auto"/>
              </w:rPr>
            </w:pPr>
            <w:r>
              <w:rPr>
                <w:rFonts w:ascii="Arial" w:cs="Arial" w:eastAsia="Arial" w:hAnsi="Arial"/>
                <w:sz w:val="18"/>
                <w:szCs w:val="18"/>
                <w:color w:val="auto"/>
                <w:w w:val="96"/>
              </w:rPr>
              <w:t>Aggregate</w:t>
            </w:r>
          </w:p>
        </w:tc>
        <w:tc>
          <w:tcPr>
            <w:tcW w:w="1160" w:type="dxa"/>
            <w:vAlign w:val="bottom"/>
          </w:tcPr>
          <w:p>
            <w:pPr>
              <w:jc w:val="center"/>
              <w:ind w:left="92"/>
              <w:spacing w:after="0" w:line="202" w:lineRule="exact"/>
              <w:rPr>
                <w:sz w:val="20"/>
                <w:szCs w:val="20"/>
                <w:color w:val="auto"/>
              </w:rPr>
            </w:pPr>
            <w:r>
              <w:rPr>
                <w:rFonts w:ascii="Arial" w:cs="Arial" w:eastAsia="Arial" w:hAnsi="Arial"/>
                <w:sz w:val="18"/>
                <w:szCs w:val="18"/>
                <w:color w:val="auto"/>
                <w:w w:val="97"/>
              </w:rPr>
              <w:t>Registration</w:t>
            </w:r>
          </w:p>
        </w:tc>
        <w:tc>
          <w:tcPr>
            <w:tcW w:w="0" w:type="dxa"/>
            <w:vAlign w:val="bottom"/>
          </w:tcPr>
          <w:p>
            <w:pPr>
              <w:spacing w:after="0"/>
              <w:rPr>
                <w:sz w:val="1"/>
                <w:szCs w:val="1"/>
                <w:color w:val="auto"/>
              </w:rPr>
            </w:pPr>
          </w:p>
        </w:tc>
      </w:tr>
      <w:tr>
        <w:trPr>
          <w:trHeight w:val="274"/>
        </w:trPr>
        <w:tc>
          <w:tcPr>
            <w:tcW w:w="4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Title of Each Class of Securities to be Registered</w:t>
            </w:r>
          </w:p>
        </w:tc>
        <w:tc>
          <w:tcPr>
            <w:tcW w:w="1360" w:type="dxa"/>
            <w:vAlign w:val="bottom"/>
            <w:tcBorders>
              <w:bottom w:val="single" w:sz="8" w:color="auto"/>
            </w:tcBorders>
          </w:tcPr>
          <w:p>
            <w:pPr>
              <w:ind w:left="200"/>
              <w:spacing w:after="0" w:line="267" w:lineRule="exact"/>
              <w:rPr>
                <w:sz w:val="20"/>
                <w:szCs w:val="20"/>
                <w:color w:val="auto"/>
              </w:rPr>
            </w:pPr>
            <w:r>
              <w:rPr>
                <w:rFonts w:ascii="Arial" w:cs="Arial" w:eastAsia="Arial" w:hAnsi="Arial"/>
                <w:sz w:val="18"/>
                <w:szCs w:val="18"/>
                <w:color w:val="auto"/>
              </w:rPr>
              <w:t>Registered</w:t>
            </w:r>
            <w:r>
              <w:rPr>
                <w:rFonts w:ascii="Arial" w:cs="Arial" w:eastAsia="Arial" w:hAnsi="Arial"/>
                <w:sz w:val="29"/>
                <w:szCs w:val="29"/>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Per Unit</w:t>
            </w:r>
          </w:p>
        </w:tc>
        <w:tc>
          <w:tcPr>
            <w:tcW w:w="13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8"/>
              </w:rPr>
              <w:t>Offering Price</w:t>
            </w:r>
          </w:p>
        </w:tc>
        <w:tc>
          <w:tcPr>
            <w:tcW w:w="1160" w:type="dxa"/>
            <w:vAlign w:val="bottom"/>
            <w:tcBorders>
              <w:bottom w:val="single" w:sz="8" w:color="auto"/>
            </w:tcBorders>
          </w:tcPr>
          <w:p>
            <w:pPr>
              <w:jc w:val="center"/>
              <w:ind w:left="72"/>
              <w:spacing w:after="0" w:line="267" w:lineRule="exact"/>
              <w:rPr>
                <w:sz w:val="20"/>
                <w:szCs w:val="20"/>
                <w:color w:val="auto"/>
              </w:rPr>
            </w:pPr>
            <w:r>
              <w:rPr>
                <w:rFonts w:ascii="Arial" w:cs="Arial" w:eastAsia="Arial" w:hAnsi="Arial"/>
                <w:sz w:val="18"/>
                <w:szCs w:val="18"/>
                <w:color w:val="auto"/>
                <w:w w:val="87"/>
              </w:rPr>
              <w:t>Fee</w:t>
            </w:r>
            <w:r>
              <w:rPr>
                <w:rFonts w:ascii="Arial" w:cs="Arial" w:eastAsia="Arial" w:hAnsi="Arial"/>
                <w:sz w:val="29"/>
                <w:szCs w:val="29"/>
                <w:color w:val="auto"/>
                <w:w w:val="87"/>
                <w:vertAlign w:val="superscript"/>
              </w:rPr>
              <w:t>(2)</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4,259,259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344,999,979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42,952.50</w:t>
            </w:r>
          </w:p>
        </w:tc>
        <w:tc>
          <w:tcPr>
            <w:tcW w:w="0" w:type="dxa"/>
            <w:vAlign w:val="bottom"/>
          </w:tcPr>
          <w:p>
            <w:pPr>
              <w:spacing w:after="0"/>
              <w:rPr>
                <w:sz w:val="1"/>
                <w:szCs w:val="1"/>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4"/>
          <w:szCs w:val="24"/>
          <w:color w:val="auto"/>
        </w:rPr>
      </w:pPr>
    </w:p>
    <w:p>
      <w:pPr>
        <w:ind w:left="540" w:right="20" w:hanging="532"/>
        <w:spacing w:after="0" w:line="193" w:lineRule="auto"/>
        <w:tabs>
          <w:tab w:leader="none" w:pos="54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Includes 555,555 shares of common stock, par value $0.001 per share, which may be purchased by the underwriters upon exercise of the underwriters' option to purchase additional shares.</w:t>
      </w:r>
    </w:p>
    <w:p>
      <w:pPr>
        <w:spacing w:after="0" w:line="72"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Calculated in accordance with Rule 456(b) and 457(r) of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 to Prospectus dated March 9, 2017.</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auto"/>
        </w:rPr>
        <w:t>3,703,704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144780</wp:posOffset>
            </wp:positionV>
            <wp:extent cx="3636010" cy="1346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3601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Blueprint Medicines Corporation</w:t>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auto"/>
        </w:rPr>
        <w:t>Common Stock</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selling 3,703,704 shares of our common stock.</w:t>
      </w:r>
    </w:p>
    <w:p>
      <w:pPr>
        <w:spacing w:after="0" w:line="212" w:lineRule="exact"/>
        <w:rPr>
          <w:sz w:val="20"/>
          <w:szCs w:val="20"/>
          <w:color w:val="auto"/>
        </w:rPr>
      </w:pPr>
    </w:p>
    <w:p>
      <w:pPr>
        <w:ind w:right="380" w:firstLine="488"/>
        <w:spacing w:after="0" w:line="239" w:lineRule="auto"/>
        <w:rPr>
          <w:sz w:val="20"/>
          <w:szCs w:val="20"/>
          <w:color w:val="auto"/>
        </w:rPr>
      </w:pPr>
      <w:r>
        <w:rPr>
          <w:rFonts w:ascii="Arial" w:cs="Arial" w:eastAsia="Arial" w:hAnsi="Arial"/>
          <w:sz w:val="18"/>
          <w:szCs w:val="18"/>
          <w:color w:val="auto"/>
        </w:rPr>
        <w:t>Our common stock is listed on the Nasdaq Global Select Market under the symbol "BPMC." The last reported sale price of our common stock on the Nasdaq Global Select Market on December 12, 2017 was $81.98 per share.</w:t>
      </w:r>
    </w:p>
    <w:p>
      <w:pPr>
        <w:spacing w:after="0" w:line="209"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 for this prospectus supplement and future filings. However, as of June 30, 2017, the market value of our common stock that was held by non-affiliates exceeded $700 million, and as a result, we will no longer qualify for such status after December 31, 2017.</w:t>
      </w:r>
    </w:p>
    <w:p>
      <w:pPr>
        <w:spacing w:after="0" w:line="191" w:lineRule="exact"/>
        <w:rPr>
          <w:sz w:val="20"/>
          <w:szCs w:val="20"/>
          <w:color w:val="auto"/>
        </w:rPr>
      </w:pPr>
    </w:p>
    <w:p>
      <w:pPr>
        <w:ind w:right="60" w:firstLine="488"/>
        <w:spacing w:after="0" w:line="247" w:lineRule="auto"/>
        <w:rPr>
          <w:sz w:val="20"/>
          <w:szCs w:val="20"/>
          <w:color w:val="auto"/>
        </w:rPr>
      </w:pPr>
      <w:r>
        <w:rPr>
          <w:rFonts w:ascii="Arial" w:cs="Arial" w:eastAsia="Arial" w:hAnsi="Arial"/>
          <w:sz w:val="18"/>
          <w:szCs w:val="18"/>
          <w:i w:val="1"/>
          <w:iCs w:val="1"/>
          <w:color w:val="auto"/>
        </w:rPr>
        <w:t>Investing in our common stock involves a high degree of risk. See "Risk Factors" beginning on page S-16 of this prospectus supplement, as well as in the documents incorporated or deemed to be incorporated by reference into this prospectus supplement and the accompanying prospectus, for a discussion of the factors you should carefully consider before deciding to purchase our common stock.</w:t>
      </w:r>
    </w:p>
    <w:p>
      <w:pPr>
        <w:spacing w:after="0" w:line="181" w:lineRule="exact"/>
        <w:rPr>
          <w:sz w:val="20"/>
          <w:szCs w:val="20"/>
          <w:color w:val="auto"/>
        </w:rPr>
      </w:pPr>
    </w:p>
    <w:p>
      <w:pPr>
        <w:ind w:right="100" w:firstLine="488"/>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adequacy or accuracy of this prospectus supplement or the accompanying prospectus. Any representation to the contrary is a criminal offense.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9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Per share</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Total</w:t>
            </w:r>
          </w:p>
        </w:tc>
      </w:tr>
      <w:tr>
        <w:trPr>
          <w:trHeight w:val="205"/>
        </w:trPr>
        <w:tc>
          <w:tcPr>
            <w:tcW w:w="5640" w:type="dxa"/>
            <w:vAlign w:val="bottom"/>
            <w:gridSpan w:val="2"/>
          </w:tcPr>
          <w:p>
            <w:pPr>
              <w:spacing w:after="0" w:line="206" w:lineRule="exact"/>
              <w:rPr>
                <w:sz w:val="20"/>
                <w:szCs w:val="20"/>
                <w:color w:val="auto"/>
              </w:rPr>
            </w:pPr>
            <w:r>
              <w:rPr>
                <w:rFonts w:ascii="Arial" w:cs="Arial" w:eastAsia="Arial" w:hAnsi="Arial"/>
                <w:sz w:val="18"/>
                <w:szCs w:val="18"/>
                <w:color w:val="auto"/>
              </w:rPr>
              <w:t>Public offering price</w:t>
            </w:r>
          </w:p>
        </w:tc>
        <w:tc>
          <w:tcPr>
            <w:tcW w:w="900" w:type="dxa"/>
            <w:vAlign w:val="bottom"/>
            <w:gridSpan w:val="2"/>
          </w:tcPr>
          <w:p>
            <w:pPr>
              <w:jc w:val="right"/>
              <w:ind w:right="100"/>
              <w:spacing w:after="0" w:line="20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6" w:lineRule="exact"/>
              <w:rPr>
                <w:sz w:val="20"/>
                <w:szCs w:val="20"/>
                <w:color w:val="auto"/>
              </w:rPr>
            </w:pPr>
            <w:r>
              <w:rPr>
                <w:rFonts w:ascii="Arial" w:cs="Arial" w:eastAsia="Arial" w:hAnsi="Arial"/>
                <w:sz w:val="18"/>
                <w:szCs w:val="18"/>
                <w:color w:val="auto"/>
              </w:rPr>
              <w:t>81.00</w:t>
            </w:r>
          </w:p>
        </w:tc>
        <w:tc>
          <w:tcPr>
            <w:tcW w:w="340" w:type="dxa"/>
            <w:vAlign w:val="bottom"/>
            <w:gridSpan w:val="2"/>
          </w:tcPr>
          <w:p>
            <w:pPr>
              <w:jc w:val="right"/>
              <w:ind w:right="80"/>
              <w:spacing w:after="0" w:line="20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6" w:lineRule="exact"/>
              <w:rPr>
                <w:sz w:val="20"/>
                <w:szCs w:val="20"/>
                <w:color w:val="auto"/>
              </w:rPr>
            </w:pPr>
            <w:r>
              <w:rPr>
                <w:rFonts w:ascii="Arial" w:cs="Arial" w:eastAsia="Arial" w:hAnsi="Arial"/>
                <w:sz w:val="18"/>
                <w:szCs w:val="18"/>
                <w:color w:val="auto"/>
              </w:rPr>
              <w:t>300,000,024</w:t>
            </w:r>
          </w:p>
        </w:tc>
      </w:tr>
      <w:tr>
        <w:trPr>
          <w:trHeight w:val="244"/>
        </w:trPr>
        <w:tc>
          <w:tcPr>
            <w:tcW w:w="5640" w:type="dxa"/>
            <w:vAlign w:val="bottom"/>
            <w:gridSpan w:val="2"/>
          </w:tcPr>
          <w:p>
            <w:pPr>
              <w:spacing w:after="0" w:line="243" w:lineRule="exact"/>
              <w:rPr>
                <w:sz w:val="20"/>
                <w:szCs w:val="20"/>
                <w:color w:val="auto"/>
              </w:rPr>
            </w:pPr>
            <w:r>
              <w:rPr>
                <w:rFonts w:ascii="Arial" w:cs="Arial" w:eastAsia="Arial" w:hAnsi="Arial"/>
                <w:sz w:val="17"/>
                <w:szCs w:val="17"/>
                <w:color w:val="auto"/>
              </w:rPr>
              <w:t>Underwriting discount</w:t>
            </w:r>
            <w:r>
              <w:rPr>
                <w:rFonts w:ascii="Arial" w:cs="Arial" w:eastAsia="Arial" w:hAnsi="Arial"/>
                <w:sz w:val="28"/>
                <w:szCs w:val="28"/>
                <w:color w:val="auto"/>
                <w:vertAlign w:val="superscript"/>
              </w:rPr>
              <w:t>(1)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4.455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16,500,001</w:t>
            </w:r>
          </w:p>
        </w:tc>
      </w:tr>
      <w:tr>
        <w:trPr>
          <w:trHeight w:val="211"/>
        </w:trPr>
        <w:tc>
          <w:tcPr>
            <w:tcW w:w="5640" w:type="dxa"/>
            <w:vAlign w:val="bottom"/>
            <w:gridSpan w:val="2"/>
          </w:tcPr>
          <w:p>
            <w:pPr>
              <w:spacing w:after="0"/>
              <w:rPr>
                <w:sz w:val="20"/>
                <w:szCs w:val="20"/>
                <w:color w:val="auto"/>
              </w:rPr>
            </w:pPr>
            <w:r>
              <w:rPr>
                <w:rFonts w:ascii="Arial" w:cs="Arial" w:eastAsia="Arial" w:hAnsi="Arial"/>
                <w:sz w:val="18"/>
                <w:szCs w:val="18"/>
                <w:color w:val="auto"/>
              </w:rPr>
              <w:t>Proceeds, before expenses, to Blueprint Medicines Corporation</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76.545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283,500,023</w:t>
            </w:r>
          </w:p>
        </w:tc>
      </w:tr>
      <w:tr>
        <w:trPr>
          <w:trHeight w:val="97"/>
        </w:trPr>
        <w:tc>
          <w:tcPr>
            <w:tcW w:w="9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r>
    </w:tbl>
    <w:p>
      <w:pPr>
        <w:spacing w:after="0" w:line="140" w:lineRule="exact"/>
        <w:rPr>
          <w:sz w:val="20"/>
          <w:szCs w:val="20"/>
          <w:color w:val="auto"/>
        </w:rPr>
      </w:pPr>
    </w:p>
    <w:p>
      <w:pPr>
        <w:ind w:left="1680" w:hanging="531"/>
        <w:spacing w:after="0"/>
        <w:tabs>
          <w:tab w:leader="none" w:pos="1680"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We refer you to "Underwriting" beginning on page S-26 of this prospectus supplement for additional information regarding underwriter compensation.</w:t>
      </w:r>
    </w:p>
    <w:p>
      <w:pPr>
        <w:spacing w:after="0" w:line="204" w:lineRule="exact"/>
        <w:rPr>
          <w:sz w:val="20"/>
          <w:szCs w:val="20"/>
          <w:color w:val="auto"/>
        </w:rPr>
      </w:pPr>
    </w:p>
    <w:p>
      <w:pPr>
        <w:ind w:right="560" w:firstLine="488"/>
        <w:spacing w:after="0" w:line="239"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supplement to purchase up to an additional 555,555 shares of our common stock at the public offering price less the underwriting discounts and commissions.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underwriters expect to deliver the shares against payment in New York, New York on or about December 15, 2017.</w:t>
      </w:r>
    </w:p>
    <w:p>
      <w:pPr>
        <w:spacing w:after="0" w:line="190" w:lineRule="exact"/>
        <w:rPr>
          <w:sz w:val="20"/>
          <w:szCs w:val="20"/>
          <w:color w:val="auto"/>
        </w:rPr>
      </w:pPr>
    </w:p>
    <w:p>
      <w:pPr>
        <w:ind w:left="1440"/>
        <w:spacing w:after="0"/>
        <w:tabs>
          <w:tab w:leader="none" w:pos="5040" w:val="left"/>
          <w:tab w:leader="none" w:pos="8560" w:val="left"/>
        </w:tabs>
        <w:rPr>
          <w:sz w:val="20"/>
          <w:szCs w:val="20"/>
          <w:color w:val="auto"/>
        </w:rPr>
      </w:pPr>
      <w:r>
        <w:rPr>
          <w:rFonts w:ascii="Arial" w:cs="Arial" w:eastAsia="Arial" w:hAnsi="Arial"/>
          <w:sz w:val="18"/>
          <w:szCs w:val="18"/>
          <w:b w:val="1"/>
          <w:bCs w:val="1"/>
          <w:color w:val="auto"/>
        </w:rPr>
        <w:t>Goldman Sachs &amp; Co. LLC</w:t>
      </w:r>
      <w:r>
        <w:rPr>
          <w:sz w:val="20"/>
          <w:szCs w:val="20"/>
          <w:color w:val="auto"/>
        </w:rPr>
        <w:tab/>
      </w:r>
      <w:r>
        <w:rPr>
          <w:rFonts w:ascii="Arial" w:cs="Arial" w:eastAsia="Arial" w:hAnsi="Arial"/>
          <w:sz w:val="18"/>
          <w:szCs w:val="18"/>
          <w:b w:val="1"/>
          <w:bCs w:val="1"/>
          <w:color w:val="auto"/>
        </w:rPr>
        <w:t>Morgan Stanley</w:t>
      </w:r>
      <w:r>
        <w:rPr>
          <w:sz w:val="20"/>
          <w:szCs w:val="20"/>
          <w:color w:val="auto"/>
        </w:rPr>
        <w:tab/>
      </w:r>
      <w:r>
        <w:rPr>
          <w:rFonts w:ascii="Arial" w:cs="Arial" w:eastAsia="Arial" w:hAnsi="Arial"/>
          <w:sz w:val="16"/>
          <w:szCs w:val="16"/>
          <w:b w:val="1"/>
          <w:bCs w:val="1"/>
          <w:color w:val="auto"/>
        </w:rPr>
        <w:t>Cowen</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Canaccord Genuity</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Prospectus Supplement dated December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60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40"/>
        </w:trPr>
        <w:tc>
          <w:tcPr>
            <w:tcW w:w="1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6"/>
          </w:tcPr>
          <w:p>
            <w:pPr>
              <w:jc w:val="center"/>
              <w:ind w:right="2920"/>
              <w:spacing w:after="0"/>
              <w:rPr>
                <w:sz w:val="20"/>
                <w:szCs w:val="20"/>
                <w:color w:val="auto"/>
              </w:rPr>
            </w:pPr>
            <w:r>
              <w:rPr>
                <w:rFonts w:ascii="Arial" w:cs="Arial" w:eastAsia="Arial" w:hAnsi="Arial"/>
                <w:sz w:val="18"/>
                <w:szCs w:val="18"/>
                <w:b w:val="1"/>
                <w:bCs w:val="1"/>
                <w:color w:val="auto"/>
                <w:w w:val="95"/>
              </w:rPr>
              <w:t>TABLE OF CONTENTS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gridSpan w:val="9"/>
          </w:tcPr>
          <w:p>
            <w:pPr>
              <w:jc w:val="center"/>
              <w:ind w:right="2480"/>
              <w:spacing w:after="0"/>
              <w:rPr>
                <w:sz w:val="20"/>
                <w:szCs w:val="20"/>
                <w:color w:val="auto"/>
              </w:rPr>
            </w:pPr>
            <w:r>
              <w:rPr>
                <w:rFonts w:ascii="Arial" w:cs="Arial" w:eastAsia="Arial" w:hAnsi="Arial"/>
                <w:sz w:val="18"/>
                <w:szCs w:val="18"/>
                <w:b w:val="1"/>
                <w:bCs w:val="1"/>
                <w:color w:val="auto"/>
                <w:w w:val="97"/>
              </w:rPr>
              <w:t>PROSPECTUS SUPPLEMENT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Page</w:t>
            </w:r>
          </w:p>
        </w:tc>
      </w:tr>
      <w:tr>
        <w:trPr>
          <w:trHeight w:val="176"/>
        </w:trPr>
        <w:tc>
          <w:tcPr>
            <w:tcW w:w="1140" w:type="dxa"/>
            <w:vAlign w:val="bottom"/>
          </w:tcPr>
          <w:p>
            <w:pPr>
              <w:spacing w:after="0"/>
              <w:rPr>
                <w:sz w:val="15"/>
                <w:szCs w:val="15"/>
                <w:color w:val="auto"/>
              </w:rPr>
            </w:pPr>
          </w:p>
        </w:tc>
        <w:tc>
          <w:tcPr>
            <w:tcW w:w="8460" w:type="dxa"/>
            <w:vAlign w:val="bottom"/>
            <w:gridSpan w:val="24"/>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S-1</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S-2</w:t>
              </w:r>
            </w:hyperlink>
          </w:p>
        </w:tc>
      </w:tr>
      <w:tr>
        <w:trPr>
          <w:trHeight w:val="183"/>
        </w:trPr>
        <w:tc>
          <w:tcPr>
            <w:tcW w:w="1140" w:type="dxa"/>
            <w:vAlign w:val="bottom"/>
          </w:tcPr>
          <w:p>
            <w:pPr>
              <w:spacing w:after="0"/>
              <w:rPr>
                <w:sz w:val="15"/>
                <w:szCs w:val="15"/>
                <w:color w:val="auto"/>
              </w:rPr>
            </w:pPr>
          </w:p>
        </w:tc>
        <w:tc>
          <w:tcPr>
            <w:tcW w:w="29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7"/>
          </w:tcPr>
          <w:p>
            <w:pPr>
              <w:spacing w:after="0"/>
              <w:rPr>
                <w:sz w:val="15"/>
                <w:szCs w:val="15"/>
                <w:color w:val="auto"/>
              </w:rPr>
            </w:pPr>
          </w:p>
        </w:tc>
        <w:tc>
          <w:tcPr>
            <w:tcW w:w="466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EE"/>
              <w:bottom w:val="single" w:sz="8" w:color="0000EE"/>
            </w:tcBorders>
            <w:gridSpan w:val="3"/>
          </w:tcPr>
          <w:p>
            <w:pPr>
              <w:jc w:val="right"/>
              <w:spacing w:after="0" w:line="182"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S-2</w:t>
              </w:r>
            </w:hyperlink>
          </w:p>
        </w:tc>
      </w:tr>
      <w:tr>
        <w:trPr>
          <w:trHeight w:val="183"/>
        </w:trPr>
        <w:tc>
          <w:tcPr>
            <w:tcW w:w="1140" w:type="dxa"/>
            <w:vAlign w:val="bottom"/>
          </w:tcPr>
          <w:p>
            <w:pPr>
              <w:spacing w:after="0"/>
              <w:rPr>
                <w:sz w:val="15"/>
                <w:szCs w:val="15"/>
                <w:color w:val="auto"/>
              </w:rPr>
            </w:pPr>
          </w:p>
        </w:tc>
        <w:tc>
          <w:tcPr>
            <w:tcW w:w="5820" w:type="dxa"/>
            <w:vAlign w:val="bottom"/>
            <w:tcBorders>
              <w:bottom w:val="single" w:sz="8" w:color="0000EE"/>
            </w:tcBorders>
            <w:gridSpan w:val="22"/>
          </w:tcPr>
          <w:p>
            <w:pPr>
              <w:spacing w:after="0" w:line="182"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CAUTIONARY NOTE REGARDING FORWARD-LOOKING STATEMENTS</w:t>
              </w:r>
            </w:hyperlink>
          </w:p>
        </w:tc>
        <w:tc>
          <w:tcPr>
            <w:tcW w:w="26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S-4</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PROSPECTUS SUPPLEMENT SUMMARY</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S-6</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2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THE OFFERING</w:t>
              </w:r>
            </w:hyperlink>
          </w:p>
        </w:tc>
        <w:tc>
          <w:tcPr>
            <w:tcW w:w="2040" w:type="dxa"/>
            <w:vAlign w:val="bottom"/>
            <w:gridSpan w:val="12"/>
          </w:tcPr>
          <w:p>
            <w:pPr>
              <w:spacing w:after="0"/>
              <w:rPr>
                <w:sz w:val="15"/>
                <w:szCs w:val="15"/>
                <w:color w:val="auto"/>
              </w:rPr>
            </w:pPr>
          </w:p>
        </w:tc>
        <w:tc>
          <w:tcPr>
            <w:tcW w:w="510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S-14</w:t>
              </w:r>
            </w:hyperlink>
          </w:p>
        </w:tc>
      </w:tr>
      <w:tr>
        <w:trPr>
          <w:trHeight w:val="183"/>
        </w:trPr>
        <w:tc>
          <w:tcPr>
            <w:tcW w:w="1140" w:type="dxa"/>
            <w:vAlign w:val="bottom"/>
          </w:tcPr>
          <w:p>
            <w:pPr>
              <w:spacing w:after="0"/>
              <w:rPr>
                <w:sz w:val="15"/>
                <w:szCs w:val="15"/>
                <w:color w:val="auto"/>
              </w:rPr>
            </w:pPr>
          </w:p>
        </w:tc>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19">
              <w:r>
                <w:rPr>
                  <w:rFonts w:ascii="Arial" w:cs="Arial" w:eastAsia="Arial" w:hAnsi="Arial"/>
                  <w:sz w:val="18"/>
                  <w:szCs w:val="18"/>
                  <w:color w:val="0000EE"/>
                  <w:w w:val="96"/>
                </w:rPr>
                <w:t>RISK FACTORS</w:t>
              </w:r>
            </w:hyperlink>
          </w:p>
        </w:tc>
        <w:tc>
          <w:tcPr>
            <w:tcW w:w="7160" w:type="dxa"/>
            <w:vAlign w:val="bottom"/>
            <w:gridSpan w:val="21"/>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S-16</w:t>
              </w:r>
            </w:hyperlink>
          </w:p>
        </w:tc>
      </w:tr>
      <w:tr>
        <w:trPr>
          <w:trHeight w:val="183"/>
        </w:trPr>
        <w:tc>
          <w:tcPr>
            <w:tcW w:w="1140" w:type="dxa"/>
            <w:vAlign w:val="bottom"/>
          </w:tcPr>
          <w:p>
            <w:pPr>
              <w:spacing w:after="0"/>
              <w:rPr>
                <w:sz w:val="15"/>
                <w:szCs w:val="15"/>
                <w:color w:val="auto"/>
              </w:rPr>
            </w:pPr>
          </w:p>
        </w:tc>
        <w:tc>
          <w:tcPr>
            <w:tcW w:w="170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USE OF PROCEEDS</w:t>
              </w:r>
            </w:hyperlink>
          </w:p>
        </w:tc>
        <w:tc>
          <w:tcPr>
            <w:tcW w:w="6760" w:type="dxa"/>
            <w:vAlign w:val="bottom"/>
            <w:gridSpan w:val="16"/>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S-21</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DILUTION</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S-22</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PRICE RANGE OF COMMON STOCK</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S-24</w:t>
              </w:r>
            </w:hyperlink>
          </w:p>
        </w:tc>
      </w:tr>
      <w:tr>
        <w:trPr>
          <w:trHeight w:val="183"/>
        </w:trPr>
        <w:tc>
          <w:tcPr>
            <w:tcW w:w="1140" w:type="dxa"/>
            <w:vAlign w:val="bottom"/>
          </w:tcPr>
          <w:p>
            <w:pPr>
              <w:spacing w:after="0"/>
              <w:rPr>
                <w:sz w:val="15"/>
                <w:szCs w:val="15"/>
                <w:color w:val="auto"/>
              </w:rPr>
            </w:pPr>
          </w:p>
        </w:tc>
        <w:tc>
          <w:tcPr>
            <w:tcW w:w="30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DIVIDEND POLICY</w:t>
              </w:r>
            </w:hyperlink>
          </w:p>
        </w:tc>
        <w:tc>
          <w:tcPr>
            <w:tcW w:w="5440" w:type="dxa"/>
            <w:vAlign w:val="bottom"/>
            <w:gridSpan w:val="10"/>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S-25</w:t>
              </w:r>
            </w:hyperlink>
          </w:p>
        </w:tc>
      </w:tr>
      <w:tr>
        <w:trPr>
          <w:trHeight w:val="183"/>
        </w:trPr>
        <w:tc>
          <w:tcPr>
            <w:tcW w:w="114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UNDERWRITING</w:t>
              </w:r>
            </w:hyperlink>
          </w:p>
        </w:tc>
        <w:tc>
          <w:tcPr>
            <w:tcW w:w="140" w:type="dxa"/>
            <w:vAlign w:val="bottom"/>
            <w:tcBorders>
              <w:top w:val="single" w:sz="8" w:color="0000EE"/>
            </w:tcBorders>
            <w:gridSpan w:val="2"/>
          </w:tcPr>
          <w:p>
            <w:pPr>
              <w:spacing w:after="0"/>
              <w:rPr>
                <w:sz w:val="15"/>
                <w:szCs w:val="15"/>
                <w:color w:val="auto"/>
              </w:rPr>
            </w:pPr>
          </w:p>
        </w:tc>
        <w:tc>
          <w:tcPr>
            <w:tcW w:w="6920" w:type="dxa"/>
            <w:vAlign w:val="bottom"/>
            <w:gridSpan w:val="17"/>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S-26</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MATERIAL U.S. FEDERAL INCOME TAX CONSIDERATIONS FOR NON-U.S. HOLDERS</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S-33</w:t>
              </w:r>
            </w:hyperlink>
          </w:p>
        </w:tc>
      </w:tr>
      <w:tr>
        <w:trPr>
          <w:trHeight w:val="183"/>
        </w:trPr>
        <w:tc>
          <w:tcPr>
            <w:tcW w:w="1140" w:type="dxa"/>
            <w:vAlign w:val="bottom"/>
          </w:tcPr>
          <w:p>
            <w:pPr>
              <w:spacing w:after="0"/>
              <w:rPr>
                <w:sz w:val="15"/>
                <w:szCs w:val="15"/>
                <w:color w:val="auto"/>
              </w:rPr>
            </w:pPr>
          </w:p>
        </w:tc>
        <w:tc>
          <w:tcPr>
            <w:tcW w:w="70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S-37</w:t>
              </w:r>
            </w:hyperlink>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EXPERTS</w:t>
              </w:r>
            </w:hyperlink>
          </w:p>
        </w:tc>
        <w:tc>
          <w:tcPr>
            <w:tcW w:w="7020" w:type="dxa"/>
            <w:vAlign w:val="bottom"/>
            <w:gridSpan w:val="18"/>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S-37</w:t>
              </w:r>
            </w:hyperlink>
          </w:p>
        </w:tc>
      </w:tr>
      <w:tr>
        <w:trPr>
          <w:trHeight w:val="640"/>
        </w:trPr>
        <w:tc>
          <w:tcPr>
            <w:tcW w:w="1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5"/>
          </w:tcPr>
          <w:p>
            <w:pPr>
              <w:jc w:val="center"/>
              <w:ind w:right="3160"/>
              <w:spacing w:after="0"/>
              <w:rPr>
                <w:sz w:val="20"/>
                <w:szCs w:val="20"/>
                <w:color w:val="auto"/>
              </w:rPr>
            </w:pPr>
            <w:r>
              <w:rPr>
                <w:rFonts w:ascii="Arial" w:cs="Arial" w:eastAsia="Arial" w:hAnsi="Arial"/>
                <w:sz w:val="18"/>
                <w:szCs w:val="18"/>
                <w:b w:val="1"/>
                <w:bCs w:val="1"/>
                <w:color w:val="auto"/>
                <w:w w:val="98"/>
              </w:rPr>
              <w:t>PROSPECTUS</w:t>
            </w: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Page</w:t>
            </w:r>
          </w:p>
        </w:tc>
      </w:tr>
      <w:tr>
        <w:trPr>
          <w:trHeight w:val="176"/>
        </w:trPr>
        <w:tc>
          <w:tcPr>
            <w:tcW w:w="1140" w:type="dxa"/>
            <w:vAlign w:val="bottom"/>
          </w:tcPr>
          <w:p>
            <w:pPr>
              <w:spacing w:after="0"/>
              <w:rPr>
                <w:sz w:val="15"/>
                <w:szCs w:val="15"/>
                <w:color w:val="auto"/>
              </w:rPr>
            </w:pPr>
          </w:p>
        </w:tc>
        <w:tc>
          <w:tcPr>
            <w:tcW w:w="8460" w:type="dxa"/>
            <w:vAlign w:val="bottom"/>
            <w:gridSpan w:val="24"/>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ABOUT THIS PROSPECTUS</w:t>
              </w:r>
            </w:hyperlink>
          </w:p>
        </w:tc>
        <w:tc>
          <w:tcPr>
            <w:tcW w:w="520" w:type="dxa"/>
            <w:vAlign w:val="bottom"/>
            <w:gridSpan w:val="5"/>
          </w:tcPr>
          <w:p>
            <w:pPr>
              <w:jc w:val="right"/>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00" w:type="dxa"/>
            <w:vAlign w:val="bottom"/>
            <w:gridSpan w:val="3"/>
          </w:tcPr>
          <w:p>
            <w:pPr>
              <w:spacing w:after="0" w:line="182"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RISK FACTORS</w:t>
              </w:r>
            </w:hyperlink>
          </w:p>
        </w:tc>
        <w:tc>
          <w:tcPr>
            <w:tcW w:w="1020" w:type="dxa"/>
            <w:vAlign w:val="bottom"/>
            <w:gridSpan w:val="7"/>
          </w:tcPr>
          <w:p>
            <w:pPr>
              <w:spacing w:after="0"/>
              <w:rPr>
                <w:sz w:val="15"/>
                <w:szCs w:val="15"/>
                <w:color w:val="auto"/>
              </w:rPr>
            </w:pPr>
          </w:p>
        </w:tc>
        <w:tc>
          <w:tcPr>
            <w:tcW w:w="6140" w:type="dxa"/>
            <w:vAlign w:val="bottom"/>
            <w:gridSpan w:val="14"/>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WHERE YOU CAN FIND MORE INFORMATION</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00" w:type="dxa"/>
            <w:vAlign w:val="bottom"/>
            <w:gridSpan w:val="12"/>
          </w:tcPr>
          <w:p>
            <w:pPr>
              <w:spacing w:after="0" w:line="182"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INCORPORATION BY REFERENCE</w:t>
              </w:r>
            </w:hyperlink>
          </w:p>
        </w:tc>
        <w:tc>
          <w:tcPr>
            <w:tcW w:w="900" w:type="dxa"/>
            <w:vAlign w:val="bottom"/>
            <w:gridSpan w:val="7"/>
          </w:tcPr>
          <w:p>
            <w:pPr>
              <w:spacing w:after="0"/>
              <w:rPr>
                <w:sz w:val="15"/>
                <w:szCs w:val="15"/>
                <w:color w:val="auto"/>
              </w:rPr>
            </w:pPr>
          </w:p>
        </w:tc>
        <w:tc>
          <w:tcPr>
            <w:tcW w:w="4660" w:type="dxa"/>
            <w:vAlign w:val="bottom"/>
            <w:gridSpan w:val="5"/>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FORWARD-LOOKING STATEMENTS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BLUEPRINT MEDICINES CORPORATION</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RATIOS OF EARNINGS TO FIXED CHARGES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w w:val="97"/>
              </w:rPr>
            </w:pPr>
            <w:hyperlink w:anchor="page49">
              <w:r>
                <w:rPr>
                  <w:rFonts w:ascii="Arial" w:cs="Arial" w:eastAsia="Arial" w:hAnsi="Arial"/>
                  <w:sz w:val="18"/>
                  <w:szCs w:val="18"/>
                  <w:color w:val="0000EE"/>
                  <w:w w:val="97"/>
                </w:rPr>
                <w:t>USE OF PROCEEDS</w:t>
              </w:r>
            </w:hyperlink>
          </w:p>
        </w:tc>
        <w:tc>
          <w:tcPr>
            <w:tcW w:w="3400" w:type="dxa"/>
            <w:vAlign w:val="bottom"/>
            <w:gridSpan w:val="12"/>
          </w:tcPr>
          <w:p>
            <w:pPr>
              <w:spacing w:after="0"/>
              <w:rPr>
                <w:sz w:val="15"/>
                <w:szCs w:val="15"/>
                <w:color w:val="auto"/>
              </w:rPr>
            </w:pPr>
          </w:p>
        </w:tc>
        <w:tc>
          <w:tcPr>
            <w:tcW w:w="3360" w:type="dxa"/>
            <w:vAlign w:val="bottom"/>
            <w:gridSpan w:val="4"/>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DILUTION</w:t>
              </w:r>
            </w:hyperlink>
          </w:p>
        </w:tc>
        <w:tc>
          <w:tcPr>
            <w:tcW w:w="6760" w:type="dxa"/>
            <w:vAlign w:val="bottom"/>
            <w:gridSpan w:val="16"/>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20" w:type="dxa"/>
            <w:vAlign w:val="bottom"/>
            <w:gridSpan w:val="13"/>
          </w:tcPr>
          <w:p>
            <w:pPr>
              <w:spacing w:after="0" w:line="182" w:lineRule="exact"/>
              <w:rPr>
                <w:rFonts w:ascii="Arial" w:cs="Arial" w:eastAsia="Arial" w:hAnsi="Arial"/>
                <w:sz w:val="18"/>
                <w:szCs w:val="18"/>
                <w:color w:val="0000EE"/>
                <w:w w:val="95"/>
              </w:rPr>
            </w:pPr>
            <w:hyperlink w:anchor="page51">
              <w:r>
                <w:rPr>
                  <w:rFonts w:ascii="Arial" w:cs="Arial" w:eastAsia="Arial" w:hAnsi="Arial"/>
                  <w:sz w:val="18"/>
                  <w:szCs w:val="18"/>
                  <w:color w:val="0000EE"/>
                  <w:w w:val="95"/>
                </w:rPr>
                <w:t>DESCRIPTION OF CAPITAL STOCK</w:t>
              </w:r>
            </w:hyperlink>
          </w:p>
        </w:tc>
        <w:tc>
          <w:tcPr>
            <w:tcW w:w="5540" w:type="dxa"/>
            <w:vAlign w:val="bottom"/>
            <w:gridSpan w:val="11"/>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DESCRIPTION OF DEBT SECURITIES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440" w:type="dxa"/>
            <w:vAlign w:val="bottom"/>
            <w:tcBorders>
              <w:bottom w:val="single" w:sz="8" w:color="0000EE"/>
            </w:tcBorders>
            <w:gridSpan w:val="17"/>
          </w:tcPr>
          <w:p>
            <w:pPr>
              <w:spacing w:after="0" w:line="182" w:lineRule="exact"/>
              <w:rPr>
                <w:rFonts w:ascii="Arial" w:cs="Arial" w:eastAsia="Arial" w:hAnsi="Arial"/>
                <w:sz w:val="18"/>
                <w:szCs w:val="18"/>
                <w:color w:val="0000EE"/>
                <w:w w:val="96"/>
              </w:rPr>
            </w:pPr>
            <w:hyperlink w:anchor="page73">
              <w:r>
                <w:rPr>
                  <w:rFonts w:ascii="Arial" w:cs="Arial" w:eastAsia="Arial" w:hAnsi="Arial"/>
                  <w:sz w:val="18"/>
                  <w:szCs w:val="18"/>
                  <w:color w:val="0000EE"/>
                  <w:w w:val="96"/>
                </w:rPr>
                <w:t>DESCRIPTION OF DEPOSITARY SHARES</w:t>
              </w:r>
            </w:hyperlink>
          </w:p>
        </w:tc>
        <w:tc>
          <w:tcPr>
            <w:tcW w:w="5020" w:type="dxa"/>
            <w:vAlign w:val="bottom"/>
            <w:gridSpan w:val="7"/>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31</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DESCRIPTION OF PURCHASE CONTRACTS AND PURCHASE UNITS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34</w:t>
              </w:r>
            </w:hyperlink>
          </w:p>
        </w:tc>
      </w:tr>
      <w:tr>
        <w:trPr>
          <w:trHeight w:val="183"/>
        </w:trPr>
        <w:tc>
          <w:tcPr>
            <w:tcW w:w="1140" w:type="dxa"/>
            <w:vAlign w:val="bottom"/>
          </w:tcPr>
          <w:p>
            <w:pPr>
              <w:spacing w:after="0"/>
              <w:rPr>
                <w:sz w:val="15"/>
                <w:szCs w:val="15"/>
                <w:color w:val="auto"/>
              </w:rPr>
            </w:pPr>
          </w:p>
        </w:tc>
        <w:tc>
          <w:tcPr>
            <w:tcW w:w="568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DESCRIPTION OF WARRANTS</w:t>
              </w:r>
            </w:hyperlink>
          </w:p>
        </w:tc>
        <w:tc>
          <w:tcPr>
            <w:tcW w:w="2780" w:type="dxa"/>
            <w:vAlign w:val="bottom"/>
            <w:gridSpan w:val="3"/>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35</w:t>
              </w:r>
            </w:hyperlink>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7"/>
              </w:rPr>
            </w:pPr>
            <w:hyperlink w:anchor="page78">
              <w:r>
                <w:rPr>
                  <w:rFonts w:ascii="Arial" w:cs="Arial" w:eastAsia="Arial" w:hAnsi="Arial"/>
                  <w:sz w:val="18"/>
                  <w:szCs w:val="18"/>
                  <w:color w:val="0000EE"/>
                  <w:w w:val="97"/>
                </w:rPr>
                <w:t>FORMS OF SECURITIES</w:t>
              </w:r>
            </w:hyperlink>
          </w:p>
        </w:tc>
        <w:tc>
          <w:tcPr>
            <w:tcW w:w="500" w:type="dxa"/>
            <w:vAlign w:val="bottom"/>
            <w:tcBorders>
              <w:top w:val="single" w:sz="8" w:color="0000EE"/>
            </w:tcBorders>
            <w:gridSpan w:val="2"/>
          </w:tcPr>
          <w:p>
            <w:pPr>
              <w:spacing w:after="0"/>
              <w:rPr>
                <w:sz w:val="15"/>
                <w:szCs w:val="15"/>
                <w:color w:val="auto"/>
              </w:rPr>
            </w:pPr>
          </w:p>
        </w:tc>
        <w:tc>
          <w:tcPr>
            <w:tcW w:w="5920" w:type="dxa"/>
            <w:vAlign w:val="bottom"/>
            <w:gridSpan w:val="13"/>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36</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PLAN OF DISTRIBUTION</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38</w:t>
              </w:r>
            </w:hyperlink>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LEGAL MATTERS</w:t>
              </w:r>
            </w:hyperlink>
          </w:p>
        </w:tc>
        <w:tc>
          <w:tcPr>
            <w:tcW w:w="6420" w:type="dxa"/>
            <w:vAlign w:val="bottom"/>
            <w:gridSpan w:val="15"/>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41</w:t>
              </w:r>
            </w:hyperlink>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EXPERTS</w:t>
              </w:r>
            </w:hyperlink>
          </w:p>
        </w:tc>
        <w:tc>
          <w:tcPr>
            <w:tcW w:w="7020" w:type="dxa"/>
            <w:vAlign w:val="bottom"/>
            <w:gridSpan w:val="18"/>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41</w:t>
              </w:r>
            </w:hyperlink>
          </w:p>
        </w:tc>
      </w:tr>
      <w:tr>
        <w:trPr>
          <w:trHeight w:val="20"/>
        </w:trPr>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3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right="140" w:firstLine="485"/>
        <w:spacing w:after="0" w:line="271" w:lineRule="auto"/>
        <w:rPr>
          <w:sz w:val="20"/>
          <w:szCs w:val="20"/>
          <w:color w:val="auto"/>
        </w:rPr>
      </w:pPr>
      <w:r>
        <w:rPr>
          <w:rFonts w:ascii="Arial" w:cs="Arial" w:eastAsia="Arial" w:hAnsi="Arial"/>
          <w:sz w:val="16"/>
          <w:szCs w:val="16"/>
          <w:color w:val="auto"/>
        </w:rPr>
        <w:t>This document is part of the registration statement that we filed with the Securities and Exchange Commission, or the SEC, using a "shelf" registration process and consists of two parts. The first part is this prospectus supplement, including the documents incorporated by reference herein, which describes the specific terms of this offering. The second part, the accompanying prospectus, including the documents incorporated by reference therein, gives more general information, some of which may not apply to this offering. Generally, when we refer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185"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If information in this prospectus supplement is inconsistent with the accompanying prospectus or with any document incorporated by reference herein or therein that was filed with the SEC before the date of this prospectus supplement, you should rely on this prospectus supplement. This prospectus supplement, the accompanying prospectus and the documents incorporated by reference into each include important information about us, the securities being offered and other information you should know before investing in our securities. You should also read and consider information in the documents we have referred you to in the sections of this prospectus supplement entitled "Where You Can Find More Information" and "Incorporation by Reference" and the accompanying prospectus entitled "Where You Can Find More Information" and "Incorporation by Reference".</w:t>
      </w:r>
    </w:p>
    <w:p>
      <w:pPr>
        <w:spacing w:after="0" w:line="209"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11" w:lineRule="exact"/>
        <w:rPr>
          <w:sz w:val="20"/>
          <w:szCs w:val="20"/>
          <w:color w:val="auto"/>
        </w:rPr>
      </w:pPr>
    </w:p>
    <w:p>
      <w:pPr>
        <w:ind w:firstLine="488"/>
        <w:spacing w:after="0" w:line="270" w:lineRule="auto"/>
        <w:rPr>
          <w:sz w:val="20"/>
          <w:szCs w:val="20"/>
          <w:color w:val="auto"/>
        </w:rPr>
      </w:pPr>
      <w:r>
        <w:rPr>
          <w:rFonts w:ascii="Arial" w:cs="Arial" w:eastAsia="Arial" w:hAnsi="Arial"/>
          <w:sz w:val="16"/>
          <w:szCs w:val="16"/>
          <w:color w:val="auto"/>
        </w:rPr>
        <w:t>We take no responsibility for, and can provide no assurances as to the reliability of, any information that is in addition to or different from that contained or incorporated by reference in this prospectus supplement and the accompanying prospectus. We are not offering to sell these securities in any jurisdiction where the offer or sale is not permitted. You should not assume that the information contained or incorporated by reference in this prospectus supplement or the accompanying prospectus is accurate as of any date other than as of the date of this prospectus supplement or the accompanying prospectus, as the case may be, or in the case of the documents incorporated by reference herein or therein, the date of such documents regardless of the time of delivery of this prospectus supplement and the accompanying prospectus or any sale of our securities. Our business, financial condition, liquidity, results of operations and prospects may have changed since those dates.</w:t>
      </w:r>
    </w:p>
    <w:p>
      <w:pPr>
        <w:spacing w:after="0" w:line="167" w:lineRule="exact"/>
        <w:rPr>
          <w:sz w:val="20"/>
          <w:szCs w:val="20"/>
          <w:color w:val="auto"/>
        </w:rPr>
      </w:pPr>
    </w:p>
    <w:p>
      <w:pPr>
        <w:ind w:right="120" w:firstLine="488"/>
        <w:spacing w:after="0" w:line="247" w:lineRule="auto"/>
        <w:rPr>
          <w:sz w:val="20"/>
          <w:szCs w:val="20"/>
          <w:color w:val="auto"/>
        </w:rPr>
      </w:pPr>
      <w:r>
        <w:rPr>
          <w:rFonts w:ascii="Arial" w:cs="Arial" w:eastAsia="Arial" w:hAnsi="Arial"/>
          <w:sz w:val="18"/>
          <w:szCs w:val="18"/>
          <w:i w:val="1"/>
          <w:iCs w:val="1"/>
          <w:color w:val="auto"/>
        </w:rPr>
        <w:t>Unless otherwise stated, all references in this prospectus supplement or the accompanying prospectus to "us", "our", "Blueprint", "Blueprint Medicines", "we", the "Company" and similar designations refer, collectively, to Blueprint Medicines Corporation, a Delaware corporation, and its consolidated subsidiary, Blueprint Medicines Security Corporation.</w:t>
      </w:r>
    </w:p>
    <w:p>
      <w:pPr>
        <w:spacing w:after="0" w:line="181" w:lineRule="exact"/>
        <w:rPr>
          <w:sz w:val="20"/>
          <w:szCs w:val="20"/>
          <w:color w:val="auto"/>
        </w:rPr>
      </w:pPr>
    </w:p>
    <w:p>
      <w:pPr>
        <w:ind w:right="80" w:firstLine="488"/>
        <w:spacing w:after="0" w:line="244" w:lineRule="auto"/>
        <w:rPr>
          <w:sz w:val="20"/>
          <w:szCs w:val="20"/>
          <w:color w:val="auto"/>
        </w:rPr>
      </w:pPr>
      <w:r>
        <w:rPr>
          <w:rFonts w:ascii="Arial" w:cs="Arial" w:eastAsia="Arial" w:hAnsi="Arial"/>
          <w:sz w:val="18"/>
          <w:szCs w:val="18"/>
          <w:b w:val="1"/>
          <w:bCs w:val="1"/>
          <w:color w:val="auto"/>
        </w:rPr>
        <w:t>No action is being taken in any jurisdiction outside the United States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and the distribution of this prospectus supplement or the accompanying prospectus applicable to that jurisdiction.</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supplement or the accompanying prospectus and is not incorporated by reference in this prospectus supplement or the accompanying prospectus. You may also read and copy any document we file at the SEC's Public Reference Room, 100 F Street, N.E., Washington, D.C. 20549. Please call the SEC at 1-800-SEC-0330 for further information on the operation of the Public Reference Room.</w:t>
      </w:r>
    </w:p>
    <w:p>
      <w:pPr>
        <w:spacing w:after="0" w:line="210" w:lineRule="exact"/>
        <w:rPr>
          <w:sz w:val="20"/>
          <w:szCs w:val="20"/>
          <w:color w:val="auto"/>
        </w:rPr>
      </w:pPr>
    </w:p>
    <w:p>
      <w:pPr>
        <w:ind w:right="80" w:firstLine="485"/>
        <w:spacing w:after="0" w:line="236" w:lineRule="auto"/>
        <w:rPr>
          <w:sz w:val="20"/>
          <w:szCs w:val="20"/>
          <w:color w:val="auto"/>
        </w:rPr>
      </w:pPr>
      <w:r>
        <w:rPr>
          <w:rFonts w:ascii="Arial" w:cs="Arial" w:eastAsia="Arial" w:hAnsi="Arial"/>
          <w:sz w:val="18"/>
          <w:szCs w:val="18"/>
          <w:color w:val="auto"/>
        </w:rPr>
        <w:t>This prospectus supplement is part of a registration statement we filed with the SEC. This prospectus supplement, filed as part of the registration statement,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between the date of this prospectus supplement and the termination of this offering:</w:t>
      </w:r>
    </w:p>
    <w:p>
      <w:pPr>
        <w:spacing w:after="0" w:line="215"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2016, filed with the SEC on March 9, 2017;</w:t>
      </w:r>
    </w:p>
    <w:p>
      <w:pPr>
        <w:spacing w:after="0" w:line="211" w:lineRule="exact"/>
        <w:rPr>
          <w:rFonts w:ascii="Arial" w:cs="Arial" w:eastAsia="Arial" w:hAnsi="Arial"/>
          <w:sz w:val="18"/>
          <w:szCs w:val="18"/>
          <w:color w:val="auto"/>
        </w:rPr>
      </w:pPr>
    </w:p>
    <w:p>
      <w:pPr>
        <w:ind w:left="1080" w:right="60" w:hanging="532"/>
        <w:spacing w:after="0" w:line="23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portions of our Definitive Proxy Statement on Schedule 14A, filed with the SEC on April 28, 2017, incorporated by reference into our Annual Report on Form 10-K for the fiscal year ended December 31, 2016, as supplemented by the supplement to Definitive Proxy Statement on Schedule 14A, filed with the SEC on June 13, 2017;</w:t>
      </w:r>
    </w:p>
    <w:p>
      <w:pPr>
        <w:spacing w:after="0" w:line="194" w:lineRule="exact"/>
        <w:rPr>
          <w:rFonts w:ascii="Arial" w:cs="Arial" w:eastAsia="Arial" w:hAnsi="Arial"/>
          <w:sz w:val="18"/>
          <w:szCs w:val="18"/>
          <w:color w:val="auto"/>
        </w:rPr>
      </w:pPr>
    </w:p>
    <w:p>
      <w:pPr>
        <w:ind w:left="1080" w:right="140" w:hanging="532"/>
        <w:spacing w:after="0" w:line="23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quarters ended March 31, 2017, June 30, 2017 and September 30, 2017, filed with the SEC on May 3, 2017, August 2, 2017 and October 31, 2017, respectively;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Reports on Form 8-K filed on March 30, 2017, June 23, 2017, July 27, 2017 (solely with respect to Item 1.01), October 10, 2017 and November 22, 2017; and</w:t>
      </w:r>
    </w:p>
    <w:p>
      <w:pPr>
        <w:spacing w:after="0" w:line="208" w:lineRule="exact"/>
        <w:rPr>
          <w:rFonts w:ascii="Arial" w:cs="Arial" w:eastAsia="Arial" w:hAnsi="Arial"/>
          <w:sz w:val="18"/>
          <w:szCs w:val="18"/>
          <w:color w:val="auto"/>
        </w:rPr>
      </w:pPr>
    </w:p>
    <w:p>
      <w:pPr>
        <w:ind w:left="1080" w:right="18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April 27, 2015, including any amendments or reports filed for the purpose of updating such description.</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Blueprint Medicines Corporation</w:t>
      </w:r>
    </w:p>
    <w:p>
      <w:pPr>
        <w:jc w:val="center"/>
        <w:ind w:right="-239"/>
        <w:spacing w:after="0" w:line="234" w:lineRule="auto"/>
        <w:rPr>
          <w:sz w:val="20"/>
          <w:szCs w:val="20"/>
          <w:color w:val="auto"/>
        </w:rPr>
      </w:pPr>
      <w:r>
        <w:rPr>
          <w:rFonts w:ascii="Arial" w:cs="Arial" w:eastAsia="Arial" w:hAnsi="Arial"/>
          <w:sz w:val="18"/>
          <w:szCs w:val="18"/>
          <w:color w:val="auto"/>
        </w:rPr>
        <w:t>38 Sidney Street, Suite 200</w:t>
      </w:r>
    </w:p>
    <w:p>
      <w:pPr>
        <w:jc w:val="center"/>
        <w:ind w:right="-239"/>
        <w:spacing w:after="0" w:line="235" w:lineRule="auto"/>
        <w:rPr>
          <w:sz w:val="20"/>
          <w:szCs w:val="20"/>
          <w:color w:val="auto"/>
        </w:rPr>
      </w:pPr>
      <w:r>
        <w:rPr>
          <w:rFonts w:ascii="Arial" w:cs="Arial" w:eastAsia="Arial" w:hAnsi="Arial"/>
          <w:sz w:val="18"/>
          <w:szCs w:val="18"/>
          <w:color w:val="auto"/>
        </w:rPr>
        <w:t>Cambridge, Massachusetts 02139</w:t>
      </w:r>
    </w:p>
    <w:p>
      <w:pPr>
        <w:jc w:val="center"/>
        <w:ind w:right="-239"/>
        <w:spacing w:after="0" w:line="235" w:lineRule="auto"/>
        <w:rPr>
          <w:sz w:val="20"/>
          <w:szCs w:val="20"/>
          <w:color w:val="auto"/>
        </w:rPr>
      </w:pPr>
      <w:r>
        <w:rPr>
          <w:rFonts w:ascii="Arial" w:cs="Arial" w:eastAsia="Arial" w:hAnsi="Arial"/>
          <w:sz w:val="18"/>
          <w:szCs w:val="18"/>
          <w:color w:val="auto"/>
        </w:rPr>
        <w:t>Attn: Investor Relations</w:t>
      </w:r>
    </w:p>
    <w:p>
      <w:pPr>
        <w:jc w:val="center"/>
        <w:ind w:right="-239"/>
        <w:spacing w:after="0" w:line="235" w:lineRule="auto"/>
        <w:rPr>
          <w:sz w:val="20"/>
          <w:szCs w:val="20"/>
          <w:color w:val="auto"/>
        </w:rPr>
      </w:pPr>
      <w:r>
        <w:rPr>
          <w:rFonts w:ascii="Arial" w:cs="Arial" w:eastAsia="Arial" w:hAnsi="Arial"/>
          <w:sz w:val="18"/>
          <w:szCs w:val="18"/>
          <w:color w:val="auto"/>
        </w:rPr>
        <w:t>Phone: (617) 714-6674</w:t>
      </w:r>
    </w:p>
    <w:p>
      <w:pPr>
        <w:jc w:val="center"/>
        <w:ind w:right="-239"/>
        <w:spacing w:after="0"/>
        <w:rPr>
          <w:sz w:val="20"/>
          <w:szCs w:val="20"/>
          <w:color w:val="auto"/>
        </w:rPr>
      </w:pPr>
      <w:r>
        <w:rPr>
          <w:rFonts w:ascii="Arial" w:cs="Arial" w:eastAsia="Arial" w:hAnsi="Arial"/>
          <w:sz w:val="18"/>
          <w:szCs w:val="18"/>
          <w:color w:val="auto"/>
        </w:rPr>
        <w:t>E-mail: ir@blueprintmedicines.com</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information incorporated by reference herein and therein contain statements that are not historical facts and are considered forward-looking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w:t>
      </w:r>
    </w:p>
    <w:p>
      <w:pPr>
        <w:spacing w:after="0" w:line="20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211" w:lineRule="exact"/>
        <w:rPr>
          <w:rFonts w:ascii="Arial" w:cs="Arial" w:eastAsia="Arial" w:hAnsi="Arial"/>
          <w:sz w:val="18"/>
          <w:szCs w:val="18"/>
          <w:color w:val="auto"/>
        </w:rPr>
      </w:pPr>
    </w:p>
    <w:p>
      <w:pPr>
        <w:ind w:left="1080" w:right="780" w:hanging="532"/>
        <w:spacing w:after="0" w:line="23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Phase 1 clinical trials for avapritinib (formerly known as BLU-285), BLU-554 and BLU-667, and our research and development programs;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211"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198" w:lineRule="exact"/>
        <w:rPr>
          <w:rFonts w:ascii="Arial" w:cs="Arial" w:eastAsia="Arial" w:hAnsi="Arial"/>
          <w:sz w:val="18"/>
          <w:szCs w:val="18"/>
          <w:color w:val="auto"/>
        </w:rPr>
      </w:pPr>
    </w:p>
    <w:p>
      <w:pPr>
        <w:ind w:left="1080" w:right="840" w:hanging="532"/>
        <w:spacing w:after="0" w:line="23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benefits of our existing cancer immunotherapy collaboration with F. Hoffmann-La Roche Ltd and Hoffmann-La Roche Inc., as well as our ability to enter into other strategic arrangements;</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development of companion diagnostic tests for our drug candidates;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12"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the accompanying prospectus and the documents incorporated by reference herein and therein, particularly in the "Risk factors" section, that could cause actual results or events to differ materially from the forward-looking statements that we make. Our forward-looking statements do not reflect the potential impact of any future acquisitions, mergers, dispositions, joint ventures or investments we may make or enter into.</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You should read this prospectus supplement, the accompanying prospectus and the documents incorporated by reference herein and therein, as well as the documents that we have filed as exhibits to the registration statement of which this prospectus forms a part,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211" w:lineRule="exact"/>
        <w:rPr>
          <w:sz w:val="20"/>
          <w:szCs w:val="20"/>
          <w:color w:val="auto"/>
        </w:rPr>
      </w:pPr>
    </w:p>
    <w:p>
      <w:pPr>
        <w:ind w:right="100"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0413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6041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240" w:right="60" w:firstLine="488"/>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and the accompanying prospectus and in the documents incorporated by reference herein or therein. This summary does not contain all the information that you should consider before investing in our common stock. You should read this entire prospectus supplement and the accompanying prospectus carefully, especially the risks of investing in our common stock discussed under "Risk Factors" beginning on page S-16 of this prospectus supplement, along with our consolidated financial statements and notes to those consolidated financial statements and the other information incorporated by reference in this prospectus supplement and the accompanying prospectus, before making an investment decision. This prospectus supplement may add to, update or change information in the accompanying prospectus.</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240" w:right="40" w:firstLine="488"/>
        <w:spacing w:after="0" w:line="270" w:lineRule="auto"/>
        <w:rPr>
          <w:sz w:val="20"/>
          <w:szCs w:val="20"/>
          <w:color w:val="auto"/>
        </w:rPr>
      </w:pPr>
      <w:r>
        <w:rPr>
          <w:rFonts w:ascii="Arial" w:cs="Arial" w:eastAsia="Arial" w:hAnsi="Arial"/>
          <w:sz w:val="16"/>
          <w:szCs w:val="16"/>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185" w:lineRule="exact"/>
        <w:rPr>
          <w:sz w:val="20"/>
          <w:szCs w:val="20"/>
          <w:color w:val="auto"/>
        </w:rPr>
      </w:pPr>
    </w:p>
    <w:p>
      <w:pPr>
        <w:ind w:left="240" w:right="60" w:firstLine="488"/>
        <w:spacing w:after="0" w:line="237" w:lineRule="auto"/>
        <w:rPr>
          <w:sz w:val="20"/>
          <w:szCs w:val="20"/>
          <w:color w:val="auto"/>
        </w:rPr>
      </w:pPr>
      <w:r>
        <w:rPr>
          <w:rFonts w:ascii="Arial" w:cs="Arial" w:eastAsia="Arial" w:hAnsi="Arial"/>
          <w:sz w:val="18"/>
          <w:szCs w:val="18"/>
          <w:color w:val="auto"/>
        </w:rPr>
        <w:t>Our most advanced drug candidates are avapritinib (formerly known as BLU-285), BLU-554 and BLU-667. Avapritinib is an orally available, potent and highly selective inhibitor that targets KIT and PDGFRa. These mutations abnormally activate receptor tyrosine kinases that are drivers of cancer and proliferative disorders, including gastrointestinal stromal tumors, or GIST, and systemic mastocytosis, or SM. We are currently evaluating avapritinib in an ongoing Phase 1 clinical trial for defined subsets of patients with GIST and an ongoing Phase 1 clinical trial for advanced SM. GIST is a rare disease that is a sarcoma, or tumor of bone or connective tissue, of the gastrointestinal tract, or GI tract, and SM is a rare disorder that causes an overproduction of mast cells and the accumulation of mast cells in the bone marrow and other organs, which can lead to a wide range of debilitating symptoms and organ dysfunction and failure. On November 10, 2017, we reported updated data from the dose escalation and expansion portions of our Phase 1 clinical trial for advanced GIST at the Connective Tissue Oncology Society Annual Meeting, or CTOS, in Maui, Hawaii. On December 10, 2017, we reported updated data from the dose escalation portion of our Phase 1 clinical trial for advanced SM at the American Society of Hematology Annual Meeting, or ASH, in Atlanta, Georgia.</w:t>
      </w:r>
    </w:p>
    <w:p>
      <w:pPr>
        <w:spacing w:after="0" w:line="210" w:lineRule="exact"/>
        <w:rPr>
          <w:sz w:val="20"/>
          <w:szCs w:val="20"/>
          <w:color w:val="auto"/>
        </w:rPr>
      </w:pPr>
    </w:p>
    <w:p>
      <w:pPr>
        <w:ind w:left="240" w:firstLine="488"/>
        <w:spacing w:after="0" w:line="237" w:lineRule="auto"/>
        <w:rPr>
          <w:sz w:val="20"/>
          <w:szCs w:val="20"/>
          <w:color w:val="auto"/>
        </w:rPr>
      </w:pPr>
      <w:r>
        <w:rPr>
          <w:rFonts w:ascii="Arial" w:cs="Arial" w:eastAsia="Arial" w:hAnsi="Arial"/>
          <w:sz w:val="18"/>
          <w:szCs w:val="18"/>
          <w:color w:val="auto"/>
        </w:rPr>
        <w:t>BLU-554 is an orally available, potent and highly selective inhibitor that targets FGFR4, a kinase that is aberrantly activated in a defined subset of patients with hepatocellular carcinoma, or HCC, the most common type of liver cancer. We are currently evaluating BLU-554 in an ongoing Phase 1 clinical trial in patients with advanced HCC. On September 10, 2017, we reported updated data from our Phase 1 clinical trial for advanced HCC at the European Society of Medical Oncology 2017 Congress, or ESMO, in Madrid, Spain.</w:t>
      </w:r>
    </w:p>
    <w:p>
      <w:pPr>
        <w:spacing w:after="0" w:line="209" w:lineRule="exact"/>
        <w:rPr>
          <w:sz w:val="20"/>
          <w:szCs w:val="20"/>
          <w:color w:val="auto"/>
        </w:rPr>
      </w:pPr>
    </w:p>
    <w:p>
      <w:pPr>
        <w:ind w:left="240" w:right="220" w:firstLine="488"/>
        <w:spacing w:after="0" w:line="238" w:lineRule="auto"/>
        <w:rPr>
          <w:sz w:val="20"/>
          <w:szCs w:val="20"/>
          <w:color w:val="auto"/>
        </w:rPr>
      </w:pPr>
      <w:r>
        <w:rPr>
          <w:rFonts w:ascii="Arial" w:cs="Arial" w:eastAsia="Arial" w:hAnsi="Arial"/>
          <w:sz w:val="18"/>
          <w:szCs w:val="18"/>
          <w:color w:val="auto"/>
        </w:rPr>
        <w:t>BLU-667 targets RET, a receptor tyrosine kinase that is abnormally activated by mutations or translocations, and RET resistance mutations that we predict will arise from treatment with first generation therapies. RET drives disease in subsets of patients with non-small cell lung cancer, or NSCLC, and cancers of the thyroid, including medullary thyroid carcinoma, or MTC, and our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238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6238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right="100"/>
        <w:spacing w:after="0" w:line="238" w:lineRule="auto"/>
        <w:rPr>
          <w:sz w:val="20"/>
          <w:szCs w:val="20"/>
          <w:color w:val="auto"/>
        </w:rPr>
      </w:pPr>
      <w:r>
        <w:rPr>
          <w:rFonts w:ascii="Arial" w:cs="Arial" w:eastAsia="Arial" w:hAnsi="Arial"/>
          <w:sz w:val="18"/>
          <w:szCs w:val="18"/>
          <w:color w:val="auto"/>
        </w:rPr>
        <w:t>research suggests that RET may drive disease in subsets of patients with colon cancer, breast cancer and other cancers. We are currently evaluating BLU-667 in an ongoing Phase 1 clinical trial in patients with RET-altered NSCLC, MTC and other advanced solid tumors, and we plan to report preliminary data from our Phase 1 clinical trial for RET in the first half of 2018.</w:t>
      </w:r>
    </w:p>
    <w:p>
      <w:pPr>
        <w:spacing w:after="0" w:line="208" w:lineRule="exact"/>
        <w:rPr>
          <w:sz w:val="20"/>
          <w:szCs w:val="20"/>
          <w:color w:val="auto"/>
        </w:rPr>
      </w:pPr>
    </w:p>
    <w:p>
      <w:pPr>
        <w:ind w:left="240" w:firstLine="488"/>
        <w:spacing w:after="0" w:line="275" w:lineRule="auto"/>
        <w:rPr>
          <w:sz w:val="20"/>
          <w:szCs w:val="20"/>
          <w:color w:val="auto"/>
        </w:rPr>
      </w:pPr>
      <w:r>
        <w:rPr>
          <w:rFonts w:ascii="Arial" w:cs="Arial" w:eastAsia="Arial" w:hAnsi="Arial"/>
          <w:sz w:val="16"/>
          <w:szCs w:val="16"/>
          <w:color w:val="auto"/>
        </w:rPr>
        <w:t>In September 2015, the U.S. Food and Drug Administration, or FDA, granted orphan drug designation to BLU-554 for the treatment of HCC, and in January 2016, the FDA granted orphan drug designation to avapritinib for the treatment of GIST and mastocytosis. In October 2016, the FDA granted fast track designation to avapritinib for the treatment of patients with unresectable or metastatic GIST that progressed following treatment with imatinib and a second tyrosine kinase, or TKI, inhibitor and for the treatment of patients with unresectable or metastatic GIST with the PDGFRa D842V mutation regardless of prior therapy. In addition, in June 2017, the FDA granted breakthrough therapy designation to avapritinib for the treatment of patients with unresectable or metastatic GIST harboring the PDGFRa D842V mutation, and in July 2017, the European Commission granted orphan drug designation to avapritinib for the treatment of GIST.</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have worldwide development and commercialization rights to avapritinib, BLU-554 and BLU-667.</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Phase 1 Clinical Programs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Avapritinib (formerly known as BLU-285) for the Treatment of Advanced SM</w:t>
      </w:r>
    </w:p>
    <w:p>
      <w:pPr>
        <w:spacing w:after="0" w:line="230" w:lineRule="exact"/>
        <w:rPr>
          <w:sz w:val="20"/>
          <w:szCs w:val="20"/>
          <w:color w:val="auto"/>
        </w:rPr>
      </w:pPr>
    </w:p>
    <w:p>
      <w:pPr>
        <w:ind w:left="240" w:right="440" w:firstLine="478"/>
        <w:spacing w:after="0" w:line="299" w:lineRule="auto"/>
        <w:rPr>
          <w:sz w:val="20"/>
          <w:szCs w:val="20"/>
          <w:color w:val="auto"/>
        </w:rPr>
      </w:pPr>
      <w:r>
        <w:rPr>
          <w:rFonts w:ascii="Arial" w:cs="Arial" w:eastAsia="Arial" w:hAnsi="Arial"/>
          <w:sz w:val="16"/>
          <w:szCs w:val="16"/>
          <w:color w:val="auto"/>
        </w:rPr>
        <w:t>Avapritinib is currently being evaluated in the dose expansion portion of a Phase 1 clinical trial in patients with advanced SM, and enrollment is ongoing. On December 10, 2017, we reported updated data from the dose escalation portion of this clinical trial at ASH.</w:t>
      </w:r>
    </w:p>
    <w:p>
      <w:pPr>
        <w:spacing w:after="0" w:line="163" w:lineRule="exact"/>
        <w:rPr>
          <w:sz w:val="20"/>
          <w:szCs w:val="20"/>
          <w:color w:val="auto"/>
        </w:rPr>
      </w:pPr>
    </w:p>
    <w:p>
      <w:pPr>
        <w:ind w:left="240" w:right="40" w:firstLine="478"/>
        <w:spacing w:after="0" w:line="236" w:lineRule="auto"/>
        <w:rPr>
          <w:sz w:val="20"/>
          <w:szCs w:val="20"/>
          <w:color w:val="auto"/>
        </w:rPr>
      </w:pPr>
      <w:r>
        <w:rPr>
          <w:rFonts w:ascii="Arial" w:cs="Arial" w:eastAsia="Arial" w:hAnsi="Arial"/>
          <w:sz w:val="18"/>
          <w:szCs w:val="18"/>
          <w:color w:val="auto"/>
        </w:rPr>
        <w:t>As of the data cutoff date of October 4, 2017, 32 patients had been treated with avapritinib in the dose escalation portion of the Phase 1 clinical trial at seven dose levels (ranging from 30 mg once daily, or QD, to 400 mg QD), including 17 patients with aggressive SM, or ASM, nine patients with advanced SM with an associated hematologic neoplasm, or SM-AHN, and three patients with mast cell leukemia, or MCL. The KIT D816V mutation was confirmed in 28 patients. Overall, 22 patients (69 percent) previously received anti-neoplastic therapy, including four patients (13 percent) who previously received midostaurin.</w:t>
      </w:r>
    </w:p>
    <w:p>
      <w:pPr>
        <w:spacing w:after="0" w:line="211" w:lineRule="exact"/>
        <w:rPr>
          <w:sz w:val="20"/>
          <w:szCs w:val="20"/>
          <w:color w:val="auto"/>
        </w:rPr>
      </w:pPr>
    </w:p>
    <w:p>
      <w:pPr>
        <w:ind w:left="240" w:right="260" w:firstLine="488"/>
        <w:spacing w:after="0" w:line="239" w:lineRule="auto"/>
        <w:rPr>
          <w:sz w:val="20"/>
          <w:szCs w:val="20"/>
          <w:color w:val="auto"/>
        </w:rPr>
      </w:pPr>
      <w:r>
        <w:rPr>
          <w:rFonts w:ascii="Arial" w:cs="Arial" w:eastAsia="Arial" w:hAnsi="Arial"/>
          <w:sz w:val="18"/>
          <w:szCs w:val="18"/>
          <w:color w:val="auto"/>
        </w:rPr>
        <w:t>Based on pharmacokinetic, or PK, data, avapritinib demonstrated a mean half-life of greater than 20 hours, supporting a QD dosing regimen.</w:t>
      </w:r>
    </w:p>
    <w:p>
      <w:pPr>
        <w:spacing w:after="0" w:line="209" w:lineRule="exact"/>
        <w:rPr>
          <w:sz w:val="20"/>
          <w:szCs w:val="20"/>
          <w:color w:val="auto"/>
        </w:rPr>
      </w:pPr>
    </w:p>
    <w:p>
      <w:pPr>
        <w:ind w:left="240" w:right="420" w:firstLine="488"/>
        <w:spacing w:after="0" w:line="299" w:lineRule="auto"/>
        <w:rPr>
          <w:sz w:val="20"/>
          <w:szCs w:val="20"/>
          <w:color w:val="auto"/>
        </w:rPr>
      </w:pPr>
      <w:r>
        <w:rPr>
          <w:rFonts w:ascii="Arial" w:cs="Arial" w:eastAsia="Arial" w:hAnsi="Arial"/>
          <w:sz w:val="16"/>
          <w:szCs w:val="16"/>
          <w:color w:val="auto"/>
        </w:rPr>
        <w:t>Blueprint Medicines has selected 300 mg QD as the recommended part two dose, or RP2D, for the expansion portion of this trial, which was initiated in the second quarter of 2017. A maximum tolerated dose of avapritinib in advanced SM was not determined.</w:t>
      </w:r>
    </w:p>
    <w:p>
      <w:pPr>
        <w:spacing w:after="0" w:line="145"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8"/>
          <w:szCs w:val="18"/>
          <w:i w:val="1"/>
          <w:iCs w:val="1"/>
          <w:color w:val="auto"/>
        </w:rPr>
        <w:t>Safety Data.</w:t>
      </w:r>
      <w:r>
        <w:rPr>
          <w:sz w:val="20"/>
          <w:szCs w:val="20"/>
          <w:color w:val="auto"/>
        </w:rPr>
        <w:tab/>
      </w:r>
      <w:r>
        <w:rPr>
          <w:rFonts w:ascii="Arial" w:cs="Arial" w:eastAsia="Arial" w:hAnsi="Arial"/>
          <w:sz w:val="16"/>
          <w:szCs w:val="16"/>
          <w:color w:val="auto"/>
        </w:rPr>
        <w:t>As of the data cutoff date, avapritinib was generally well-tolerated. Most adverse events, or AEs, reported by</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investigators were Grade 1 or 2. As of the data cutoff date, the most common treatment-emergent AEs reported by investigators</w:t>
      </w:r>
    </w:p>
    <w:p>
      <w:pPr>
        <w:ind w:left="240"/>
        <w:spacing w:after="0"/>
        <w:rPr>
          <w:sz w:val="20"/>
          <w:szCs w:val="20"/>
          <w:color w:val="auto"/>
        </w:rPr>
      </w:pPr>
      <w:r>
        <w:rPr>
          <w:rFonts w:ascii="Arial" w:cs="Arial" w:eastAsia="Arial" w:hAnsi="Arial"/>
          <w:sz w:val="18"/>
          <w:szCs w:val="18"/>
          <w:color w:val="auto"/>
        </w:rPr>
        <w:t>(³20 percent) across all grades included periorbital edema (59 percent), fatigue (41 percent), peripheral edema (34 percent), nausea</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(28 percent), anemia (28 percent), thrombocytopenia (28 percent), abdominal pain, diarrhea, respiratory tract infection, dizziness and</w:t>
      </w:r>
    </w:p>
    <w:p>
      <w:pPr>
        <w:ind w:left="240"/>
        <w:spacing w:after="0"/>
        <w:rPr>
          <w:sz w:val="20"/>
          <w:szCs w:val="20"/>
          <w:color w:val="auto"/>
        </w:rPr>
      </w:pPr>
      <w:r>
        <w:rPr>
          <w:rFonts w:ascii="Arial" w:cs="Arial" w:eastAsia="Arial" w:hAnsi="Arial"/>
          <w:sz w:val="18"/>
          <w:szCs w:val="18"/>
          <w:color w:val="auto"/>
        </w:rPr>
        <w:t>headache (22 percent each). Investigators reported treatment-related Grade ³3 AEs in 16 patients (50 percent), with only one treatment-</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related Grade ³3 AE occurring in more than 10 percent of patients (neutropenia, 13 percent).</w:t>
      </w:r>
    </w:p>
    <w:p>
      <w:pPr>
        <w:spacing w:after="0" w:line="230" w:lineRule="exact"/>
        <w:rPr>
          <w:sz w:val="20"/>
          <w:szCs w:val="20"/>
          <w:color w:val="auto"/>
        </w:rPr>
      </w:pPr>
    </w:p>
    <w:p>
      <w:pPr>
        <w:ind w:left="240" w:right="120" w:firstLine="488"/>
        <w:spacing w:after="0" w:line="238" w:lineRule="auto"/>
        <w:rPr>
          <w:sz w:val="20"/>
          <w:szCs w:val="20"/>
          <w:color w:val="auto"/>
        </w:rPr>
      </w:pPr>
      <w:r>
        <w:rPr>
          <w:rFonts w:ascii="Arial" w:cs="Arial" w:eastAsia="Arial" w:hAnsi="Arial"/>
          <w:sz w:val="18"/>
          <w:szCs w:val="18"/>
          <w:color w:val="auto"/>
        </w:rPr>
        <w:t>No patients discontinued treatment due to a treatment-related AE. Two patients discontinued treatment with avapritinib, including one patient with ASM who had progressive disease with transformation to acute myeloid leukemia and one patient with SM-AHN and no identified KIT mutation (i.e., wild-type KIT). Overall, 30 of 32 patients enrolled in the dose escalation portion of the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80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80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trial remained on treatment as of the data cutoff date, with a median duration of 9 months (range 4 to 19 months).</w:t>
      </w:r>
    </w:p>
    <w:p>
      <w:pPr>
        <w:spacing w:after="0" w:line="194"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Clinical Activity Data</w:t>
      </w:r>
      <w:r>
        <w:rPr>
          <w:rFonts w:ascii="Arial" w:cs="Arial" w:eastAsia="Arial" w:hAnsi="Arial"/>
          <w:sz w:val="18"/>
          <w:szCs w:val="18"/>
          <w:color w:val="auto"/>
        </w:rPr>
        <w:t>.</w:t>
      </w:r>
    </w:p>
    <w:p>
      <w:pPr>
        <w:spacing w:after="0" w:line="230" w:lineRule="exact"/>
        <w:rPr>
          <w:sz w:val="20"/>
          <w:szCs w:val="20"/>
          <w:color w:val="auto"/>
        </w:rPr>
      </w:pPr>
    </w:p>
    <w:p>
      <w:pPr>
        <w:ind w:left="240" w:firstLine="485"/>
        <w:spacing w:after="0" w:line="237" w:lineRule="auto"/>
        <w:rPr>
          <w:sz w:val="20"/>
          <w:szCs w:val="20"/>
          <w:color w:val="auto"/>
        </w:rPr>
      </w:pPr>
      <w:r>
        <w:rPr>
          <w:rFonts w:ascii="Arial" w:cs="Arial" w:eastAsia="Arial" w:hAnsi="Arial"/>
          <w:sz w:val="18"/>
          <w:szCs w:val="18"/>
          <w:color w:val="auto"/>
        </w:rPr>
        <w:t>The International Working Group-Myeloproliferative Neoplasms Research and Treatment and European Competence Network on Mastocytosis, or IWG-MRT-ECNM, criteria comprise a rigorous assessment of clinical response in patients with advanced SM. These criteria include objective measures of bone marrow mast cell burden, serum tryptase and improvement in organ damage as measured by a clinical improvement, or CI, finding.</w:t>
      </w:r>
    </w:p>
    <w:p>
      <w:pPr>
        <w:spacing w:after="0" w:line="20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of the data cutoff date, 18 patients had advanced SM and were evaluable for response by the IWG-MRT-ECNM criteria.</w:t>
      </w:r>
    </w:p>
    <w:p>
      <w:pPr>
        <w:spacing w:after="0" w:line="212" w:lineRule="exact"/>
        <w:rPr>
          <w:sz w:val="20"/>
          <w:szCs w:val="20"/>
          <w:color w:val="auto"/>
        </w:rPr>
      </w:pPr>
    </w:p>
    <w:p>
      <w:pPr>
        <w:ind w:left="240" w:right="680" w:firstLine="478"/>
        <w:spacing w:after="0" w:line="299" w:lineRule="auto"/>
        <w:rPr>
          <w:sz w:val="20"/>
          <w:szCs w:val="20"/>
          <w:color w:val="auto"/>
        </w:rPr>
      </w:pPr>
      <w:r>
        <w:rPr>
          <w:rFonts w:ascii="Arial" w:cs="Arial" w:eastAsia="Arial" w:hAnsi="Arial"/>
          <w:sz w:val="16"/>
          <w:szCs w:val="16"/>
          <w:color w:val="auto"/>
        </w:rPr>
        <w:t>Across all 18 evaluable patients with advanced SM, the data showed an objective response rate, or ORR, of 72 percent and a complete response (CR) + partial response (PR) rate of 56 percent. A detailed summary of response data is provided below.</w:t>
      </w:r>
    </w:p>
    <w:p>
      <w:pPr>
        <w:spacing w:after="0" w:line="15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Avapritinib in Patients with Advanced SM; Assessment of Response per IWG-MRT-ECNM Criteria</w:t>
      </w:r>
    </w:p>
    <w:tbl>
      <w:tblPr>
        <w:tblLayout w:type="fixed"/>
        <w:tblInd w:w="1340" w:type="dxa"/>
        <w:tblCellMar>
          <w:top w:w="0" w:type="dxa"/>
          <w:left w:w="0" w:type="dxa"/>
          <w:bottom w:w="0" w:type="dxa"/>
          <w:right w:w="0" w:type="dxa"/>
        </w:tblCellMar>
      </w:tblPr>
      <w:tr>
        <w:trPr>
          <w:trHeight w:val="213"/>
        </w:trPr>
        <w:tc>
          <w:tcPr>
            <w:tcW w:w="900" w:type="dxa"/>
            <w:vAlign w:val="bottom"/>
            <w:tcBorders>
              <w:top w:val="single" w:sz="8" w:color="auto"/>
            </w:tcBorders>
          </w:tcPr>
          <w:p>
            <w:pPr>
              <w:spacing w:after="0"/>
              <w:rPr>
                <w:sz w:val="18"/>
                <w:szCs w:val="18"/>
                <w:color w:val="auto"/>
              </w:rPr>
            </w:pPr>
          </w:p>
        </w:tc>
        <w:tc>
          <w:tcPr>
            <w:tcW w:w="45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ASM</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SM-AHN</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MCL</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Overall</w:t>
            </w:r>
          </w:p>
        </w:tc>
      </w:tr>
      <w:tr>
        <w:trPr>
          <w:trHeight w:val="206"/>
        </w:trPr>
        <w:tc>
          <w:tcPr>
            <w:tcW w:w="5480" w:type="dxa"/>
            <w:vAlign w:val="bottom"/>
            <w:gridSpan w:val="2"/>
          </w:tcPr>
          <w:p>
            <w:pPr>
              <w:spacing w:after="0" w:line="200" w:lineRule="exact"/>
              <w:rPr>
                <w:sz w:val="20"/>
                <w:szCs w:val="20"/>
                <w:color w:val="auto"/>
              </w:rPr>
            </w:pPr>
            <w:r>
              <w:rPr>
                <w:rFonts w:ascii="Arial" w:cs="Arial" w:eastAsia="Arial" w:hAnsi="Arial"/>
                <w:sz w:val="18"/>
                <w:szCs w:val="18"/>
                <w:color w:val="auto"/>
              </w:rPr>
              <w:t>Best Response, Number of Patients (%)*</w:t>
            </w:r>
          </w:p>
        </w:tc>
        <w:tc>
          <w:tcPr>
            <w:tcW w:w="66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8"/>
              </w:rPr>
              <w:t>(n=7)</w:t>
            </w:r>
          </w:p>
        </w:tc>
        <w:tc>
          <w:tcPr>
            <w:tcW w:w="16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8"/>
              </w:rPr>
              <w:t>(n=8)</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8"/>
              </w:rPr>
              <w:t>(n=3)</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8"/>
              </w:rPr>
              <w:t>(n=18)</w:t>
            </w:r>
          </w:p>
        </w:tc>
      </w:tr>
      <w:tr>
        <w:trPr>
          <w:trHeight w:val="203"/>
        </w:trPr>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CR</w:t>
            </w: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 (29%)</w:t>
            </w:r>
          </w:p>
        </w:tc>
        <w:tc>
          <w:tcPr>
            <w:tcW w:w="88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9"/>
              </w:rPr>
              <w:t>0</w:t>
            </w:r>
          </w:p>
        </w:tc>
        <w:tc>
          <w:tcPr>
            <w:tcW w:w="82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9"/>
              </w:rPr>
              <w:t>0</w:t>
            </w:r>
          </w:p>
        </w:tc>
        <w:tc>
          <w:tcPr>
            <w:tcW w:w="90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5"/>
              </w:rPr>
              <w:t>2 (11%)</w:t>
            </w: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PR</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98"/>
              </w:rPr>
              <w:t>3 (43%)</w:t>
            </w:r>
          </w:p>
        </w:tc>
        <w:tc>
          <w:tcPr>
            <w:tcW w:w="880" w:type="dxa"/>
            <w:vAlign w:val="bottom"/>
            <w:gridSpan w:val="2"/>
          </w:tcPr>
          <w:p>
            <w:pPr>
              <w:jc w:val="center"/>
              <w:ind w:left="92"/>
              <w:spacing w:after="0" w:line="202" w:lineRule="exact"/>
              <w:rPr>
                <w:sz w:val="20"/>
                <w:szCs w:val="20"/>
                <w:color w:val="auto"/>
              </w:rPr>
            </w:pPr>
            <w:r>
              <w:rPr>
                <w:rFonts w:ascii="Arial" w:cs="Arial" w:eastAsia="Arial" w:hAnsi="Arial"/>
                <w:sz w:val="18"/>
                <w:szCs w:val="18"/>
                <w:color w:val="auto"/>
                <w:w w:val="98"/>
              </w:rPr>
              <w:t>4 (50%)</w:t>
            </w:r>
          </w:p>
        </w:tc>
        <w:tc>
          <w:tcPr>
            <w:tcW w:w="820" w:type="dxa"/>
            <w:vAlign w:val="bottom"/>
            <w:gridSpan w:val="2"/>
          </w:tcPr>
          <w:p>
            <w:pPr>
              <w:jc w:val="center"/>
              <w:ind w:left="72"/>
              <w:spacing w:after="0" w:line="202" w:lineRule="exact"/>
              <w:rPr>
                <w:sz w:val="20"/>
                <w:szCs w:val="20"/>
                <w:color w:val="auto"/>
              </w:rPr>
            </w:pPr>
            <w:r>
              <w:rPr>
                <w:rFonts w:ascii="Arial" w:cs="Arial" w:eastAsia="Arial" w:hAnsi="Arial"/>
                <w:sz w:val="18"/>
                <w:szCs w:val="18"/>
                <w:color w:val="auto"/>
                <w:w w:val="98"/>
              </w:rPr>
              <w:t>1 (33%)</w:t>
            </w:r>
          </w:p>
        </w:tc>
        <w:tc>
          <w:tcPr>
            <w:tcW w:w="900" w:type="dxa"/>
            <w:vAlign w:val="bottom"/>
            <w:gridSpan w:val="2"/>
          </w:tcPr>
          <w:p>
            <w:pPr>
              <w:jc w:val="center"/>
              <w:ind w:left="92"/>
              <w:spacing w:after="0" w:line="202" w:lineRule="exact"/>
              <w:rPr>
                <w:sz w:val="20"/>
                <w:szCs w:val="20"/>
                <w:color w:val="auto"/>
              </w:rPr>
            </w:pPr>
            <w:r>
              <w:rPr>
                <w:rFonts w:ascii="Arial" w:cs="Arial" w:eastAsia="Arial" w:hAnsi="Arial"/>
                <w:sz w:val="18"/>
                <w:szCs w:val="18"/>
                <w:color w:val="auto"/>
                <w:w w:val="95"/>
              </w:rPr>
              <w:t>8 (44%)</w:t>
            </w:r>
          </w:p>
        </w:tc>
      </w:tr>
      <w:tr>
        <w:trPr>
          <w:trHeight w:val="203"/>
        </w:trPr>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CI</w:t>
            </w: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 (14%)</w:t>
            </w:r>
          </w:p>
        </w:tc>
        <w:tc>
          <w:tcPr>
            <w:tcW w:w="88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8"/>
              </w:rPr>
              <w:t>1 (13%)</w:t>
            </w:r>
          </w:p>
        </w:tc>
        <w:tc>
          <w:tcPr>
            <w:tcW w:w="82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8"/>
              </w:rPr>
              <w:t>1 (33%)</w:t>
            </w:r>
          </w:p>
        </w:tc>
        <w:tc>
          <w:tcPr>
            <w:tcW w:w="90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5"/>
              </w:rPr>
              <w:t>3 (17%)</w:t>
            </w: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Stable disease (SD)</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98"/>
              </w:rPr>
              <w:t>1 (14%)</w:t>
            </w:r>
          </w:p>
        </w:tc>
        <w:tc>
          <w:tcPr>
            <w:tcW w:w="880" w:type="dxa"/>
            <w:vAlign w:val="bottom"/>
            <w:gridSpan w:val="2"/>
          </w:tcPr>
          <w:p>
            <w:pPr>
              <w:jc w:val="center"/>
              <w:ind w:left="92"/>
              <w:spacing w:after="0" w:line="202" w:lineRule="exact"/>
              <w:rPr>
                <w:sz w:val="20"/>
                <w:szCs w:val="20"/>
                <w:color w:val="auto"/>
              </w:rPr>
            </w:pPr>
            <w:r>
              <w:rPr>
                <w:rFonts w:ascii="Arial" w:cs="Arial" w:eastAsia="Arial" w:hAnsi="Arial"/>
                <w:sz w:val="18"/>
                <w:szCs w:val="18"/>
                <w:color w:val="auto"/>
                <w:w w:val="98"/>
              </w:rPr>
              <w:t>3 (38%)</w:t>
            </w:r>
          </w:p>
        </w:tc>
        <w:tc>
          <w:tcPr>
            <w:tcW w:w="820" w:type="dxa"/>
            <w:vAlign w:val="bottom"/>
            <w:gridSpan w:val="2"/>
          </w:tcPr>
          <w:p>
            <w:pPr>
              <w:jc w:val="center"/>
              <w:ind w:left="72"/>
              <w:spacing w:after="0" w:line="202" w:lineRule="exact"/>
              <w:rPr>
                <w:sz w:val="20"/>
                <w:szCs w:val="20"/>
                <w:color w:val="auto"/>
              </w:rPr>
            </w:pPr>
            <w:r>
              <w:rPr>
                <w:rFonts w:ascii="Arial" w:cs="Arial" w:eastAsia="Arial" w:hAnsi="Arial"/>
                <w:sz w:val="18"/>
                <w:szCs w:val="18"/>
                <w:color w:val="auto"/>
                <w:w w:val="98"/>
              </w:rPr>
              <w:t>1 (33%)</w:t>
            </w:r>
          </w:p>
        </w:tc>
        <w:tc>
          <w:tcPr>
            <w:tcW w:w="900" w:type="dxa"/>
            <w:vAlign w:val="bottom"/>
            <w:gridSpan w:val="2"/>
          </w:tcPr>
          <w:p>
            <w:pPr>
              <w:jc w:val="center"/>
              <w:ind w:left="92"/>
              <w:spacing w:after="0" w:line="202" w:lineRule="exact"/>
              <w:rPr>
                <w:sz w:val="20"/>
                <w:szCs w:val="20"/>
                <w:color w:val="auto"/>
              </w:rPr>
            </w:pPr>
            <w:r>
              <w:rPr>
                <w:rFonts w:ascii="Arial" w:cs="Arial" w:eastAsia="Arial" w:hAnsi="Arial"/>
                <w:sz w:val="18"/>
                <w:szCs w:val="18"/>
                <w:color w:val="auto"/>
                <w:w w:val="95"/>
              </w:rPr>
              <w:t>5 (28%)</w:t>
            </w:r>
          </w:p>
        </w:tc>
      </w:tr>
      <w:tr>
        <w:trPr>
          <w:trHeight w:val="203"/>
        </w:trPr>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Progressive disease</w:t>
            </w: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c>
          <w:tcPr>
            <w:tcW w:w="88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9"/>
              </w:rPr>
              <w:t>0</w:t>
            </w:r>
          </w:p>
        </w:tc>
        <w:tc>
          <w:tcPr>
            <w:tcW w:w="82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9"/>
              </w:rPr>
              <w:t>0</w:t>
            </w:r>
          </w:p>
        </w:tc>
        <w:tc>
          <w:tcPr>
            <w:tcW w:w="90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9"/>
              </w:rPr>
              <w:t>0</w:t>
            </w: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ORR (CR + PR + CI)</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98"/>
              </w:rPr>
              <w:t>6 (86%)</w:t>
            </w:r>
          </w:p>
        </w:tc>
        <w:tc>
          <w:tcPr>
            <w:tcW w:w="880" w:type="dxa"/>
            <w:vAlign w:val="bottom"/>
            <w:gridSpan w:val="2"/>
          </w:tcPr>
          <w:p>
            <w:pPr>
              <w:jc w:val="center"/>
              <w:ind w:left="92"/>
              <w:spacing w:after="0" w:line="202" w:lineRule="exact"/>
              <w:rPr>
                <w:sz w:val="20"/>
                <w:szCs w:val="20"/>
                <w:color w:val="auto"/>
              </w:rPr>
            </w:pPr>
            <w:r>
              <w:rPr>
                <w:rFonts w:ascii="Arial" w:cs="Arial" w:eastAsia="Arial" w:hAnsi="Arial"/>
                <w:sz w:val="18"/>
                <w:szCs w:val="18"/>
                <w:color w:val="auto"/>
                <w:w w:val="98"/>
              </w:rPr>
              <w:t>5 (63%)</w:t>
            </w:r>
          </w:p>
        </w:tc>
        <w:tc>
          <w:tcPr>
            <w:tcW w:w="820" w:type="dxa"/>
            <w:vAlign w:val="bottom"/>
            <w:gridSpan w:val="2"/>
          </w:tcPr>
          <w:p>
            <w:pPr>
              <w:jc w:val="center"/>
              <w:ind w:left="72"/>
              <w:spacing w:after="0" w:line="202" w:lineRule="exact"/>
              <w:rPr>
                <w:sz w:val="20"/>
                <w:szCs w:val="20"/>
                <w:color w:val="auto"/>
              </w:rPr>
            </w:pPr>
            <w:r>
              <w:rPr>
                <w:rFonts w:ascii="Arial" w:cs="Arial" w:eastAsia="Arial" w:hAnsi="Arial"/>
                <w:sz w:val="18"/>
                <w:szCs w:val="18"/>
                <w:color w:val="auto"/>
                <w:w w:val="98"/>
              </w:rPr>
              <w:t>2 (67%)</w:t>
            </w:r>
          </w:p>
        </w:tc>
        <w:tc>
          <w:tcPr>
            <w:tcW w:w="900" w:type="dxa"/>
            <w:vAlign w:val="bottom"/>
            <w:gridSpan w:val="2"/>
          </w:tcPr>
          <w:p>
            <w:pPr>
              <w:jc w:val="center"/>
              <w:ind w:left="92"/>
              <w:spacing w:after="0" w:line="202" w:lineRule="exact"/>
              <w:rPr>
                <w:sz w:val="20"/>
                <w:szCs w:val="20"/>
                <w:color w:val="auto"/>
              </w:rPr>
            </w:pPr>
            <w:r>
              <w:rPr>
                <w:rFonts w:ascii="Arial" w:cs="Arial" w:eastAsia="Arial" w:hAnsi="Arial"/>
                <w:sz w:val="18"/>
                <w:szCs w:val="18"/>
                <w:color w:val="auto"/>
                <w:w w:val="98"/>
              </w:rPr>
              <w:t>13 (72%)</w:t>
            </w:r>
          </w:p>
        </w:tc>
      </w:tr>
      <w:tr>
        <w:trPr>
          <w:trHeight w:val="203"/>
        </w:trPr>
        <w:tc>
          <w:tcPr>
            <w:tcW w:w="54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CR + PR</w:t>
            </w: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5 (71%)</w:t>
            </w:r>
          </w:p>
        </w:tc>
        <w:tc>
          <w:tcPr>
            <w:tcW w:w="88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8"/>
              </w:rPr>
              <w:t>4 (50%)</w:t>
            </w:r>
          </w:p>
        </w:tc>
        <w:tc>
          <w:tcPr>
            <w:tcW w:w="82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8"/>
              </w:rPr>
              <w:t>1 (33%)</w:t>
            </w:r>
          </w:p>
        </w:tc>
        <w:tc>
          <w:tcPr>
            <w:tcW w:w="90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8"/>
              </w:rPr>
              <w:t>10 (56%)</w:t>
            </w:r>
          </w:p>
        </w:tc>
      </w:tr>
      <w:tr>
        <w:trPr>
          <w:trHeight w:val="108"/>
        </w:trPr>
        <w:tc>
          <w:tcPr>
            <w:tcW w:w="900" w:type="dxa"/>
            <w:vAlign w:val="bottom"/>
            <w:tcBorders>
              <w:bottom w:val="single" w:sz="8" w:color="auto"/>
            </w:tcBorders>
          </w:tcPr>
          <w:p>
            <w:pPr>
              <w:spacing w:after="0"/>
              <w:rPr>
                <w:sz w:val="9"/>
                <w:szCs w:val="9"/>
                <w:color w:val="auto"/>
              </w:rPr>
            </w:pPr>
          </w:p>
        </w:tc>
        <w:tc>
          <w:tcPr>
            <w:tcW w:w="4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221" w:lineRule="exact"/>
        <w:rPr>
          <w:sz w:val="20"/>
          <w:szCs w:val="20"/>
          <w:color w:val="auto"/>
        </w:rPr>
      </w:pPr>
    </w:p>
    <w:p>
      <w:pPr>
        <w:ind w:left="1880" w:hanging="544"/>
        <w:spacing w:after="0"/>
        <w:tabs>
          <w:tab w:leader="none" w:pos="188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Responses pending confirmation: ASM: 2 CR; SM-AHN: 3 PR</w:t>
      </w:r>
    </w:p>
    <w:p>
      <w:pPr>
        <w:spacing w:after="0" w:line="216" w:lineRule="exact"/>
        <w:rPr>
          <w:sz w:val="20"/>
          <w:szCs w:val="20"/>
          <w:color w:val="auto"/>
        </w:rPr>
      </w:pPr>
    </w:p>
    <w:p>
      <w:pPr>
        <w:ind w:left="240" w:right="100" w:firstLine="488"/>
        <w:spacing w:after="0" w:line="299" w:lineRule="auto"/>
        <w:rPr>
          <w:sz w:val="20"/>
          <w:szCs w:val="20"/>
          <w:color w:val="auto"/>
        </w:rPr>
      </w:pPr>
      <w:r>
        <w:rPr>
          <w:rFonts w:ascii="Arial" w:cs="Arial" w:eastAsia="Arial" w:hAnsi="Arial"/>
          <w:sz w:val="16"/>
          <w:szCs w:val="16"/>
          <w:color w:val="auto"/>
        </w:rPr>
        <w:t>In addition, results from individual components of the IWG-MRT-ECNM were reported as of the data cutoff date. Clinically meaningful improvements were observed in all evaluable patients, across all subtypes of advanced SM and at all avapritinib dose levels evaluated.</w:t>
      </w:r>
    </w:p>
    <w:p>
      <w:pPr>
        <w:spacing w:after="0" w:line="176" w:lineRule="exact"/>
        <w:rPr>
          <w:sz w:val="20"/>
          <w:szCs w:val="20"/>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32 enrolled patients had decreases in serum tryptase greater than 50 percent.</w:t>
      </w:r>
    </w:p>
    <w:p>
      <w:pPr>
        <w:spacing w:after="0" w:line="198" w:lineRule="exact"/>
        <w:rPr>
          <w:rFonts w:ascii="Arial" w:cs="Arial" w:eastAsia="Arial" w:hAnsi="Arial"/>
          <w:sz w:val="18"/>
          <w:szCs w:val="18"/>
          <w:color w:val="auto"/>
        </w:rPr>
      </w:pPr>
    </w:p>
    <w:p>
      <w:pPr>
        <w:ind w:left="1320" w:right="220" w:hanging="538"/>
        <w:spacing w:after="0" w:line="23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25 patients who had bone marrow mast cell infiltrate of at least 5 percent at baseline (measured by bone marrow biopsy) showed decreases in bone marrow mast cell burden. In this group, 21 patients had at least a 50 percent decrease, and 15 patients achieved a CR for bone marrow mast cell burden.</w:t>
      </w:r>
    </w:p>
    <w:p>
      <w:pPr>
        <w:spacing w:after="0" w:line="194" w:lineRule="exact"/>
        <w:rPr>
          <w:rFonts w:ascii="Arial" w:cs="Arial" w:eastAsia="Arial" w:hAnsi="Arial"/>
          <w:sz w:val="18"/>
          <w:szCs w:val="18"/>
          <w:color w:val="auto"/>
        </w:rPr>
      </w:pPr>
    </w:p>
    <w:p>
      <w:pPr>
        <w:ind w:left="1320" w:right="14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25 patients with centrally reviewed radiographic scans showed decreases in spleen volume. In this group, 14 patients had at least a 35 percent reduction in spleen volume.</w:t>
      </w:r>
    </w:p>
    <w:p>
      <w:pPr>
        <w:spacing w:after="0" w:line="209" w:lineRule="exact"/>
        <w:rPr>
          <w:sz w:val="20"/>
          <w:szCs w:val="20"/>
          <w:color w:val="auto"/>
        </w:rPr>
      </w:pPr>
    </w:p>
    <w:p>
      <w:pPr>
        <w:ind w:left="240" w:right="380" w:firstLine="488"/>
        <w:spacing w:after="0" w:line="239" w:lineRule="auto"/>
        <w:rPr>
          <w:sz w:val="20"/>
          <w:szCs w:val="20"/>
          <w:color w:val="auto"/>
        </w:rPr>
      </w:pPr>
      <w:r>
        <w:rPr>
          <w:rFonts w:ascii="Arial" w:cs="Arial" w:eastAsia="Arial" w:hAnsi="Arial"/>
          <w:sz w:val="18"/>
          <w:szCs w:val="18"/>
          <w:color w:val="auto"/>
        </w:rPr>
        <w:t>In addition, rash improved in 13 of 15 patients with urticaria pigmentosa at baseline, based on investigator assessments. Urticaria pigmentosa is an allergy-mediated rash common in SM patients.</w:t>
      </w:r>
    </w:p>
    <w:p>
      <w:pPr>
        <w:spacing w:after="0" w:line="191" w:lineRule="exact"/>
        <w:rPr>
          <w:sz w:val="20"/>
          <w:szCs w:val="20"/>
          <w:color w:val="auto"/>
        </w:rPr>
      </w:pPr>
    </w:p>
    <w:p>
      <w:pPr>
        <w:ind w:left="240" w:right="80" w:firstLine="488"/>
        <w:spacing w:after="0" w:line="241" w:lineRule="auto"/>
        <w:rPr>
          <w:sz w:val="20"/>
          <w:szCs w:val="20"/>
          <w:color w:val="auto"/>
        </w:rPr>
      </w:pPr>
      <w:r>
        <w:rPr>
          <w:rFonts w:ascii="Arial" w:cs="Arial" w:eastAsia="Arial" w:hAnsi="Arial"/>
          <w:sz w:val="18"/>
          <w:szCs w:val="18"/>
          <w:i w:val="1"/>
          <w:iCs w:val="1"/>
          <w:color w:val="auto"/>
        </w:rPr>
        <w:t xml:space="preserve">Clinical Development Plans. </w:t>
      </w:r>
      <w:r>
        <w:rPr>
          <w:rFonts w:ascii="Arial" w:cs="Arial" w:eastAsia="Arial" w:hAnsi="Arial"/>
          <w:sz w:val="18"/>
          <w:szCs w:val="18"/>
          <w:color w:val="auto"/>
        </w:rPr>
        <w:t>Based on these data, we plan to engage global regulatory authorities in the first half of 2018 to obtain</w:t>
      </w:r>
      <w:r>
        <w:rPr>
          <w:rFonts w:ascii="Arial" w:cs="Arial" w:eastAsia="Arial" w:hAnsi="Arial"/>
          <w:sz w:val="18"/>
          <w:szCs w:val="18"/>
          <w:i w:val="1"/>
          <w:iCs w:val="1"/>
          <w:color w:val="auto"/>
        </w:rPr>
        <w:t xml:space="preserve"> </w:t>
      </w:r>
      <w:r>
        <w:rPr>
          <w:rFonts w:ascii="Arial" w:cs="Arial" w:eastAsia="Arial" w:hAnsi="Arial"/>
          <w:sz w:val="18"/>
          <w:szCs w:val="18"/>
          <w:color w:val="auto"/>
        </w:rPr>
        <w:t>input on registration pathways for avapritinib in patients with advanced SM and patients with indolent and smoldering SM. Subject to regulatory feedback, we anticipate initiating a registration-enabling clinical trial of avapritinib in patients with advanced SM in the first half of 2018 and a dose escalation and proof-of-concept clinical trial of avapritinib in patients with indolent and smoldering SM in the second half of 2018. In addition, we continue to</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0845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6084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740"/>
        <w:spacing w:after="0" w:line="239" w:lineRule="auto"/>
        <w:rPr>
          <w:sz w:val="20"/>
          <w:szCs w:val="20"/>
          <w:color w:val="auto"/>
        </w:rPr>
      </w:pPr>
      <w:r>
        <w:rPr>
          <w:rFonts w:ascii="Arial" w:cs="Arial" w:eastAsia="Arial" w:hAnsi="Arial"/>
          <w:sz w:val="18"/>
          <w:szCs w:val="18"/>
          <w:color w:val="auto"/>
        </w:rPr>
        <w:t>enroll patients in the expansion portion of the ongoing Phase 1 clinical trial in patients with advanced SM with the goal of generating additional data in 2018.</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Avapritinib (formerly known as BLU-285) for the Treatment of Advanced GIST</w:t>
      </w:r>
    </w:p>
    <w:p>
      <w:pPr>
        <w:spacing w:after="0" w:line="230" w:lineRule="exact"/>
        <w:rPr>
          <w:sz w:val="20"/>
          <w:szCs w:val="20"/>
          <w:color w:val="auto"/>
        </w:rPr>
      </w:pPr>
    </w:p>
    <w:p>
      <w:pPr>
        <w:ind w:left="240" w:firstLine="478"/>
        <w:spacing w:after="0" w:line="239" w:lineRule="auto"/>
        <w:rPr>
          <w:sz w:val="20"/>
          <w:szCs w:val="20"/>
          <w:color w:val="auto"/>
        </w:rPr>
      </w:pPr>
      <w:r>
        <w:rPr>
          <w:rFonts w:ascii="Arial" w:cs="Arial" w:eastAsia="Arial" w:hAnsi="Arial"/>
          <w:sz w:val="18"/>
          <w:szCs w:val="18"/>
          <w:color w:val="auto"/>
        </w:rPr>
        <w:t>Avapritinib is currently being evaluated in the dose expansion portion of a Phase 1 clinical trial in patients with advanced GIST, and enrollment is ongoing. On November 10, 2017, we reported updated data from the dose escalation and expansion portions of this clinical trial at CTOS. As of the data cutoff date of October 11, 2017, 116 patients had been treated with avapritinib in the dose escalation and expansion portions of the Phase 1 clinical trial at eight dose levels (ranging from 30 mg QD to 600 mg QD), including 76 patients with KIT-driven GIST, 39 patients with PDGFRa-driven GIST, and one patient with KIT/PDGFRa wild-type GIST. The median number of prior TKI regimens was four for patients with KIT-driven GIST (ranging from two to 11), and one for patients with PDGFRa-driven GIST (ranging from zero to six). Among patients with KIT-driven GIST, 64 patients (83 percent) previously received regorafenib. We have selected 300 mg QD as the RP2D for the expansion portion of the clinical trial, with an option for investigators to escalate patients to the MTD of 400 mg QD following two treatment cycles.</w:t>
      </w:r>
    </w:p>
    <w:p>
      <w:pPr>
        <w:spacing w:after="0" w:line="193"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8"/>
          <w:szCs w:val="18"/>
          <w:i w:val="1"/>
          <w:iCs w:val="1"/>
          <w:color w:val="auto"/>
        </w:rPr>
        <w:t>Safety Data.</w:t>
      </w:r>
      <w:r>
        <w:rPr>
          <w:sz w:val="20"/>
          <w:szCs w:val="20"/>
          <w:color w:val="auto"/>
        </w:rPr>
        <w:tab/>
      </w:r>
      <w:r>
        <w:rPr>
          <w:rFonts w:ascii="Arial" w:cs="Arial" w:eastAsia="Arial" w:hAnsi="Arial"/>
          <w:sz w:val="16"/>
          <w:szCs w:val="16"/>
          <w:color w:val="auto"/>
        </w:rPr>
        <w:t>As of the data cutoff date, avapritinib was generally well-tolerated. Most AEs reported by investigators were Grade 1 or</w:t>
      </w:r>
    </w:p>
    <w:p>
      <w:pPr>
        <w:spacing w:after="0" w:line="14" w:lineRule="exact"/>
        <w:rPr>
          <w:sz w:val="20"/>
          <w:szCs w:val="20"/>
          <w:color w:val="auto"/>
        </w:rPr>
      </w:pPr>
    </w:p>
    <w:p>
      <w:pPr>
        <w:ind w:left="440" w:hanging="198"/>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Across all grades, the most common treatment-emergent AEs reported by investigators (³20 percent) included nausea (56 percent),</w:t>
      </w:r>
    </w:p>
    <w:p>
      <w:pPr>
        <w:spacing w:after="0" w:line="9" w:lineRule="exact"/>
        <w:rPr>
          <w:rFonts w:ascii="Arial" w:cs="Arial" w:eastAsia="Arial" w:hAnsi="Arial"/>
          <w:sz w:val="18"/>
          <w:szCs w:val="18"/>
          <w:color w:val="auto"/>
        </w:rPr>
      </w:pPr>
    </w:p>
    <w:p>
      <w:pPr>
        <w:ind w:left="240" w:right="260"/>
        <w:spacing w:after="0" w:line="268" w:lineRule="auto"/>
        <w:rPr>
          <w:rFonts w:ascii="Arial" w:cs="Arial" w:eastAsia="Arial" w:hAnsi="Arial"/>
          <w:sz w:val="18"/>
          <w:szCs w:val="18"/>
          <w:color w:val="auto"/>
        </w:rPr>
      </w:pPr>
      <w:r>
        <w:rPr>
          <w:rFonts w:ascii="Arial" w:cs="Arial" w:eastAsia="Arial" w:hAnsi="Arial"/>
          <w:sz w:val="16"/>
          <w:szCs w:val="16"/>
          <w:color w:val="auto"/>
        </w:rPr>
        <w:t>fatigue (53 percent), periorbital edema (43 percent), vomiting (41 percent), edema peripheral (34 percent), anemia (31 percent), diarrhea (31 percent), increased lacrimation (30 percent), cognitive effects (30 percent), decreased appetite (28 percent), dizziness (23 percent), constipation (22 percent) and hair color changes (22 percent). Cognitive effects are an aggregated category of individual cognitive events, each of which was observed in fewer than 20 percent of patients. Investigators reported treatment-related Grade ³3 AEs in 39 patients</w:t>
      </w:r>
    </w:p>
    <w:p>
      <w:pPr>
        <w:spacing w:after="0" w:line="2" w:lineRule="exact"/>
        <w:rPr>
          <w:rFonts w:ascii="Arial" w:cs="Arial" w:eastAsia="Arial" w:hAnsi="Arial"/>
          <w:sz w:val="18"/>
          <w:szCs w:val="18"/>
          <w:color w:val="auto"/>
        </w:rPr>
      </w:pPr>
    </w:p>
    <w:p>
      <w:pPr>
        <w:ind w:left="240" w:right="340"/>
        <w:spacing w:after="0" w:line="237" w:lineRule="auto"/>
        <w:rPr>
          <w:rFonts w:ascii="Arial" w:cs="Arial" w:eastAsia="Arial" w:hAnsi="Arial"/>
          <w:sz w:val="18"/>
          <w:szCs w:val="18"/>
          <w:color w:val="auto"/>
        </w:rPr>
      </w:pPr>
      <w:r>
        <w:rPr>
          <w:rFonts w:ascii="Arial" w:cs="Arial" w:eastAsia="Arial" w:hAnsi="Arial"/>
          <w:sz w:val="18"/>
          <w:szCs w:val="18"/>
          <w:color w:val="auto"/>
        </w:rPr>
        <w:t>(34 percent), including anemia (9 percent), fatigue (7 percent), hypophosphatemia (4 percent), nausea (4 percent) and cognitive effects (3 percent). Six patients (5 percent) discontinued treatment with avapritinib due to AEs. An additional 43 patients discontinued treatment, with 40 patients due to progressive disease and three patients who withdrew consent. Among all 116 enrolled patients, 67 remained on treatment as of the data cutoff date.</w:t>
      </w:r>
    </w:p>
    <w:p>
      <w:pPr>
        <w:spacing w:after="0" w:line="191" w:lineRule="exact"/>
        <w:rPr>
          <w:sz w:val="20"/>
          <w:szCs w:val="20"/>
          <w:color w:val="auto"/>
        </w:rPr>
      </w:pPr>
    </w:p>
    <w:p>
      <w:pPr>
        <w:ind w:left="240" w:right="40" w:firstLine="488"/>
        <w:spacing w:after="0" w:line="279" w:lineRule="auto"/>
        <w:rPr>
          <w:sz w:val="20"/>
          <w:szCs w:val="20"/>
          <w:color w:val="auto"/>
        </w:rPr>
      </w:pPr>
      <w:r>
        <w:rPr>
          <w:rFonts w:ascii="Arial" w:cs="Arial" w:eastAsia="Arial" w:hAnsi="Arial"/>
          <w:sz w:val="16"/>
          <w:szCs w:val="16"/>
          <w:i w:val="1"/>
          <w:iCs w:val="1"/>
          <w:color w:val="auto"/>
        </w:rPr>
        <w:t xml:space="preserve">Clinical Activity Data. </w:t>
      </w:r>
      <w:r>
        <w:rPr>
          <w:rFonts w:ascii="Arial" w:cs="Arial" w:eastAsia="Arial" w:hAnsi="Arial"/>
          <w:sz w:val="16"/>
          <w:szCs w:val="16"/>
          <w:color w:val="auto"/>
        </w:rPr>
        <w:t>As of the data cutoff date, 30 patients with KIT-driven GIST treated at 300 to 400 mg QD were evaluable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response assessments. In addition, 31 patients with PDGFRa D842-driven GIST at all doses were evaluable for response assessments, including 29 patients with a D842V mutation and two patients with other D842 mutations. Two patients with a PDGFRa exon 14 mutation were excluded from analyses of clinical activity. Patients were evaluable if they had at least one centrally reviewed radiographic scan, and all reported data are based on blinded central radiology review as per modified Response Evaluation Criteria in Solid Tumors version 1.1, or mRECIST 1.1 criteria, for GIST. Radiographic scans were also assessed by Choi criteria, a supportive method of response assessment in soft tissue sarcomas that has been shown to be predictive of improved prognosis in patients with advanced GIST.</w:t>
      </w:r>
    </w:p>
    <w:p>
      <w:pPr>
        <w:spacing w:after="0" w:line="164"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Patients with heavily pretreated KIT-driven GIST treated at doses of 300 to 400 mg QD</w:t>
      </w:r>
    </w:p>
    <w:p>
      <w:pPr>
        <w:spacing w:after="0" w:line="243" w:lineRule="exact"/>
        <w:rPr>
          <w:sz w:val="20"/>
          <w:szCs w:val="20"/>
          <w:color w:val="auto"/>
        </w:rPr>
      </w:pPr>
    </w:p>
    <w:p>
      <w:pPr>
        <w:ind w:left="1320" w:right="100" w:hanging="538"/>
        <w:spacing w:after="0" w:line="238"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Centrally assessed radiographic tumor reductions were observed in 20 of 30 evaluable patients (67 percent) across all common KIT genotypes, including mutations in exons 9, 11, 13, 14 and 17, confirmed by archival tumor biopsy and circulating tumor DNA.</w:t>
      </w:r>
    </w:p>
    <w:p>
      <w:pPr>
        <w:spacing w:after="0" w:line="194" w:lineRule="exact"/>
        <w:rPr>
          <w:rFonts w:ascii="Arial" w:cs="Arial" w:eastAsia="Arial" w:hAnsi="Arial"/>
          <w:sz w:val="18"/>
          <w:szCs w:val="18"/>
          <w:color w:val="auto"/>
        </w:rPr>
      </w:pPr>
    </w:p>
    <w:p>
      <w:pPr>
        <w:ind w:left="1320" w:right="720" w:hanging="538"/>
        <w:spacing w:after="0" w:line="239"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mRECIST 1.1 criteria, five patients had a PR (three confirmed, two pending confirmation), and 18 patients had SD, representing an ORR of 17 percent and a disease control rate, or DCR, of 77 percent.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607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607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820" w:hanging="538"/>
        <w:spacing w:after="0" w:line="239"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Choi criteria, 16 patients had a PR and seven patients had SD, representing an ORR of 53 percent and a DCR of 77 percent.</w:t>
      </w:r>
    </w:p>
    <w:p>
      <w:pPr>
        <w:spacing w:after="0" w:line="195" w:lineRule="exact"/>
        <w:rPr>
          <w:rFonts w:ascii="Arial" w:cs="Arial" w:eastAsia="Arial" w:hAnsi="Arial"/>
          <w:sz w:val="18"/>
          <w:szCs w:val="18"/>
          <w:color w:val="auto"/>
        </w:rPr>
      </w:pPr>
    </w:p>
    <w:p>
      <w:pPr>
        <w:ind w:left="1320" w:hanging="538"/>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Median PFS was 11.5 months.</w:t>
      </w:r>
    </w:p>
    <w:p>
      <w:pPr>
        <w:spacing w:after="0" w:line="198" w:lineRule="exact"/>
        <w:rPr>
          <w:rFonts w:ascii="Arial" w:cs="Arial" w:eastAsia="Arial" w:hAnsi="Arial"/>
          <w:sz w:val="18"/>
          <w:szCs w:val="18"/>
          <w:color w:val="auto"/>
        </w:rPr>
      </w:pPr>
    </w:p>
    <w:p>
      <w:pPr>
        <w:ind w:left="1320" w:right="40" w:hanging="538"/>
        <w:spacing w:after="0" w:line="239"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contrast, historical data showed a zero percent ORR and median PFS of 1.8 months in patients with TKI-resistant advanced GIST re-treated with imatinib in a third-line or later setting.</w:t>
      </w:r>
    </w:p>
    <w:p>
      <w:pPr>
        <w:spacing w:after="0" w:line="191"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Patients with PDGFRa-driven GIST</w:t>
      </w:r>
    </w:p>
    <w:p>
      <w:pPr>
        <w:spacing w:after="0" w:line="257" w:lineRule="exact"/>
        <w:rPr>
          <w:sz w:val="20"/>
          <w:szCs w:val="20"/>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Centrally assessed radiographic tumor reductions were observed in all 31 evaluable patients.</w:t>
      </w:r>
    </w:p>
    <w:p>
      <w:pPr>
        <w:spacing w:after="0" w:line="198" w:lineRule="exact"/>
        <w:rPr>
          <w:rFonts w:ascii="Arial" w:cs="Arial" w:eastAsia="Arial" w:hAnsi="Arial"/>
          <w:sz w:val="18"/>
          <w:szCs w:val="18"/>
          <w:color w:val="auto"/>
        </w:rPr>
      </w:pPr>
    </w:p>
    <w:p>
      <w:pPr>
        <w:ind w:left="1320" w:right="340" w:hanging="538"/>
        <w:spacing w:after="0" w:line="239"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mRECIST 1.1 criteria, one patient had a CR (pending confirmation), 21 patients had a PR (18 confirmed, three pending confirmation), and nine patients had SD, representing an ORR of 71 percent and a DCR of 100 percent.</w:t>
      </w:r>
    </w:p>
    <w:p>
      <w:pPr>
        <w:spacing w:after="0" w:line="195"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Choi criteria, one patient had a CR, and 30 patients had a PR, representing an ORR of 100 percent.</w:t>
      </w:r>
    </w:p>
    <w:p>
      <w:pPr>
        <w:spacing w:after="0" w:line="211"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Median PFS was not reached, and 12-month PFS was estimated to be 78 percent.</w:t>
      </w:r>
    </w:p>
    <w:p>
      <w:pPr>
        <w:spacing w:after="0" w:line="186" w:lineRule="exact"/>
        <w:rPr>
          <w:rFonts w:ascii="Arial" w:cs="Arial" w:eastAsia="Arial" w:hAnsi="Arial"/>
          <w:sz w:val="18"/>
          <w:szCs w:val="18"/>
          <w:color w:val="auto"/>
        </w:rPr>
      </w:pPr>
    </w:p>
    <w:p>
      <w:pPr>
        <w:ind w:left="1320" w:right="40" w:hanging="538"/>
        <w:spacing w:after="0" w:line="26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contrast, historical data showed a zero percent ORR and median PFS of 2.8 months in patients with PDGFRa D842V-driven GIST treated with imatinib.</w:t>
      </w:r>
    </w:p>
    <w:p>
      <w:pPr>
        <w:spacing w:after="0" w:line="166" w:lineRule="exact"/>
        <w:rPr>
          <w:sz w:val="20"/>
          <w:szCs w:val="20"/>
          <w:color w:val="auto"/>
        </w:rPr>
      </w:pPr>
    </w:p>
    <w:p>
      <w:pPr>
        <w:ind w:left="240" w:right="20" w:firstLine="488"/>
        <w:spacing w:after="0" w:line="246" w:lineRule="auto"/>
        <w:rPr>
          <w:sz w:val="20"/>
          <w:szCs w:val="20"/>
          <w:color w:val="auto"/>
        </w:rPr>
      </w:pPr>
      <w:r>
        <w:rPr>
          <w:rFonts w:ascii="Arial" w:cs="Arial" w:eastAsia="Arial" w:hAnsi="Arial"/>
          <w:sz w:val="18"/>
          <w:szCs w:val="18"/>
          <w:i w:val="1"/>
          <w:iCs w:val="1"/>
          <w:color w:val="auto"/>
        </w:rPr>
        <w:t xml:space="preserve">Clinical Development Plans. </w:t>
      </w:r>
      <w:r>
        <w:rPr>
          <w:rFonts w:ascii="Arial" w:cs="Arial" w:eastAsia="Arial" w:hAnsi="Arial"/>
          <w:sz w:val="18"/>
          <w:szCs w:val="18"/>
          <w:color w:val="auto"/>
        </w:rPr>
        <w:t>Based on feedback from the FDA at an end-of-Phase 1 meeting, additional data from the expansion</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ongoing Phase 1 clinical trial may be sufficient to support a new drug application for avapritinib for the treatment of PDGFRa D842V-driven GIST. We currently expect to complete enrollment of the PDGFRa D842V expansion cohort for this clinical trial by the middle of 2018, and we plan to initiate a global, randomized Phase 3 clinical trial for avapritinib compared to regorafenib in third-line GIST in the first half of 2018. We also plan to report updated data from our ongoing Phase 1 clinical trial for GIST in the following patient populations in 2018: PDGFRa, second line KIT and third line or later KIT.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BLU-554 for the Treatment of Advanced HCC</w:t>
      </w:r>
    </w:p>
    <w:p>
      <w:pPr>
        <w:spacing w:after="0" w:line="230" w:lineRule="exact"/>
        <w:rPr>
          <w:sz w:val="20"/>
          <w:szCs w:val="20"/>
          <w:color w:val="auto"/>
        </w:rPr>
      </w:pPr>
    </w:p>
    <w:p>
      <w:pPr>
        <w:ind w:left="240" w:firstLine="488"/>
        <w:spacing w:after="0" w:line="235" w:lineRule="auto"/>
        <w:rPr>
          <w:sz w:val="20"/>
          <w:szCs w:val="20"/>
          <w:color w:val="auto"/>
        </w:rPr>
      </w:pPr>
      <w:r>
        <w:rPr>
          <w:rFonts w:ascii="Arial" w:cs="Arial" w:eastAsia="Arial" w:hAnsi="Arial"/>
          <w:sz w:val="18"/>
          <w:szCs w:val="18"/>
          <w:color w:val="auto"/>
        </w:rPr>
        <w:t>BLU-554 is currently being evaluated in the dose expansion portion of a Phase 1 clinical trial in patients with advanced HCC at the MTD of 600 mg QD, and enrollment is ongoing. In October 2017, we presented updated data from this ongoing clinical trial at ESMO. As of the data cutoff of August 18, 2017, 77 patients had been treated with BLU-554 in the dose escalation and expansion portions of the Phase 1 clinical trial at five dose levels (ranging from 140 mg QD to 900 mg QD), including 44 patients with FGFR4-driven HCC. FGFR4-driven HCC was defined as at least one percent tumor expression of FGF19, the FGFR4 ligand, as measured by an immunohistochemistry, or IHC, assay. In general, the enrolled population was heavily pretreated: 82 percent received prior TKI treatment, 23 percent received prior immunotherapy and 91 percent received prior systemic therapy. PK analysis demonstrated rapid oral absorption across all dose levels, with a mean half-life of approximately 17 hours and exposure in the expected therapeutic range based on HCC xenograft models. Collectively, we believe that these data support a once-daily dosing regimen.</w:t>
      </w:r>
    </w:p>
    <w:p>
      <w:pPr>
        <w:spacing w:after="0" w:line="197" w:lineRule="exact"/>
        <w:rPr>
          <w:sz w:val="20"/>
          <w:szCs w:val="20"/>
          <w:color w:val="auto"/>
        </w:rPr>
      </w:pPr>
    </w:p>
    <w:p>
      <w:pPr>
        <w:ind w:left="240" w:right="120" w:firstLine="488"/>
        <w:spacing w:after="0" w:line="241" w:lineRule="auto"/>
        <w:rPr>
          <w:sz w:val="20"/>
          <w:szCs w:val="20"/>
          <w:color w:val="auto"/>
        </w:rPr>
      </w:pPr>
      <w:r>
        <w:rPr>
          <w:rFonts w:ascii="Arial" w:cs="Arial" w:eastAsia="Arial" w:hAnsi="Arial"/>
          <w:sz w:val="18"/>
          <w:szCs w:val="18"/>
          <w:i w:val="1"/>
          <w:iCs w:val="1"/>
          <w:color w:val="auto"/>
        </w:rPr>
        <w:t xml:space="preserve">Safety Data. </w:t>
      </w:r>
      <w:r>
        <w:rPr>
          <w:rFonts w:ascii="Arial" w:cs="Arial" w:eastAsia="Arial" w:hAnsi="Arial"/>
          <w:sz w:val="18"/>
          <w:szCs w:val="18"/>
          <w:color w:val="auto"/>
        </w:rPr>
        <w:t>As of the data cutoff of August 18, 2017, the majority of AEs reported by investigators were Grade 1 or 2. Across all</w:t>
      </w:r>
      <w:r>
        <w:rPr>
          <w:rFonts w:ascii="Arial" w:cs="Arial" w:eastAsia="Arial" w:hAnsi="Arial"/>
          <w:sz w:val="18"/>
          <w:szCs w:val="18"/>
          <w:i w:val="1"/>
          <w:iCs w:val="1"/>
          <w:color w:val="auto"/>
        </w:rPr>
        <w:t xml:space="preserve"> </w:t>
      </w:r>
      <w:r>
        <w:rPr>
          <w:rFonts w:ascii="Arial" w:cs="Arial" w:eastAsia="Arial" w:hAnsi="Arial"/>
          <w:sz w:val="18"/>
          <w:szCs w:val="18"/>
          <w:color w:val="auto"/>
        </w:rPr>
        <w:t>grades, the most common AEs reported by investigators related to BLU-554 included diarrhea (71 percent), nausea (42 percent), vomiting (36 percent), transaminase elevation (AST 34 percent and ALT 32 percent) and fatigue (29 percent). Grade 3 or higher AEs related to BLU-554 occurring in five or more patients included anemia, diarrhea and transaminase elevation (AST and ALT). Among all 77 patients treated with BLU-554, 58 patients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3328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633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460"/>
        <w:spacing w:after="0" w:line="239" w:lineRule="auto"/>
        <w:rPr>
          <w:sz w:val="20"/>
          <w:szCs w:val="20"/>
          <w:color w:val="auto"/>
        </w:rPr>
      </w:pPr>
      <w:r>
        <w:rPr>
          <w:rFonts w:ascii="Arial" w:cs="Arial" w:eastAsia="Arial" w:hAnsi="Arial"/>
          <w:sz w:val="18"/>
          <w:szCs w:val="18"/>
          <w:color w:val="auto"/>
        </w:rPr>
        <w:t>discontinued treatment with BLU-554, including 42 patients due to disease progression, 11 patients due to treatment-related AEs, three patients who withdrew consent and two patients due to the investigator's decision.</w:t>
      </w:r>
    </w:p>
    <w:p>
      <w:pPr>
        <w:spacing w:after="0" w:line="191" w:lineRule="exact"/>
        <w:rPr>
          <w:sz w:val="20"/>
          <w:szCs w:val="20"/>
          <w:color w:val="auto"/>
        </w:rPr>
      </w:pPr>
    </w:p>
    <w:p>
      <w:pPr>
        <w:ind w:left="240" w:firstLine="488"/>
        <w:spacing w:after="0" w:line="247" w:lineRule="auto"/>
        <w:rPr>
          <w:sz w:val="20"/>
          <w:szCs w:val="20"/>
          <w:color w:val="auto"/>
        </w:rPr>
      </w:pPr>
      <w:r>
        <w:rPr>
          <w:rFonts w:ascii="Arial" w:cs="Arial" w:eastAsia="Arial" w:hAnsi="Arial"/>
          <w:sz w:val="18"/>
          <w:szCs w:val="18"/>
          <w:i w:val="1"/>
          <w:iCs w:val="1"/>
          <w:color w:val="auto"/>
        </w:rPr>
        <w:t xml:space="preserve">Clinical Activity Data. </w:t>
      </w:r>
      <w:r>
        <w:rPr>
          <w:rFonts w:ascii="Arial" w:cs="Arial" w:eastAsia="Arial" w:hAnsi="Arial"/>
          <w:sz w:val="18"/>
          <w:szCs w:val="18"/>
          <w:color w:val="auto"/>
        </w:rPr>
        <w:t>As of the data cutoff of August 18, 2017, 67 patients were evaluable for response assessment. An additional 10</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were treated with BLU-554 as of the data cutoff date but were not evaluable for response assessment. Response was assessed using the Response Evaluation Criteria In Solid Tumors, or RECIST, version 1.1.</w:t>
      </w:r>
    </w:p>
    <w:p>
      <w:pPr>
        <w:spacing w:after="0" w:line="203" w:lineRule="exact"/>
        <w:rPr>
          <w:sz w:val="20"/>
          <w:szCs w:val="20"/>
          <w:color w:val="auto"/>
        </w:rPr>
      </w:pPr>
    </w:p>
    <w:p>
      <w:pPr>
        <w:ind w:left="240" w:right="220" w:firstLine="488"/>
        <w:spacing w:after="0" w:line="238" w:lineRule="auto"/>
        <w:rPr>
          <w:sz w:val="20"/>
          <w:szCs w:val="20"/>
          <w:color w:val="auto"/>
        </w:rPr>
      </w:pPr>
      <w:r>
        <w:rPr>
          <w:rFonts w:ascii="Arial" w:cs="Arial" w:eastAsia="Arial" w:hAnsi="Arial"/>
          <w:sz w:val="18"/>
          <w:szCs w:val="18"/>
          <w:color w:val="auto"/>
        </w:rPr>
        <w:t>In patients with FGFR4-driven HCC (n=38), the data showed an ORR of 16 percent (95 percent confidence interval 6-31%). In addition, 49% of patients had radiographic tumor reduction, and clinical activity was observed regardless of disease etiology or geography. As of the data cutoff date:</w:t>
      </w:r>
    </w:p>
    <w:p>
      <w:pPr>
        <w:spacing w:after="0" w:line="222" w:lineRule="exact"/>
        <w:rPr>
          <w:sz w:val="20"/>
          <w:szCs w:val="20"/>
          <w:color w:val="auto"/>
        </w:rPr>
      </w:pPr>
    </w:p>
    <w:p>
      <w:pPr>
        <w:ind w:left="1320" w:hanging="538"/>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One patient had an unconfirmed complete response.</w:t>
      </w:r>
    </w:p>
    <w:p>
      <w:pPr>
        <w:spacing w:after="0" w:line="198" w:lineRule="exact"/>
        <w:rPr>
          <w:rFonts w:ascii="Arial" w:cs="Arial" w:eastAsia="Arial" w:hAnsi="Arial"/>
          <w:sz w:val="18"/>
          <w:szCs w:val="18"/>
          <w:color w:val="auto"/>
        </w:rPr>
      </w:pPr>
    </w:p>
    <w:p>
      <w:pPr>
        <w:ind w:left="1320" w:hanging="538"/>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Five patients had a partial response, with four confirmed and one unconfirmed.</w:t>
      </w:r>
    </w:p>
    <w:p>
      <w:pPr>
        <w:spacing w:after="0" w:line="198" w:lineRule="exact"/>
        <w:rPr>
          <w:rFonts w:ascii="Arial" w:cs="Arial" w:eastAsia="Arial" w:hAnsi="Arial"/>
          <w:sz w:val="18"/>
          <w:szCs w:val="18"/>
          <w:color w:val="auto"/>
        </w:rPr>
      </w:pPr>
    </w:p>
    <w:p>
      <w:pPr>
        <w:ind w:left="1320" w:hanging="538"/>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20 patients had stable disease, representing a disease control rate of 68%.</w:t>
      </w:r>
    </w:p>
    <w:p>
      <w:pPr>
        <w:spacing w:after="0" w:line="211" w:lineRule="exact"/>
        <w:rPr>
          <w:rFonts w:ascii="Arial" w:cs="Arial" w:eastAsia="Arial" w:hAnsi="Arial"/>
          <w:sz w:val="18"/>
          <w:szCs w:val="18"/>
          <w:color w:val="auto"/>
        </w:rPr>
      </w:pPr>
    </w:p>
    <w:p>
      <w:pPr>
        <w:ind w:left="1320" w:hanging="538"/>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responses were observed in patients without FGFR4 pathway activation (n=29).</w:t>
      </w:r>
    </w:p>
    <w:p>
      <w:pPr>
        <w:spacing w:after="0" w:line="212" w:lineRule="exact"/>
        <w:rPr>
          <w:sz w:val="20"/>
          <w:szCs w:val="20"/>
          <w:color w:val="auto"/>
        </w:rPr>
      </w:pPr>
    </w:p>
    <w:p>
      <w:pPr>
        <w:ind w:left="240" w:right="240" w:firstLine="478"/>
        <w:spacing w:after="0" w:line="239" w:lineRule="auto"/>
        <w:rPr>
          <w:sz w:val="20"/>
          <w:szCs w:val="20"/>
          <w:color w:val="auto"/>
        </w:rPr>
      </w:pPr>
      <w:r>
        <w:rPr>
          <w:rFonts w:ascii="Arial" w:cs="Arial" w:eastAsia="Arial" w:hAnsi="Arial"/>
          <w:sz w:val="18"/>
          <w:szCs w:val="18"/>
          <w:color w:val="auto"/>
        </w:rPr>
        <w:t>Among all 77 patients treated with BLU-554, 19 remained on treatment as of the data cutoff date, including 15 patients with FGFR4-driven HCC. Median progression free survival was 3.7 months among patients with FGFR4-driven HCC.</w:t>
      </w:r>
    </w:p>
    <w:p>
      <w:pPr>
        <w:spacing w:after="0" w:line="209" w:lineRule="exact"/>
        <w:rPr>
          <w:sz w:val="20"/>
          <w:szCs w:val="20"/>
          <w:color w:val="auto"/>
        </w:rPr>
      </w:pPr>
    </w:p>
    <w:p>
      <w:pPr>
        <w:ind w:left="240" w:right="40" w:firstLine="488"/>
        <w:spacing w:after="0" w:line="238" w:lineRule="auto"/>
        <w:rPr>
          <w:sz w:val="20"/>
          <w:szCs w:val="20"/>
          <w:color w:val="auto"/>
        </w:rPr>
      </w:pPr>
      <w:r>
        <w:rPr>
          <w:rFonts w:ascii="Arial" w:cs="Arial" w:eastAsia="Arial" w:hAnsi="Arial"/>
          <w:sz w:val="18"/>
          <w:szCs w:val="18"/>
          <w:color w:val="auto"/>
        </w:rPr>
        <w:t>In addition, five TKI-naïve patients with FGFR4-driven HCC were evaluable for response assessment as of the data cutoff date. Within this group, preliminary evidence of prolonged disease control was observed. Two TKI-naïve patients remain on treatment as of the data cutoff date with a duration of treatment of 11.4 months and 12.3 months, respectively.</w:t>
      </w:r>
    </w:p>
    <w:p>
      <w:pPr>
        <w:spacing w:after="0" w:line="190" w:lineRule="exact"/>
        <w:rPr>
          <w:sz w:val="20"/>
          <w:szCs w:val="20"/>
          <w:color w:val="auto"/>
        </w:rPr>
      </w:pPr>
    </w:p>
    <w:p>
      <w:pPr>
        <w:ind w:left="240" w:firstLine="488"/>
        <w:spacing w:after="0" w:line="243" w:lineRule="auto"/>
        <w:rPr>
          <w:sz w:val="20"/>
          <w:szCs w:val="20"/>
          <w:color w:val="auto"/>
        </w:rPr>
      </w:pPr>
      <w:r>
        <w:rPr>
          <w:rFonts w:ascii="Arial" w:cs="Arial" w:eastAsia="Arial" w:hAnsi="Arial"/>
          <w:sz w:val="18"/>
          <w:szCs w:val="18"/>
          <w:i w:val="1"/>
          <w:iCs w:val="1"/>
          <w:color w:val="auto"/>
        </w:rPr>
        <w:t xml:space="preserve">Clinical Development Plans. </w:t>
      </w:r>
      <w:r>
        <w:rPr>
          <w:rFonts w:ascii="Arial" w:cs="Arial" w:eastAsia="Arial" w:hAnsi="Arial"/>
          <w:sz w:val="18"/>
          <w:szCs w:val="18"/>
          <w:color w:val="auto"/>
        </w:rPr>
        <w:t>We plan to initiate an additional cohort in this clinical trial in the first quarter of 2018 to evaluate BLU-554 in TKI-naïve patients with FGFR4-driven HCC, and we also plan to explore opportunities to conduct a clinical trial to evaluate BLU-554 in combination with an immune checkpoint inhibitor. We plan to report updated data from the expansion portion of our ongoing Phase 1 clinical trial for advanced HCC and preliminary data from the TKI-naïve cohort in the second half of 2018.</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BLU-667 for the Treatment of RET-Altered NSCLC, MTC and Other Advanced Solid Tumors</w:t>
      </w:r>
    </w:p>
    <w:p>
      <w:pPr>
        <w:spacing w:after="0" w:line="230" w:lineRule="exact"/>
        <w:rPr>
          <w:sz w:val="20"/>
          <w:szCs w:val="20"/>
          <w:color w:val="auto"/>
        </w:rPr>
      </w:pPr>
    </w:p>
    <w:p>
      <w:pPr>
        <w:ind w:left="240" w:right="200" w:firstLine="488"/>
        <w:spacing w:after="0" w:line="236" w:lineRule="auto"/>
        <w:rPr>
          <w:sz w:val="20"/>
          <w:szCs w:val="20"/>
          <w:color w:val="auto"/>
        </w:rPr>
      </w:pPr>
      <w:r>
        <w:rPr>
          <w:rFonts w:ascii="Arial" w:cs="Arial" w:eastAsia="Arial" w:hAnsi="Arial"/>
          <w:sz w:val="18"/>
          <w:szCs w:val="18"/>
          <w:color w:val="auto"/>
        </w:rPr>
        <w:t>BLU-667 is currently being evaluated in the dose escalation portion of a Phase 1 clinical trial in patients with RET-altered NSCLC, MTC and other advanced solid tumors, and enrollment is ongoing. As of December 1, 2017, 30 patients have been enrolled in the dose escalation portion of this clinical trial. BLU-667 has been generally well-tolerated to date, and the majority of AEs reported by investigators were Grade 1. We have not identified an MTD or RP2D. Investigators have reported preliminary evidence of clinical activity in patients with NSCLC, including patients with KIF5B and other RET fusions, and RET-altered MTC. We plan to report preliminary data from our Phase 1 clinical trial for RET and initiate the expansion portion of this clinical trial in the first half of 2018.</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Preclinical Development Programs</w:t>
      </w:r>
    </w:p>
    <w:p>
      <w:pPr>
        <w:spacing w:after="0" w:line="234" w:lineRule="exact"/>
        <w:rPr>
          <w:sz w:val="20"/>
          <w:szCs w:val="20"/>
          <w:color w:val="auto"/>
        </w:rPr>
      </w:pPr>
    </w:p>
    <w:p>
      <w:pPr>
        <w:ind w:left="240" w:right="120" w:firstLine="488"/>
        <w:spacing w:after="0" w:line="239" w:lineRule="auto"/>
        <w:rPr>
          <w:sz w:val="20"/>
          <w:szCs w:val="20"/>
          <w:color w:val="auto"/>
        </w:rPr>
      </w:pPr>
      <w:r>
        <w:rPr>
          <w:rFonts w:ascii="Arial" w:cs="Arial" w:eastAsia="Arial" w:hAnsi="Arial"/>
          <w:sz w:val="18"/>
          <w:szCs w:val="18"/>
          <w:color w:val="auto"/>
        </w:rPr>
        <w:t>We plan to continue to leverage our discovery platform to systematically and reproducibly identify kinases that are drivers of diseases in genomically defined patient populations and craft drug candidates that potently and selectively target these kinases.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976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97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0" w:firstLine="488"/>
        <w:spacing w:after="0" w:line="236" w:lineRule="auto"/>
        <w:rPr>
          <w:sz w:val="20"/>
          <w:szCs w:val="20"/>
          <w:color w:val="auto"/>
        </w:rPr>
      </w:pPr>
      <w:r>
        <w:rPr>
          <w:rFonts w:ascii="Arial" w:cs="Arial" w:eastAsia="Arial" w:hAnsi="Arial"/>
          <w:sz w:val="18"/>
          <w:szCs w:val="18"/>
          <w:color w:val="auto"/>
        </w:rPr>
        <w:t>We recently nominated a development candidate, BLU-782, for our discovery program targeting the kinase ALK2 for the treatment of fibrodysplasia ossificans progressiva, or FOP, a rare genetic disease caused by mutations in the ALK2 gene, ACVR1. We anticipate initiating IND-enabling studies in the first half of 2018, and we plan to report preclinical data for our ALK2 program in 2018. In addition, we currently have two discovery programs for undisclosed kinase targets, and we anticipate nominating at least two additional discovery programs in 2018.</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Collaborations</w:t>
      </w:r>
    </w:p>
    <w:p>
      <w:pPr>
        <w:spacing w:after="0" w:line="234" w:lineRule="exact"/>
        <w:rPr>
          <w:sz w:val="20"/>
          <w:szCs w:val="20"/>
          <w:color w:val="auto"/>
        </w:rPr>
      </w:pPr>
    </w:p>
    <w:p>
      <w:pPr>
        <w:ind w:left="240" w:firstLine="488"/>
        <w:spacing w:after="0" w:line="238" w:lineRule="auto"/>
        <w:rPr>
          <w:sz w:val="20"/>
          <w:szCs w:val="20"/>
          <w:color w:val="auto"/>
        </w:rPr>
      </w:pPr>
      <w:r>
        <w:rPr>
          <w:rFonts w:ascii="Arial" w:cs="Arial" w:eastAsia="Arial" w:hAnsi="Arial"/>
          <w:sz w:val="18"/>
          <w:szCs w:val="18"/>
          <w:color w:val="auto"/>
        </w:rPr>
        <w:t>In March 2016, we entered into an agreement with F. Hoffmann-La Roche Ltd and Hoffmann-La Roche Inc. to discover, develop and commercialize up to five small molecule therapeutics targeting kinases believed to be important in cancer immunotherapy, as single products or possibly in combination with other therapeutics.</w:t>
      </w:r>
    </w:p>
    <w:p>
      <w:pPr>
        <w:spacing w:after="0" w:line="208" w:lineRule="exact"/>
        <w:rPr>
          <w:sz w:val="20"/>
          <w:szCs w:val="20"/>
          <w:color w:val="auto"/>
        </w:rPr>
      </w:pPr>
    </w:p>
    <w:p>
      <w:pPr>
        <w:ind w:left="240" w:right="100" w:firstLine="488"/>
        <w:spacing w:after="0" w:line="238" w:lineRule="auto"/>
        <w:rPr>
          <w:sz w:val="20"/>
          <w:szCs w:val="20"/>
          <w:color w:val="auto"/>
        </w:rPr>
      </w:pPr>
      <w:r>
        <w:rPr>
          <w:rFonts w:ascii="Arial" w:cs="Arial" w:eastAsia="Arial" w:hAnsi="Arial"/>
          <w:sz w:val="18"/>
          <w:szCs w:val="18"/>
          <w:color w:val="auto"/>
        </w:rPr>
        <w:t>We will continue to evaluate additional collaborations that could maximize the value for our programs and allow us to leverage the expertise of strategic collaborators. We are also focused on engaging in collaborations to capitalize on our discovery platform outside of our primary strategic focus area of cancer.</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240" w:right="240" w:firstLine="488"/>
        <w:spacing w:after="0" w:line="239" w:lineRule="auto"/>
        <w:rPr>
          <w:sz w:val="20"/>
          <w:szCs w:val="20"/>
          <w:color w:val="auto"/>
        </w:rPr>
      </w:pPr>
      <w:r>
        <w:rPr>
          <w:rFonts w:ascii="Arial" w:cs="Arial" w:eastAsia="Arial" w:hAnsi="Arial"/>
          <w:sz w:val="18"/>
          <w:szCs w:val="18"/>
          <w:color w:val="auto"/>
        </w:rPr>
        <w:t>Our goal is to become a fully-integrated biopharmaceutical company capable of delivering transformative drugs to patients. The key tenets of our strategy include the following:</w:t>
      </w:r>
    </w:p>
    <w:p>
      <w:pPr>
        <w:spacing w:after="0" w:line="223" w:lineRule="exact"/>
        <w:rPr>
          <w:sz w:val="20"/>
          <w:szCs w:val="20"/>
          <w:color w:val="auto"/>
        </w:rPr>
      </w:pPr>
    </w:p>
    <w:p>
      <w:pPr>
        <w:ind w:left="1320" w:right="420" w:hanging="538"/>
        <w:spacing w:after="0" w:line="239"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Rapidly advance our lead drug candidates, avapritinib, BLU-554 and BLU-667, through clinical development and potential commercialization.</w:t>
      </w:r>
    </w:p>
    <w:p>
      <w:pPr>
        <w:spacing w:after="0" w:line="195" w:lineRule="exact"/>
        <w:rPr>
          <w:rFonts w:ascii="Arial" w:cs="Arial" w:eastAsia="Arial" w:hAnsi="Arial"/>
          <w:sz w:val="18"/>
          <w:szCs w:val="18"/>
          <w:color w:val="auto"/>
        </w:rPr>
      </w:pPr>
    </w:p>
    <w:p>
      <w:pPr>
        <w:ind w:left="1320" w:hanging="53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Build a pipeline of kinase drugs for patients with genomically defined drivers of disease.</w:t>
      </w:r>
    </w:p>
    <w:p>
      <w:pPr>
        <w:spacing w:after="0" w:line="198" w:lineRule="exact"/>
        <w:rPr>
          <w:rFonts w:ascii="Arial" w:cs="Arial" w:eastAsia="Arial" w:hAnsi="Arial"/>
          <w:sz w:val="18"/>
          <w:szCs w:val="18"/>
          <w:color w:val="auto"/>
        </w:rPr>
      </w:pPr>
    </w:p>
    <w:p>
      <w:pPr>
        <w:ind w:left="1320" w:hanging="53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Continuously invest in our proprietary discovery platform to ensure future growth.</w:t>
      </w:r>
    </w:p>
    <w:p>
      <w:pPr>
        <w:spacing w:after="0" w:line="211" w:lineRule="exact"/>
        <w:rPr>
          <w:rFonts w:ascii="Arial" w:cs="Arial" w:eastAsia="Arial" w:hAnsi="Arial"/>
          <w:sz w:val="18"/>
          <w:szCs w:val="18"/>
          <w:color w:val="auto"/>
        </w:rPr>
      </w:pPr>
    </w:p>
    <w:p>
      <w:pPr>
        <w:ind w:left="1320" w:hanging="53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 strategic collaborations to maximize the value of our programs and platform.</w:t>
      </w:r>
    </w:p>
    <w:p>
      <w:pPr>
        <w:spacing w:after="0" w:line="198" w:lineRule="exact"/>
        <w:rPr>
          <w:rFonts w:ascii="Arial" w:cs="Arial" w:eastAsia="Arial" w:hAnsi="Arial"/>
          <w:sz w:val="18"/>
          <w:szCs w:val="18"/>
          <w:color w:val="auto"/>
        </w:rPr>
      </w:pPr>
    </w:p>
    <w:p>
      <w:pPr>
        <w:ind w:left="1320" w:hanging="53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Blueprint Medicines' patient-focused and science-driven culture as we grow our business.</w:t>
      </w: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4" w:lineRule="exact"/>
        <w:rPr>
          <w:sz w:val="20"/>
          <w:szCs w:val="20"/>
          <w:color w:val="auto"/>
        </w:rPr>
      </w:pPr>
    </w:p>
    <w:p>
      <w:pPr>
        <w:ind w:left="240" w:firstLine="488"/>
        <w:spacing w:after="0" w:line="27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so long as we remain an emerging growth company, we are permitted and intend to rely on exemptions from certain disclosure requirements that are applicable to other public companies that are not emerging growth companies. As of June 30, 2017, the market value of our common stock that was held by non-affiliates exceeded $700 million, and as a result, we will be deemed to be a large accelerated filer under the rules of the SEC and will no longer qualify for emerging growth company status after December 31, 2017. As a result, we will no longer be able to take advantage of specified reduced disclosure and other requirements that are available to emerging growth companies after such date.</w:t>
      </w: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Company Information</w:t>
      </w:r>
    </w:p>
    <w:p>
      <w:pPr>
        <w:spacing w:after="0" w:line="234" w:lineRule="exact"/>
        <w:rPr>
          <w:sz w:val="20"/>
          <w:szCs w:val="20"/>
          <w:color w:val="auto"/>
        </w:rPr>
      </w:pPr>
    </w:p>
    <w:p>
      <w:pPr>
        <w:ind w:left="240" w:right="160" w:firstLine="488"/>
        <w:spacing w:after="0" w:line="237" w:lineRule="auto"/>
        <w:rPr>
          <w:sz w:val="20"/>
          <w:szCs w:val="20"/>
          <w:color w:val="auto"/>
        </w:rPr>
      </w:pPr>
      <w:r>
        <w:rPr>
          <w:rFonts w:ascii="Arial" w:cs="Arial" w:eastAsia="Arial" w:hAnsi="Arial"/>
          <w:sz w:val="18"/>
          <w:szCs w:val="18"/>
          <w:color w:val="auto"/>
        </w:rPr>
        <w:t>We were incorporated in Delaware in October 2008. Our mailing address and executive offices are located at 38 Sidney Street, Suite 200, Cambridge, Massachusetts, 02139, and our telephone number is (617) 374-7580. We maintain an Internet website at the following address: www.blueprintmedicines.com. The information on, or that can be accessed through, our website does not constitute part of this prospectus supplement or the accompanying prospectus, and you</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1487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1487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80"/>
        <w:spacing w:after="0" w:line="239" w:lineRule="auto"/>
        <w:rPr>
          <w:sz w:val="20"/>
          <w:szCs w:val="20"/>
          <w:color w:val="auto"/>
        </w:rPr>
      </w:pPr>
      <w:r>
        <w:rPr>
          <w:rFonts w:ascii="Arial" w:cs="Arial" w:eastAsia="Arial" w:hAnsi="Arial"/>
          <w:sz w:val="18"/>
          <w:szCs w:val="18"/>
          <w:color w:val="auto"/>
        </w:rPr>
        <w:t>should not rely on any such information in making the decision whether to purchase our common stock. Our common stock trades on the Nasdaq Global Select Market under the symbol "BPMC".</w:t>
      </w:r>
    </w:p>
    <w:p>
      <w:pPr>
        <w:spacing w:after="0" w:line="209" w:lineRule="exact"/>
        <w:rPr>
          <w:sz w:val="20"/>
          <w:szCs w:val="20"/>
          <w:color w:val="auto"/>
        </w:rPr>
      </w:pPr>
    </w:p>
    <w:p>
      <w:pPr>
        <w:ind w:left="240" w:firstLine="485"/>
        <w:spacing w:after="0" w:line="237" w:lineRule="auto"/>
        <w:rPr>
          <w:sz w:val="20"/>
          <w:szCs w:val="20"/>
          <w:color w:val="auto"/>
        </w:rPr>
      </w:pPr>
      <w:r>
        <w:rPr>
          <w:rFonts w:ascii="Arial" w:cs="Arial" w:eastAsia="Arial" w:hAnsi="Arial"/>
          <w:sz w:val="18"/>
          <w:szCs w:val="18"/>
          <w:color w:val="auto"/>
        </w:rPr>
        <w:t>The trademarks, trade names and services marks appearing in this prospectus supplement and the accompanying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8306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6830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60"/>
          </w:cols>
          <w:pgMar w:left="240" w:top="143" w:right="499" w:bottom="1440" w:gutter="0" w:footer="0" w:header="0"/>
        </w:sectPr>
      </w:pPr>
    </w:p>
    <w:p>
      <w:pPr>
        <w:spacing w:after="0" w:line="2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3,703,704 shares</w:t>
      </w:r>
    </w:p>
    <w:p>
      <w:pPr>
        <w:spacing w:after="0" w:line="200" w:lineRule="exact"/>
        <w:rPr>
          <w:sz w:val="20"/>
          <w:szCs w:val="20"/>
          <w:color w:val="auto"/>
        </w:rPr>
      </w:pPr>
    </w:p>
    <w:p>
      <w:pPr>
        <w:sectPr>
          <w:pgSz w:w="11900" w:h="16838" w:orient="portrait"/>
          <w:cols w:equalWidth="0" w:num="2">
            <w:col w:w="5220" w:space="720"/>
            <w:col w:w="5220"/>
          </w:cols>
          <w:pgMar w:left="240" w:top="143" w:right="499" w:bottom="1440" w:gutter="0" w:footer="0" w:header="0"/>
          <w:type w:val="continuous"/>
        </w:sectPr>
      </w:pPr>
    </w:p>
    <w:p>
      <w:pPr>
        <w:spacing w:after="0" w:line="3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Common stock outstanding following the offering</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560"/>
        <w:spacing w:after="0" w:line="299" w:lineRule="auto"/>
        <w:rPr>
          <w:sz w:val="20"/>
          <w:szCs w:val="20"/>
          <w:color w:val="auto"/>
        </w:rPr>
      </w:pPr>
      <w:r>
        <w:rPr>
          <w:rFonts w:ascii="Arial" w:cs="Arial" w:eastAsia="Arial" w:hAnsi="Arial"/>
          <w:sz w:val="16"/>
          <w:szCs w:val="16"/>
          <w:color w:val="auto"/>
        </w:rPr>
        <w:t>42,882,723 shares (or 43,438,278 shares if the underwriters exercise their option to purchase additional shares in full)</w:t>
      </w:r>
    </w:p>
    <w:p>
      <w:pPr>
        <w:spacing w:after="0" w:line="163" w:lineRule="exact"/>
        <w:rPr>
          <w:sz w:val="20"/>
          <w:szCs w:val="20"/>
          <w:color w:val="auto"/>
        </w:rPr>
      </w:pPr>
    </w:p>
    <w:p>
      <w:pPr>
        <w:sectPr>
          <w:pgSz w:w="11900" w:h="16838" w:orient="portrait"/>
          <w:cols w:equalWidth="0" w:num="2">
            <w:col w:w="5220" w:space="720"/>
            <w:col w:w="5220"/>
          </w:cols>
          <w:pgMar w:left="240" w:top="143" w:right="49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jc w:val="both"/>
        <w:ind w:right="40"/>
        <w:spacing w:after="0" w:line="237" w:lineRule="auto"/>
        <w:rPr>
          <w:sz w:val="20"/>
          <w:szCs w:val="20"/>
          <w:color w:val="auto"/>
        </w:rPr>
      </w:pPr>
      <w:r>
        <w:rPr>
          <w:rFonts w:ascii="Arial" w:cs="Arial" w:eastAsia="Arial" w:hAnsi="Arial"/>
          <w:sz w:val="18"/>
          <w:szCs w:val="18"/>
          <w:color w:val="auto"/>
        </w:rPr>
        <w:t>We have granted the underwriters an option to purchase up to an additional 555,555 shares of common stock. The underwriters can exercise this option at any time within 30 days from the date of this prospectus supplement.</w:t>
      </w:r>
    </w:p>
    <w:p>
      <w:pPr>
        <w:spacing w:after="0" w:line="200" w:lineRule="exact"/>
        <w:rPr>
          <w:sz w:val="20"/>
          <w:szCs w:val="20"/>
          <w:color w:val="auto"/>
        </w:rPr>
      </w:pPr>
    </w:p>
    <w:p>
      <w:pPr>
        <w:sectPr>
          <w:pgSz w:w="11900" w:h="16838" w:orient="portrait"/>
          <w:cols w:equalWidth="0" w:num="2">
            <w:col w:w="5220" w:space="720"/>
            <w:col w:w="5220"/>
          </w:cols>
          <w:pgMar w:left="240" w:top="143" w:right="499" w:bottom="1440" w:gutter="0" w:footer="0" w:header="0"/>
          <w:type w:val="continuous"/>
        </w:sectPr>
      </w:pP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Arial" w:cs="Arial" w:eastAsia="Arial" w:hAnsi="Arial"/>
          <w:sz w:val="16"/>
          <w:szCs w:val="16"/>
          <w:color w:val="auto"/>
        </w:rPr>
        <w:t>We expect to receive net proceeds from this offering of approximately $283.0 million (or approximately $325.5 million if the underwriters exercise their option to purchase additional shares in full), after deducting underwriting discounts and commissions and estimated offering expenses payable by us. We intend to use the net proceeds from this offering to fund clinical trials for avapritinib (formerly known as BLU-285) in GIST and SM; to fund clinical trials for BLU-554 in HCC; to fund the completion of our Phase 1 clinical trial for BLU-667 in RET-altered NSCLC, MTC and other advanced solid tumors; to fund IND-enabling studies and Phase 1 clinical trials for BLU-782 in FOP; and the balance, if any, to fund working capital requirements and other general corporate purposes. See "Use of Proceeds" for additional information.</w:t>
      </w:r>
    </w:p>
    <w:p>
      <w:pPr>
        <w:spacing w:after="0" w:line="200" w:lineRule="exact"/>
        <w:rPr>
          <w:sz w:val="20"/>
          <w:szCs w:val="20"/>
          <w:color w:val="auto"/>
        </w:rPr>
      </w:pPr>
    </w:p>
    <w:p>
      <w:pPr>
        <w:sectPr>
          <w:pgSz w:w="11900" w:h="16838" w:orient="portrait"/>
          <w:cols w:equalWidth="0" w:num="2">
            <w:col w:w="5220" w:space="720"/>
            <w:col w:w="5220"/>
          </w:cols>
          <w:pgMar w:left="240" w:top="143" w:right="499" w:bottom="1440" w:gutter="0" w:footer="0" w:header="0"/>
          <w:type w:val="continuous"/>
        </w:sectPr>
      </w:pPr>
    </w:p>
    <w:p>
      <w:pPr>
        <w:spacing w:after="0" w:line="19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Investing in our common stock involves risks. See "Risk Factors" beginning on page S-16 of this prospectus supplement and other information included or incorporated by reference into this prospectus supplement and the accompanying prospectus for a discussion of the factors you should carefully consider before deciding to invest in our securities.</w:t>
      </w:r>
    </w:p>
    <w:p>
      <w:pPr>
        <w:spacing w:after="0" w:line="185" w:lineRule="exact"/>
        <w:rPr>
          <w:sz w:val="20"/>
          <w:szCs w:val="20"/>
          <w:color w:val="auto"/>
        </w:rPr>
      </w:pPr>
    </w:p>
    <w:p>
      <w:pPr>
        <w:sectPr>
          <w:pgSz w:w="11900" w:h="16838" w:orient="portrait"/>
          <w:cols w:equalWidth="0" w:num="2">
            <w:col w:w="5220" w:space="720"/>
            <w:col w:w="5220"/>
          </w:cols>
          <w:pgMar w:left="240" w:top="143" w:right="49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The 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"BPMC"</w:t>
      </w:r>
    </w:p>
    <w:p>
      <w:pPr>
        <w:spacing w:after="0" w:line="200" w:lineRule="exact"/>
        <w:rPr>
          <w:sz w:val="20"/>
          <w:szCs w:val="20"/>
          <w:color w:val="auto"/>
        </w:rPr>
      </w:pPr>
    </w:p>
    <w:p>
      <w:pPr>
        <w:sectPr>
          <w:pgSz w:w="11900" w:h="16838" w:orient="portrait"/>
          <w:cols w:equalWidth="0" w:num="2">
            <w:col w:w="5220" w:space="720"/>
            <w:col w:w="5220"/>
          </w:cols>
          <w:pgMar w:left="240" w:top="143" w:right="499" w:bottom="1440" w:gutter="0" w:footer="0" w:header="0"/>
          <w:type w:val="continuous"/>
        </w:sectPr>
      </w:pPr>
    </w:p>
    <w:p>
      <w:pPr>
        <w:spacing w:after="0" w:line="35" w:lineRule="exact"/>
        <w:rPr>
          <w:sz w:val="20"/>
          <w:szCs w:val="20"/>
          <w:color w:val="auto"/>
        </w:rPr>
      </w:pPr>
    </w:p>
    <w:p>
      <w:pPr>
        <w:ind w:left="240" w:right="500" w:firstLine="485"/>
        <w:spacing w:after="0" w:line="239" w:lineRule="auto"/>
        <w:rPr>
          <w:sz w:val="20"/>
          <w:szCs w:val="20"/>
          <w:color w:val="auto"/>
        </w:rPr>
      </w:pPr>
      <w:r>
        <w:rPr>
          <w:rFonts w:ascii="Arial" w:cs="Arial" w:eastAsia="Arial" w:hAnsi="Arial"/>
          <w:sz w:val="18"/>
          <w:szCs w:val="18"/>
          <w:color w:val="auto"/>
        </w:rPr>
        <w:t>The number of shares of our common stock to be outstanding after the offering is based on 39,179,019 shares of common stock outstanding as of September 30, 2017 and excludes:</w:t>
      </w:r>
    </w:p>
    <w:p>
      <w:pPr>
        <w:spacing w:after="0" w:line="223" w:lineRule="exact"/>
        <w:rPr>
          <w:sz w:val="20"/>
          <w:szCs w:val="20"/>
          <w:color w:val="auto"/>
        </w:rPr>
      </w:pPr>
    </w:p>
    <w:p>
      <w:pPr>
        <w:ind w:left="1320" w:right="300" w:hanging="538"/>
        <w:spacing w:after="0" w:line="239" w:lineRule="auto"/>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3,350,223 shares of common stock issuable upon the exercise of stock options outstanding as of September 30, 2017, at a weighted average exercise price of $20.25 per share;</w:t>
      </w:r>
    </w:p>
    <w:p>
      <w:pPr>
        <w:spacing w:after="0" w:line="195" w:lineRule="exact"/>
        <w:rPr>
          <w:rFonts w:ascii="Arial" w:cs="Arial" w:eastAsia="Arial" w:hAnsi="Arial"/>
          <w:sz w:val="18"/>
          <w:szCs w:val="18"/>
          <w:color w:val="auto"/>
        </w:rPr>
      </w:pPr>
    </w:p>
    <w:p>
      <w:pPr>
        <w:ind w:left="1320" w:right="100" w:hanging="538"/>
        <w:spacing w:after="0" w:line="238" w:lineRule="auto"/>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1,853,219 shares of common stock reserved for future issuance under our 2015 Stock Option and Incentive Plan, or the 2015 Plan, as of September 30, 2017, plus any future increases in the number of shares of common stock reserved for issuance under the 2015 Plan pursuant to the evergreen provision of the 2015 Plan; and</w:t>
      </w:r>
    </w:p>
    <w:p>
      <w:pPr>
        <w:spacing w:after="0" w:line="194" w:lineRule="exact"/>
        <w:rPr>
          <w:rFonts w:ascii="Arial" w:cs="Arial" w:eastAsia="Arial" w:hAnsi="Arial"/>
          <w:sz w:val="18"/>
          <w:szCs w:val="18"/>
          <w:color w:val="auto"/>
        </w:rPr>
      </w:pPr>
    </w:p>
    <w:p>
      <w:pPr>
        <w:ind w:left="1320" w:right="840" w:hanging="538"/>
        <w:spacing w:after="0" w:line="239" w:lineRule="auto"/>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815,533 shares of common stock reserved for future issuance under our 2015 Employee Stock Purchase Plan as of September 30, 2017.</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1358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135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Except as otherwise indicated, all information in this prospectus supplement assumes:</w:t>
      </w:r>
    </w:p>
    <w:p>
      <w:pPr>
        <w:spacing w:after="0" w:line="225" w:lineRule="exact"/>
        <w:rPr>
          <w:sz w:val="20"/>
          <w:szCs w:val="20"/>
          <w:color w:val="auto"/>
        </w:rPr>
      </w:pPr>
    </w:p>
    <w:p>
      <w:pPr>
        <w:ind w:left="1320" w:hanging="538"/>
        <w:spacing w:after="0" w:line="239"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an additional 555,555 shares of common stock in this offering; and</w:t>
      </w:r>
    </w:p>
    <w:p>
      <w:pPr>
        <w:spacing w:after="0" w:line="195" w:lineRule="exact"/>
        <w:rPr>
          <w:rFonts w:ascii="Arial" w:cs="Arial" w:eastAsia="Arial" w:hAnsi="Arial"/>
          <w:sz w:val="18"/>
          <w:szCs w:val="18"/>
          <w:color w:val="auto"/>
        </w:rPr>
      </w:pPr>
    </w:p>
    <w:p>
      <w:pPr>
        <w:ind w:left="1320" w:hanging="538"/>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of stock options after September 30,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firstLine="488"/>
        <w:spacing w:after="0" w:line="274" w:lineRule="auto"/>
        <w:rPr>
          <w:sz w:val="20"/>
          <w:szCs w:val="20"/>
          <w:color w:val="auto"/>
        </w:rPr>
      </w:pPr>
      <w:r>
        <w:rPr>
          <w:rFonts w:ascii="Arial" w:cs="Arial" w:eastAsia="Arial" w:hAnsi="Arial"/>
          <w:sz w:val="16"/>
          <w:szCs w:val="16"/>
          <w:i w:val="1"/>
          <w:iCs w:val="1"/>
          <w:color w:val="auto"/>
        </w:rPr>
        <w:t>Investing in our common stock involves significant risks. In addition to the other information contained in this prospectus supplement, the accompanying prospectus and in the documents that we have incorporated by reference, you should carefully consider the risks discussed below and under the heading "Risk Factors" in our Quarterly Report on Form 10-Q for the fiscal quarter ended September 30, 2017, filed with the SEC on October 31, 2017, as updated by our subsequent filings under the Exchange Act, before making a decision about investing in our common stock. Such risks and uncertainties and those discussed below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1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The price of our common stock historically has been and may in the future be volatile and fluctuate substantially, which may affect the price at which you could sell the common stock.</w:t>
      </w:r>
    </w:p>
    <w:p>
      <w:pPr>
        <w:spacing w:after="0" w:line="189"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Our stock price has been and in the future may be subject to substantial volatility. In addition, the stock market in general, and Nasdaq-listed and biopharmaceutical companies in particular, have experienced extreme price and volume fluctuations that have often been unrelated or disproportionate to the operating performance of these companies. For example, our stock traded within a range of a high price of $92.00 and a low price of $13.04 per share for the period beginning on April 30, 2015, our first day of trading on the Nasdaq Global Select Market, through December 12, 2017. As a result of this volatility, our stockholders could incur substantial losses. In addition, the market price for our common stock may be influenced by many factors, including:</w:t>
      </w:r>
    </w:p>
    <w:p>
      <w:pPr>
        <w:spacing w:after="0" w:line="210"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drug candidates or drugs;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22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firstLine="485"/>
        <w:spacing w:after="0" w:line="273"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We have broad discretion in how we use the proceeds of this offering, as well as our existing cash, cash equivalents and investments, and may not use them effectively, which could affect our results of operations and cause our stock price to decline.</w:t>
      </w:r>
    </w:p>
    <w:p>
      <w:pPr>
        <w:spacing w:after="0" w:line="189"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We will have considerable discretion in the application of the net proceeds of this offering, including for any of the purposes described in the section entitled "Use of Proceeds," as well as our existing cash, cash equivalents and investments, and you will be relying on the judgment of our management regarding such application. You will not have the opportunity, as part of your investment decision, to assess whether the proceeds are being used appropriately.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8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89"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holdings of our executive officers, directors and stockholders who own more than 5% of our outstanding common stock, together with their affiliates and related persons, represent beneficial ownership, in the aggregate, of approximately 46% of our common stock, based on the number of shares of our common stock outstanding as of September 30, 2017. Upon the closing of this offering, the holdings of our executive officers, directors and stockholders who owned more than 5% of our outstanding common stock before this offering, together with their affiliates and related persons, will represent beneficial ownership, in the aggregate, of approximately 42% of our common stock (approximately 41% if the underwriters exercise in full their option to purchase additional shares), based on the number of shares of our common stock outstanding as of September 30, 2017.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this concentration of ownership might adversely affect the market price of our common stock by:</w:t>
      </w:r>
    </w:p>
    <w:p>
      <w:pPr>
        <w:spacing w:after="0" w:line="21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98" w:lineRule="exact"/>
        <w:rPr>
          <w:rFonts w:ascii="Arial" w:cs="Arial" w:eastAsia="Arial" w:hAnsi="Arial"/>
          <w:sz w:val="18"/>
          <w:szCs w:val="18"/>
          <w:color w:val="auto"/>
        </w:rPr>
      </w:pPr>
    </w:p>
    <w:p>
      <w:pPr>
        <w:ind w:left="5520" w:right="2000" w:hanging="4972"/>
        <w:spacing w:after="0" w:line="48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 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After December 31, 2017, we will no longer be an "emerging growth company", and the reduced disclosure requirements applicable to emerging growth companies will no longer apply to us.</w:t>
      </w:r>
    </w:p>
    <w:p>
      <w:pPr>
        <w:spacing w:after="0" w:line="189" w:lineRule="exact"/>
        <w:rPr>
          <w:sz w:val="20"/>
          <w:szCs w:val="20"/>
          <w:color w:val="auto"/>
        </w:rPr>
      </w:pPr>
    </w:p>
    <w:p>
      <w:pPr>
        <w:ind w:right="80" w:firstLine="488"/>
        <w:spacing w:after="0" w:line="237" w:lineRule="auto"/>
        <w:rPr>
          <w:sz w:val="20"/>
          <w:szCs w:val="20"/>
          <w:color w:val="auto"/>
        </w:rPr>
      </w:pPr>
      <w:r>
        <w:rPr>
          <w:rFonts w:ascii="Arial" w:cs="Arial" w:eastAsia="Arial" w:hAnsi="Arial"/>
          <w:sz w:val="18"/>
          <w:szCs w:val="18"/>
          <w:color w:val="auto"/>
        </w:rPr>
        <w:t>We are currently an "emerging growth company", as defined in the Jumpstart Our Business Startups Act of 2012. However, as of June 30, 2017, the market value of our common stock that was held by non-affiliates exceeded $700 million, and as a result, we will no longer qualify for such status after December 31, 2017. As a large accelerated filer, we will be subject to certain disclosure requirements that are applicable to other public companies that have not been applicable to us as an emerging growth company. These requirements include:</w:t>
      </w:r>
    </w:p>
    <w:p>
      <w:pPr>
        <w:spacing w:after="0" w:line="20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the auditor attestation requirements in the assessment of our internal control over financial reporting;</w:t>
      </w:r>
    </w:p>
    <w:p>
      <w:pPr>
        <w:spacing w:after="0" w:line="211" w:lineRule="exact"/>
        <w:rPr>
          <w:rFonts w:ascii="Arial" w:cs="Arial" w:eastAsia="Arial" w:hAnsi="Arial"/>
          <w:sz w:val="18"/>
          <w:szCs w:val="18"/>
          <w:color w:val="auto"/>
        </w:rPr>
      </w:pPr>
    </w:p>
    <w:p>
      <w:pPr>
        <w:ind w:left="1080" w:right="340" w:hanging="532"/>
        <w:spacing w:after="0" w:line="23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94"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full disclosure obligations regarding executive compensation; and</w:t>
      </w:r>
    </w:p>
    <w:p>
      <w:pPr>
        <w:spacing w:after="0" w:line="198" w:lineRule="exact"/>
        <w:rPr>
          <w:rFonts w:ascii="Arial" w:cs="Arial" w:eastAsia="Arial" w:hAnsi="Arial"/>
          <w:sz w:val="18"/>
          <w:szCs w:val="18"/>
          <w:color w:val="auto"/>
        </w:rPr>
      </w:pPr>
    </w:p>
    <w:p>
      <w:pPr>
        <w:ind w:left="1080" w:right="40" w:hanging="532"/>
        <w:spacing w:after="0" w:line="23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the requirements of holding a nonbinding advisory vote on executive compensation and stockholder approval of any golden parachute payments not previously approved.</w:t>
      </w:r>
    </w:p>
    <w:p>
      <w:pPr>
        <w:spacing w:after="0" w:line="189"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is required to devote substantial time to new compliance initiatives and corporate governance practices.</w:t>
      </w:r>
    </w:p>
    <w:p>
      <w:pPr>
        <w:spacing w:after="0" w:line="189" w:lineRule="exact"/>
        <w:rPr>
          <w:sz w:val="20"/>
          <w:szCs w:val="20"/>
          <w:color w:val="auto"/>
        </w:rPr>
      </w:pPr>
    </w:p>
    <w:p>
      <w:pPr>
        <w:ind w:right="140" w:firstLine="478"/>
        <w:spacing w:after="0" w:line="236" w:lineRule="auto"/>
        <w:rPr>
          <w:sz w:val="20"/>
          <w:szCs w:val="20"/>
          <w:color w:val="auto"/>
        </w:rPr>
      </w:pPr>
      <w:r>
        <w:rPr>
          <w:rFonts w:ascii="Arial" w:cs="Arial" w:eastAsia="Arial" w:hAnsi="Arial"/>
          <w:sz w:val="18"/>
          <w:szCs w:val="18"/>
          <w:color w:val="auto"/>
        </w:rPr>
        <w:t>As a public company, and particularly after December 31, 2017, when we will no longer be an emerging growth company, we have incurred and expect to continue to incur significant legal, accounting and other expenses that we did not incur as a private company.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costly.</w:t>
      </w:r>
    </w:p>
    <w:p>
      <w:pPr>
        <w:spacing w:after="0" w:line="209" w:lineRule="exact"/>
        <w:rPr>
          <w:sz w:val="20"/>
          <w:szCs w:val="20"/>
          <w:color w:val="auto"/>
        </w:rPr>
      </w:pPr>
    </w:p>
    <w:p>
      <w:pPr>
        <w:jc w:val="both"/>
        <w:ind w:right="220" w:firstLine="478"/>
        <w:spacing w:after="0" w:line="238" w:lineRule="auto"/>
        <w:rPr>
          <w:sz w:val="20"/>
          <w:szCs w:val="20"/>
          <w:color w:val="auto"/>
        </w:rPr>
      </w:pPr>
      <w:r>
        <w:rPr>
          <w:rFonts w:ascii="Arial" w:cs="Arial" w:eastAsia="Arial" w:hAnsi="Arial"/>
          <w:sz w:val="18"/>
          <w:szCs w:val="18"/>
          <w:color w:val="auto"/>
        </w:rPr>
        <w:t>After December 31, 2017, we will no longer be an emerging growth company. As a result, we will not be able to take advantage of certain exemptions from various reporting requirements that are applicable to other public companies that are emerging growth companies as has been the case to date.</w:t>
      </w:r>
    </w:p>
    <w:p>
      <w:pPr>
        <w:spacing w:after="0" w:line="208"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Pursuant to Section 404 of the Sarbanes-Oxley Act of 2002, or Section 404, we are required to furnish an annual report by our management on our internal control over financial reporting. After December 31, 2017, because we will no longer be an emerging growth company, we will be required to include with our annual report for the fiscal year ended December 31, 2017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our common stock in this offering, you will incur immediate and substantial dilution in the book value of your shares.</w:t>
      </w:r>
    </w:p>
    <w:p>
      <w:pPr>
        <w:spacing w:after="0" w:line="255"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as adjusted book value per share of our tangible assets as of September 30, 2017 after subtracting our liabilities. As a result, investors purchasing shares of common stock in this offering will incur immediate dilution of $66.44 per share, based on the difference between the public offering price of $81.00 per share and the as adjusted net tangible book value per share of our outstanding common stock as of September 30, 2017.</w:t>
      </w:r>
    </w:p>
    <w:p>
      <w:pPr>
        <w:spacing w:after="0" w:line="209" w:lineRule="exact"/>
        <w:rPr>
          <w:sz w:val="20"/>
          <w:szCs w:val="20"/>
          <w:color w:val="auto"/>
        </w:rPr>
      </w:pPr>
    </w:p>
    <w:p>
      <w:pPr>
        <w:ind w:right="40" w:firstLine="485"/>
        <w:spacing w:after="0" w:line="236" w:lineRule="auto"/>
        <w:rPr>
          <w:sz w:val="20"/>
          <w:szCs w:val="20"/>
          <w:color w:val="auto"/>
        </w:rPr>
      </w:pPr>
      <w:r>
        <w:rPr>
          <w:rFonts w:ascii="Arial" w:cs="Arial" w:eastAsia="Arial" w:hAnsi="Arial"/>
          <w:sz w:val="18"/>
          <w:szCs w:val="18"/>
          <w:color w:val="auto"/>
        </w:rPr>
        <w:t>This dilution is due to the substantially lower price paid by some of our investors who purchased shares prior to this offering as compared to the price offered to the public in this offering, and the exercise of stock options granted to our employees. In addition, as of September 30, 2017, options to purchase 3,350,223 shares of our common stock at a weighted average exercise price of $20.25 per share were outstanding. The exercise of any of these options would result in additional dilution. As a result of the dilution to investors purchasing shares in this offering, investors may receive significantly less than the purchase price paid in this offering, if anything, in the event of our liquidation. Further, because we will need to raise additional capital to fund our future activities, we may in the future sell substantial amounts of common stock or securities convertible into or exchangeable for common stock.</w:t>
      </w:r>
    </w:p>
    <w:p>
      <w:pPr>
        <w:spacing w:after="0" w:line="209" w:lineRule="exact"/>
        <w:rPr>
          <w:sz w:val="20"/>
          <w:szCs w:val="20"/>
          <w:color w:val="auto"/>
        </w:rPr>
      </w:pPr>
    </w:p>
    <w:p>
      <w:pPr>
        <w:jc w:val="both"/>
        <w:ind w:right="320" w:firstLine="485"/>
        <w:spacing w:after="0" w:line="238" w:lineRule="auto"/>
        <w:rPr>
          <w:sz w:val="20"/>
          <w:szCs w:val="20"/>
          <w:color w:val="auto"/>
        </w:rPr>
      </w:pPr>
      <w:r>
        <w:rPr>
          <w:rFonts w:ascii="Arial" w:cs="Arial" w:eastAsia="Arial" w:hAnsi="Arial"/>
          <w:sz w:val="18"/>
          <w:szCs w:val="18"/>
          <w:color w:val="auto"/>
        </w:rPr>
        <w:t>These future issuances of common stock or common stock-related securities, together with the exercise of outstanding options and any additional shares issued in connection with acquisitions, if any, may result in further dilution. For a further description of the dilution that you will experience immediately after this offering, see "Dilution".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32" w:lineRule="exact"/>
        <w:rPr>
          <w:sz w:val="20"/>
          <w:szCs w:val="20"/>
          <w:color w:val="auto"/>
        </w:rPr>
      </w:pPr>
    </w:p>
    <w:p>
      <w:pPr>
        <w:ind w:right="200" w:firstLine="488"/>
        <w:spacing w:after="0" w:line="238"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208" w:lineRule="exact"/>
        <w:rPr>
          <w:sz w:val="20"/>
          <w:szCs w:val="20"/>
          <w:color w:val="auto"/>
        </w:rPr>
      </w:pPr>
    </w:p>
    <w:p>
      <w:pPr>
        <w:ind w:right="160" w:firstLine="488"/>
        <w:spacing w:after="0" w:line="237" w:lineRule="auto"/>
        <w:rPr>
          <w:sz w:val="20"/>
          <w:szCs w:val="20"/>
          <w:color w:val="auto"/>
        </w:rPr>
      </w:pPr>
      <w:r>
        <w:rPr>
          <w:rFonts w:ascii="Arial" w:cs="Arial" w:eastAsia="Arial" w:hAnsi="Arial"/>
          <w:sz w:val="18"/>
          <w:szCs w:val="18"/>
          <w:color w:val="auto"/>
        </w:rPr>
        <w:t>In addition, the sale of substantial amounts of our common stock could adversely impact its price. As of September 30, 2017, 39,179,019 shares of our common stock were outstanding, excluding options to purchase 3,350,223 shares of our common stock, of which 1,321,034 were exercisable as of that date. The sale or the availability for sale of a large number of shares of our common stock in the public market could cause the price of our common stock to decline.</w:t>
      </w:r>
    </w:p>
    <w:p>
      <w:pPr>
        <w:spacing w:after="0" w:line="209" w:lineRule="exact"/>
        <w:rPr>
          <w:sz w:val="20"/>
          <w:szCs w:val="20"/>
          <w:color w:val="auto"/>
        </w:rPr>
      </w:pPr>
    </w:p>
    <w:p>
      <w:pPr>
        <w:ind w:right="180" w:firstLine="488"/>
        <w:spacing w:after="0" w:line="236" w:lineRule="auto"/>
        <w:rPr>
          <w:sz w:val="20"/>
          <w:szCs w:val="20"/>
          <w:color w:val="auto"/>
        </w:rPr>
      </w:pPr>
      <w:r>
        <w:rPr>
          <w:rFonts w:ascii="Arial" w:cs="Arial" w:eastAsia="Arial" w:hAnsi="Arial"/>
          <w:sz w:val="18"/>
          <w:szCs w:val="18"/>
          <w:color w:val="auto"/>
        </w:rPr>
        <w:t>We have agreed that for a period of 90 days after the date of this prospectus supplement, and our directors and executive officers have agreed that for a period of 60 days after the date of this prospectus supplement, in each case, subject to specified exceptions, we or they will not offer, sell, contract to sell, pledge, grant any option to purchase, make any short sale or otherwise dispose of any shares of our common stock or securities convertible into or exchangeable or exercisable for any shares of our common stock. In addition, certain stockholders who own more than 5% of our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outstanding common stock have agreed to such restrictions for a period of 30 days after the date of this prospectus supplement. These lock-up periods affect approximately 2,932,252 shares of our common stock. In addition, the representatives of the underwriters may, in their sole discretion, release all or some portion of the shares subject to such lock-up restrictions at any time and for any reason. Sales of stock by any of our directors, executive officers or principal stockholders could have a material adverse effect on the trading price of our common stock.</w:t>
      </w:r>
    </w:p>
    <w:p>
      <w:pPr>
        <w:spacing w:after="0" w:line="209"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Certain holders of shares of our common stock are entitled to rights with respect to the registration of their shares under the Securities Act. See "Description of Capital Stock — Registration Rights" in the accompanying prospectus.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18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The market price of our common stock may be adversely affected by market conditions affecting the stock markets in general, including price and trading fluctuations on the Nasdaq Global Select Market.</w:t>
      </w:r>
    </w:p>
    <w:p>
      <w:pPr>
        <w:spacing w:after="0" w:line="189" w:lineRule="exact"/>
        <w:rPr>
          <w:sz w:val="20"/>
          <w:szCs w:val="20"/>
          <w:color w:val="auto"/>
        </w:rPr>
      </w:pPr>
    </w:p>
    <w:p>
      <w:pPr>
        <w:jc w:val="both"/>
        <w:ind w:right="60" w:firstLine="488"/>
        <w:spacing w:after="0" w:line="237" w:lineRule="auto"/>
        <w:rPr>
          <w:sz w:val="20"/>
          <w:szCs w:val="20"/>
          <w:color w:val="auto"/>
        </w:rPr>
      </w:pPr>
      <w:r>
        <w:rPr>
          <w:rFonts w:ascii="Arial" w:cs="Arial" w:eastAsia="Arial" w:hAnsi="Arial"/>
          <w:sz w:val="18"/>
          <w:szCs w:val="18"/>
          <w:color w:val="auto"/>
        </w:rPr>
        <w:t>Market conditions may result in volatility in the level of, and fluctuations in, market prices of stocks generally and, in turn, our common stock and sales of substantial amounts of our common stock in the market, in each case being unrelated or disproportionate to changes in our operating performance. In addition, any actual or perceived weakness in the economy in general could increase the volatility of the stock market, which may adversely affect the market price of our common stock.</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right="420" w:firstLine="488"/>
        <w:spacing w:after="0" w:line="238" w:lineRule="auto"/>
        <w:rPr>
          <w:sz w:val="20"/>
          <w:szCs w:val="20"/>
          <w:color w:val="auto"/>
        </w:rPr>
      </w:pPr>
      <w:r>
        <w:rPr>
          <w:rFonts w:ascii="Arial" w:cs="Arial" w:eastAsia="Arial" w:hAnsi="Arial"/>
          <w:sz w:val="18"/>
          <w:szCs w:val="18"/>
          <w:color w:val="auto"/>
        </w:rPr>
        <w:t>We expect to receive net proceeds of approximately $283.0 million from this offering, after deducting underwriting discounts and commissions and estimated offering expenses payable by us, or approximately $325.5 million if the underwriters exercise in full their option to purchase up to an additional 555,555 shares of common stock.</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2017, we had cash, cash equivalents and investments of $390.7 million.</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intend to use the net proceeds from this offering, plus, if needed, existing cash, cash equivalents and investments, as follows:</w:t>
      </w:r>
    </w:p>
    <w:p>
      <w:pPr>
        <w:spacing w:after="0" w:line="212" w:lineRule="exact"/>
        <w:rPr>
          <w:sz w:val="20"/>
          <w:szCs w:val="20"/>
          <w:color w:val="auto"/>
        </w:rPr>
      </w:pPr>
    </w:p>
    <w:p>
      <w:pPr>
        <w:ind w:left="1080" w:right="100" w:hanging="532"/>
        <w:spacing w:after="0" w:line="23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$75.0 million to $85.0 million to fund clinical trials for avapritinib (formerly known as BLU-285) in GIST and SM, which may include registration-enabling clinical trials, indication expansion clinical trials, development of companion diagnostic tests and manufacturing costs;</w:t>
      </w:r>
    </w:p>
    <w:p>
      <w:pPr>
        <w:spacing w:after="0" w:line="208" w:lineRule="exact"/>
        <w:rPr>
          <w:rFonts w:ascii="Arial" w:cs="Arial" w:eastAsia="Arial" w:hAnsi="Arial"/>
          <w:sz w:val="18"/>
          <w:szCs w:val="18"/>
          <w:color w:val="auto"/>
        </w:rPr>
      </w:pPr>
    </w:p>
    <w:p>
      <w:pPr>
        <w:ind w:left="1080" w:hanging="532"/>
        <w:spacing w:after="0" w:line="23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$25.0 million to $35.0 million to fund clinical trials for BLU-554 in HCC, which may include the expansion of our current Phase 1 clinical trial for this indication, a clinical trial to evaluate BLU-554 in combination with an immune checkpoint inhibitor, registration-enabling clinical trials, indication expansion clinical trials, development of companion diagnostic tests and manufacturing costs;</w:t>
      </w:r>
    </w:p>
    <w:p>
      <w:pPr>
        <w:spacing w:after="0" w:line="195" w:lineRule="exact"/>
        <w:rPr>
          <w:rFonts w:ascii="Arial" w:cs="Arial" w:eastAsia="Arial" w:hAnsi="Arial"/>
          <w:sz w:val="18"/>
          <w:szCs w:val="18"/>
          <w:color w:val="auto"/>
        </w:rPr>
      </w:pPr>
    </w:p>
    <w:p>
      <w:pPr>
        <w:ind w:left="1080" w:right="100" w:hanging="532"/>
        <w:spacing w:after="0" w:line="23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$25.0 million to $35.0 million to fund clinical trials for BLU-667 in RET-driven cancers, which may include the completion of our current Phase 1 clinical trial for BLU-667 in RET-altered non-small cell lung cancer, medullary thyroid cancer and other advanced solid tumors, the initiation of additional clinical trials for BLU-667 in RET-driven cancers, development of companion diagnostic tests and manufacturing costs;</w:t>
      </w:r>
    </w:p>
    <w:p>
      <w:pPr>
        <w:spacing w:after="0" w:line="195" w:lineRule="exact"/>
        <w:rPr>
          <w:rFonts w:ascii="Arial" w:cs="Arial" w:eastAsia="Arial" w:hAnsi="Arial"/>
          <w:sz w:val="18"/>
          <w:szCs w:val="18"/>
          <w:color w:val="auto"/>
        </w:rPr>
      </w:pPr>
    </w:p>
    <w:p>
      <w:pPr>
        <w:ind w:left="1080" w:right="360" w:hanging="532"/>
        <w:spacing w:after="0" w:line="299"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approximately $15.0 million to $25.0 million to fund IND-enabling studies and Phase 1 clinical trials for BLU-782, our discovery program targeting the kinase ALK2 for the treatment of fibrodysplasia ossificans progressiva, including manufacturing costs; and</w:t>
      </w:r>
    </w:p>
    <w:p>
      <w:pPr>
        <w:spacing w:after="0" w:line="162"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balance, if any, to fund working capital requirements and other general corporate purposes.</w:t>
      </w:r>
    </w:p>
    <w:p>
      <w:pPr>
        <w:spacing w:after="0" w:line="212" w:lineRule="exact"/>
        <w:rPr>
          <w:sz w:val="20"/>
          <w:szCs w:val="20"/>
          <w:color w:val="auto"/>
        </w:rPr>
      </w:pPr>
    </w:p>
    <w:p>
      <w:pPr>
        <w:jc w:val="both"/>
        <w:ind w:right="120" w:firstLine="488"/>
        <w:spacing w:after="0" w:line="238" w:lineRule="auto"/>
        <w:rPr>
          <w:sz w:val="20"/>
          <w:szCs w:val="20"/>
          <w:color w:val="auto"/>
        </w:rPr>
      </w:pPr>
      <w:r>
        <w:rPr>
          <w:rFonts w:ascii="Arial" w:cs="Arial" w:eastAsia="Arial" w:hAnsi="Arial"/>
          <w:sz w:val="18"/>
          <w:szCs w:val="18"/>
          <w:color w:val="auto"/>
        </w:rPr>
        <w:t>Based on our current plans, we believe our cash, cash equivalents and investments, together with the net proceeds to us from this offering, but excluding any potential option fees and milestone payments under our existing collaboration with Roche, will be sufficient to enable us to fund our operating expenses and capital expenditure requirements into the middle of 2020.</w:t>
      </w:r>
    </w:p>
    <w:p>
      <w:pPr>
        <w:spacing w:after="0" w:line="208" w:lineRule="exact"/>
        <w:rPr>
          <w:sz w:val="20"/>
          <w:szCs w:val="20"/>
          <w:color w:val="auto"/>
        </w:rPr>
      </w:pPr>
    </w:p>
    <w:p>
      <w:pPr>
        <w:ind w:right="40" w:firstLine="485"/>
        <w:spacing w:after="0" w:line="236" w:lineRule="auto"/>
        <w:rPr>
          <w:sz w:val="20"/>
          <w:szCs w:val="20"/>
          <w:color w:val="auto"/>
        </w:rPr>
      </w:pPr>
      <w:r>
        <w:rPr>
          <w:rFonts w:ascii="Arial" w:cs="Arial" w:eastAsia="Arial" w:hAnsi="Arial"/>
          <w:sz w:val="18"/>
          <w:szCs w:val="18"/>
          <w:color w:val="auto"/>
        </w:rPr>
        <w:t>This expected use of the net proceeds from this offering represents our intentions based upon our current plans and business conditions. As of the date of this prospectus supplement, we cannot predict with certainty all of the particular uses for the net proceeds to be received upon the completion of this offering, the amounts that we will actually spend on the uses set forth above or the timing of such expenditures. The amounts and timing of our actual expenditures may vary significantly depending on numerous factors, including the progress of our development efforts, the status of and results from non-clinical studies and ongoing clinical trials or any clinical trials we may commence in the future, the scope and results of our regulatory activities, and the nature and scope of our launch preparation activities, as well as any collaborations that we may enter into with third parties for our drug candidates and any unforeseen cash needs. As a result, our management will retain broad discretion over the allocation of the net proceeds from this offering.</w:t>
      </w:r>
    </w:p>
    <w:p>
      <w:pPr>
        <w:spacing w:after="0" w:line="208" w:lineRule="exact"/>
        <w:rPr>
          <w:sz w:val="20"/>
          <w:szCs w:val="20"/>
          <w:color w:val="auto"/>
        </w:rPr>
      </w:pPr>
    </w:p>
    <w:p>
      <w:pPr>
        <w:ind w:right="120" w:firstLine="488"/>
        <w:spacing w:after="0" w:line="239"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60" w:firstLine="488"/>
        <w:spacing w:after="0" w:line="238"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price per share of our common stock in this offering and the as adjusted net tangible book value per share of our common stock immediately after this offering.</w:t>
      </w:r>
    </w:p>
    <w:p>
      <w:pPr>
        <w:spacing w:after="0" w:line="208" w:lineRule="exact"/>
        <w:rPr>
          <w:sz w:val="20"/>
          <w:szCs w:val="20"/>
          <w:color w:val="auto"/>
        </w:rPr>
      </w:pPr>
    </w:p>
    <w:p>
      <w:pPr>
        <w:ind w:right="20" w:firstLine="478"/>
        <w:spacing w:after="0" w:line="236" w:lineRule="auto"/>
        <w:rPr>
          <w:sz w:val="20"/>
          <w:szCs w:val="20"/>
          <w:color w:val="auto"/>
        </w:rPr>
      </w:pPr>
      <w:r>
        <w:rPr>
          <w:rFonts w:ascii="Arial" w:cs="Arial" w:eastAsia="Arial" w:hAnsi="Arial"/>
          <w:sz w:val="18"/>
          <w:szCs w:val="18"/>
          <w:color w:val="auto"/>
        </w:rPr>
        <w:t>As of September 30, 2017, we had net tangible book value of approximately $341.2 million, or $8.71 per share of our common stock, based upon 39,179,019 shares of our common stock outstanding as of that date. Historical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211" w:lineRule="exact"/>
        <w:rPr>
          <w:sz w:val="20"/>
          <w:szCs w:val="20"/>
          <w:color w:val="auto"/>
        </w:rPr>
      </w:pPr>
    </w:p>
    <w:p>
      <w:pPr>
        <w:ind w:right="80" w:firstLine="478"/>
        <w:spacing w:after="0" w:line="236" w:lineRule="auto"/>
        <w:rPr>
          <w:sz w:val="20"/>
          <w:szCs w:val="20"/>
          <w:color w:val="auto"/>
        </w:rPr>
      </w:pPr>
      <w:r>
        <w:rPr>
          <w:rFonts w:ascii="Arial" w:cs="Arial" w:eastAsia="Arial" w:hAnsi="Arial"/>
          <w:sz w:val="18"/>
          <w:szCs w:val="18"/>
          <w:color w:val="auto"/>
        </w:rPr>
        <w:t>After giving effect to the sale of 3,703,704 shares of common stock in this offering at the public offering price of $81.00 per share, and after deducting underwriting discounts and commissions and estimated offering expenses payable by us, our as adjusted net tangible book value as of September 30, 2017 would have been approximately $624.2 million, or approximately $14.56 per share of common stock. This represents an immediate increase in as adjusted net tangible book value of $5.85 per share to our existing stockholders and an immediate dilution of $66.44 per share to investors participating in this offering at the public offering price of $81.00 per share.</w:t>
      </w:r>
    </w:p>
    <w:p>
      <w:pPr>
        <w:spacing w:after="0" w:line="211" w:lineRule="exact"/>
        <w:rPr>
          <w:sz w:val="20"/>
          <w:szCs w:val="20"/>
          <w:color w:val="auto"/>
        </w:rPr>
      </w:pPr>
    </w:p>
    <w:p>
      <w:pPr>
        <w:jc w:val="both"/>
        <w:ind w:right="120" w:firstLine="488"/>
        <w:spacing w:after="0" w:line="238" w:lineRule="auto"/>
        <w:rPr>
          <w:sz w:val="20"/>
          <w:szCs w:val="20"/>
          <w:color w:val="auto"/>
        </w:rPr>
      </w:pPr>
      <w:r>
        <w:rPr>
          <w:rFonts w:ascii="Arial" w:cs="Arial" w:eastAsia="Arial" w:hAnsi="Arial"/>
          <w:sz w:val="18"/>
          <w:szCs w:val="18"/>
          <w:color w:val="auto"/>
        </w:rPr>
        <w:t>Dilution per share to new investors is determined by subtracting net tangible book value per share after this offering from the public offering price per share paid by new investors. The following table illustrates this per share dilution (assuming the underwriters do not exercise in full their option to purchase additional shares):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Historical net tangible book value per share as of September 30, 2017</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8.71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Increase in net tangible book value per share attributable to new investors</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6720" w:type="dxa"/>
            <w:vAlign w:val="bottom"/>
            <w:gridSpan w:val="2"/>
          </w:tcPr>
          <w:p>
            <w:pPr>
              <w:spacing w:after="0" w:line="196" w:lineRule="exact"/>
              <w:rPr>
                <w:sz w:val="20"/>
                <w:szCs w:val="20"/>
                <w:color w:val="auto"/>
              </w:rPr>
            </w:pPr>
            <w:r>
              <w:rPr>
                <w:rFonts w:ascii="Arial" w:cs="Arial" w:eastAsia="Arial" w:hAnsi="Arial"/>
                <w:sz w:val="18"/>
                <w:szCs w:val="18"/>
                <w:color w:val="auto"/>
              </w:rPr>
              <w:t>As adjusted net tangible book value per share after this offering</w:t>
            </w:r>
          </w:p>
        </w:tc>
        <w:tc>
          <w:tcPr>
            <w:tcW w:w="8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14.56</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Dilution per share to new investors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66.44</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foregoing table and discussion is based on 39,179,019 shares of common stock outstanding as of September 30, 2017, and excludes:</w:t>
      </w:r>
    </w:p>
    <w:p>
      <w:pPr>
        <w:spacing w:after="0" w:line="235" w:lineRule="exact"/>
        <w:rPr>
          <w:sz w:val="20"/>
          <w:szCs w:val="20"/>
          <w:color w:val="auto"/>
        </w:rPr>
      </w:pPr>
    </w:p>
    <w:p>
      <w:pPr>
        <w:ind w:left="1080" w:hanging="532"/>
        <w:spacing w:after="0" w:line="23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3,350,223 shares of common stock issuable upon the exercise of stock options outstanding as of September 30, 2017, at a weighted average exercise price of $20.25 per share;</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1,853,219 shares of common stock reserved for future issuance under the 2015 Plan as of September 30, 2017; and</w:t>
      </w:r>
    </w:p>
    <w:p>
      <w:pPr>
        <w:spacing w:after="0" w:line="198" w:lineRule="exact"/>
        <w:rPr>
          <w:rFonts w:ascii="Arial" w:cs="Arial" w:eastAsia="Arial" w:hAnsi="Arial"/>
          <w:sz w:val="18"/>
          <w:szCs w:val="18"/>
          <w:color w:val="auto"/>
        </w:rPr>
      </w:pPr>
    </w:p>
    <w:p>
      <w:pPr>
        <w:ind w:left="1080" w:right="100" w:hanging="532"/>
        <w:spacing w:after="0" w:line="23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815,533 shares of common stock reserved for future issuance under our 2015 Employee Stock Purchase Plan as of September 30, 2017.</w:t>
      </w:r>
    </w:p>
    <w:p>
      <w:pPr>
        <w:spacing w:after="0" w:line="209" w:lineRule="exact"/>
        <w:rPr>
          <w:sz w:val="20"/>
          <w:szCs w:val="20"/>
          <w:color w:val="auto"/>
        </w:rPr>
      </w:pPr>
    </w:p>
    <w:p>
      <w:pPr>
        <w:ind w:right="140" w:firstLine="488"/>
        <w:spacing w:after="0" w:line="237" w:lineRule="auto"/>
        <w:rPr>
          <w:sz w:val="20"/>
          <w:szCs w:val="20"/>
          <w:color w:val="auto"/>
        </w:rPr>
      </w:pPr>
      <w:r>
        <w:rPr>
          <w:rFonts w:ascii="Arial" w:cs="Arial" w:eastAsia="Arial" w:hAnsi="Arial"/>
          <w:sz w:val="18"/>
          <w:szCs w:val="18"/>
          <w:color w:val="auto"/>
        </w:rPr>
        <w:t>If the underwriters exercise in full their option to purchase up to an additional 555,555 shares of our common stock at the public offering price of $81.00 per share, the as adjusted net tangible book value after this offering would be $15.35 per share, representing an increase in net tangible book value of $6.64 per share to existing stockholders and immediate dilution in net tangible book value of $65.65 per share to investors purchasing our common stock in this offering at the public offering price of $81.00.</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400" w:firstLine="485"/>
        <w:spacing w:after="0" w:line="299" w:lineRule="auto"/>
        <w:rPr>
          <w:sz w:val="20"/>
          <w:szCs w:val="20"/>
          <w:color w:val="auto"/>
        </w:rPr>
      </w:pPr>
      <w:r>
        <w:rPr>
          <w:rFonts w:ascii="Arial" w:cs="Arial" w:eastAsia="Arial" w:hAnsi="Arial"/>
          <w:sz w:val="16"/>
          <w:szCs w:val="16"/>
          <w:color w:val="auto"/>
        </w:rPr>
        <w:t>To the extent that any options are exercised, new options are issued under our equity incentive plans, or we otherwise issue additional shares of common stock in the future (including shares issued in connection with acquisitions), there will be further dilution to new investors.</w:t>
      </w:r>
    </w:p>
    <w:p>
      <w:pPr>
        <w:spacing w:after="0" w:line="163"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PRICE RANGE OF COMMON STOCK</w:t>
      </w:r>
    </w:p>
    <w:p>
      <w:pPr>
        <w:spacing w:after="0" w:line="234"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Our common stock began trading on the Nasdaq Global Select Market under the symbol "BPMC" on April 30, 2015. Prior to that time, there was no public market for our common stock. The following table sets forth the high and low sale prices per share of our common stock, as reported on the Nasdaq Global Select Market, for the periods indicated: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7"/>
              </w:rPr>
              <w:t>Sales prices</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High</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Low</w:t>
            </w: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ending December 31, 2015</w:t>
            </w:r>
          </w:p>
        </w:tc>
        <w:tc>
          <w:tcPr>
            <w:tcW w:w="18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 (from April 30, 2015)</w:t>
            </w:r>
          </w:p>
        </w:tc>
        <w:tc>
          <w:tcPr>
            <w:tcW w:w="2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37.17</w:t>
            </w:r>
          </w:p>
        </w:tc>
        <w:tc>
          <w:tcPr>
            <w:tcW w:w="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18.00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2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33.10</w:t>
            </w:r>
          </w:p>
        </w:tc>
        <w:tc>
          <w:tcPr>
            <w:tcW w:w="3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19.39</w:t>
            </w:r>
          </w:p>
        </w:tc>
        <w:tc>
          <w:tcPr>
            <w:tcW w:w="160" w:type="dxa"/>
            <w:vAlign w:val="bottom"/>
            <w:shd w:val="clear" w:color="auto" w:fill="CCEEFF"/>
          </w:tcPr>
          <w:p>
            <w:pPr>
              <w:spacing w:after="0"/>
              <w:rPr>
                <w:sz w:val="17"/>
                <w:szCs w:val="17"/>
                <w:color w:val="auto"/>
              </w:rPr>
            </w:pP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Fourth quarter</w:t>
            </w:r>
          </w:p>
        </w:tc>
        <w:tc>
          <w:tcPr>
            <w:tcW w:w="2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27.00</w:t>
            </w:r>
          </w:p>
        </w:tc>
        <w:tc>
          <w:tcPr>
            <w:tcW w:w="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19.08</w:t>
            </w:r>
          </w:p>
        </w:tc>
        <w:tc>
          <w:tcPr>
            <w:tcW w:w="160" w:type="dxa"/>
            <w:vAlign w:val="bottom"/>
          </w:tcPr>
          <w:p>
            <w:pPr>
              <w:spacing w:after="0"/>
              <w:rPr>
                <w:sz w:val="17"/>
                <w:szCs w:val="17"/>
                <w:color w:val="auto"/>
              </w:rPr>
            </w:pPr>
          </w:p>
        </w:tc>
      </w:tr>
      <w:tr>
        <w:trPr>
          <w:trHeight w:val="405"/>
        </w:trPr>
        <w:tc>
          <w:tcPr>
            <w:tcW w:w="20" w:type="dxa"/>
            <w:vAlign w:val="bottom"/>
          </w:tcPr>
          <w:p>
            <w:pPr>
              <w:spacing w:after="0"/>
              <w:rPr>
                <w:sz w:val="24"/>
                <w:szCs w:val="24"/>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2016</w:t>
            </w:r>
          </w:p>
        </w:tc>
        <w:tc>
          <w:tcPr>
            <w:tcW w:w="1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First quarter</w:t>
            </w:r>
          </w:p>
        </w:tc>
        <w:tc>
          <w:tcPr>
            <w:tcW w:w="2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25.99</w:t>
            </w:r>
          </w:p>
        </w:tc>
        <w:tc>
          <w:tcPr>
            <w:tcW w:w="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13.04</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2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22.48</w:t>
            </w:r>
          </w:p>
        </w:tc>
        <w:tc>
          <w:tcPr>
            <w:tcW w:w="3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13.27</w:t>
            </w:r>
          </w:p>
        </w:tc>
        <w:tc>
          <w:tcPr>
            <w:tcW w:w="160" w:type="dxa"/>
            <w:vAlign w:val="bottom"/>
            <w:shd w:val="clear" w:color="auto" w:fill="CCEEFF"/>
          </w:tcPr>
          <w:p>
            <w:pPr>
              <w:spacing w:after="0"/>
              <w:rPr>
                <w:sz w:val="17"/>
                <w:szCs w:val="17"/>
                <w:color w:val="auto"/>
              </w:rPr>
            </w:pP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Third quarter</w:t>
            </w:r>
          </w:p>
        </w:tc>
        <w:tc>
          <w:tcPr>
            <w:tcW w:w="2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29.90</w:t>
            </w:r>
          </w:p>
        </w:tc>
        <w:tc>
          <w:tcPr>
            <w:tcW w:w="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19.51</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2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38.33</w:t>
            </w:r>
          </w:p>
        </w:tc>
        <w:tc>
          <w:tcPr>
            <w:tcW w:w="3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25.08</w:t>
            </w:r>
          </w:p>
        </w:tc>
        <w:tc>
          <w:tcPr>
            <w:tcW w:w="160" w:type="dxa"/>
            <w:vAlign w:val="bottom"/>
            <w:shd w:val="clear" w:color="auto" w:fill="CCEEFF"/>
          </w:tcPr>
          <w:p>
            <w:pPr>
              <w:spacing w:after="0"/>
              <w:rPr>
                <w:sz w:val="17"/>
                <w:szCs w:val="17"/>
                <w:color w:val="auto"/>
              </w:rPr>
            </w:pPr>
          </w:p>
        </w:tc>
      </w:tr>
      <w:tr>
        <w:trPr>
          <w:trHeight w:val="405"/>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 2017</w:t>
            </w: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2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44.54</w:t>
            </w:r>
          </w:p>
        </w:tc>
        <w:tc>
          <w:tcPr>
            <w:tcW w:w="3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27.83</w:t>
            </w:r>
          </w:p>
        </w:tc>
        <w:tc>
          <w:tcPr>
            <w:tcW w:w="160" w:type="dxa"/>
            <w:vAlign w:val="bottom"/>
            <w:shd w:val="clear" w:color="auto" w:fill="CCEEFF"/>
          </w:tcPr>
          <w:p>
            <w:pPr>
              <w:spacing w:after="0"/>
              <w:rPr>
                <w:sz w:val="17"/>
                <w:szCs w:val="17"/>
                <w:color w:val="auto"/>
              </w:rPr>
            </w:pP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w:t>
            </w:r>
          </w:p>
        </w:tc>
        <w:tc>
          <w:tcPr>
            <w:tcW w:w="2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52.68</w:t>
            </w:r>
          </w:p>
        </w:tc>
        <w:tc>
          <w:tcPr>
            <w:tcW w:w="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34.38</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2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71.67</w:t>
            </w:r>
          </w:p>
        </w:tc>
        <w:tc>
          <w:tcPr>
            <w:tcW w:w="3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41.41</w:t>
            </w:r>
          </w:p>
        </w:tc>
        <w:tc>
          <w:tcPr>
            <w:tcW w:w="160" w:type="dxa"/>
            <w:vAlign w:val="bottom"/>
            <w:shd w:val="clear" w:color="auto" w:fill="CCEEFF"/>
          </w:tcPr>
          <w:p>
            <w:pPr>
              <w:spacing w:after="0"/>
              <w:rPr>
                <w:sz w:val="17"/>
                <w:szCs w:val="17"/>
                <w:color w:val="auto"/>
              </w:rPr>
            </w:pPr>
          </w:p>
        </w:tc>
      </w:tr>
      <w:tr>
        <w:trPr>
          <w:trHeight w:val="214"/>
        </w:trPr>
        <w:tc>
          <w:tcPr>
            <w:tcW w:w="5360" w:type="dxa"/>
            <w:vAlign w:val="bottom"/>
            <w:gridSpan w:val="2"/>
          </w:tcPr>
          <w:p>
            <w:pPr>
              <w:spacing w:after="0"/>
              <w:rPr>
                <w:sz w:val="20"/>
                <w:szCs w:val="20"/>
                <w:color w:val="auto"/>
              </w:rPr>
            </w:pPr>
            <w:r>
              <w:rPr>
                <w:rFonts w:ascii="Arial" w:cs="Arial" w:eastAsia="Arial" w:hAnsi="Arial"/>
                <w:sz w:val="18"/>
                <w:szCs w:val="18"/>
                <w:color w:val="auto"/>
              </w:rPr>
              <w:t>Fourth quarter (through December 12, 2017)</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ind w:left="140"/>
              <w:spacing w:after="0"/>
              <w:rPr>
                <w:sz w:val="20"/>
                <w:szCs w:val="20"/>
                <w:color w:val="auto"/>
              </w:rPr>
            </w:pPr>
            <w:r>
              <w:rPr>
                <w:rFonts w:ascii="Arial" w:cs="Arial" w:eastAsia="Arial" w:hAnsi="Arial"/>
                <w:sz w:val="18"/>
                <w:szCs w:val="18"/>
                <w:color w:val="auto"/>
                <w:w w:val="93"/>
              </w:rPr>
              <w:t>92.00</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rPr>
                <w:sz w:val="20"/>
                <w:szCs w:val="20"/>
                <w:color w:val="auto"/>
              </w:rPr>
            </w:pPr>
            <w:r>
              <w:rPr>
                <w:rFonts w:ascii="Arial" w:cs="Arial" w:eastAsia="Arial" w:hAnsi="Arial"/>
                <w:sz w:val="18"/>
                <w:szCs w:val="18"/>
                <w:color w:val="auto"/>
                <w:w w:val="93"/>
              </w:rPr>
              <w:t>61.58</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right="360" w:firstLine="478"/>
        <w:spacing w:after="0" w:line="238" w:lineRule="auto"/>
        <w:rPr>
          <w:sz w:val="20"/>
          <w:szCs w:val="20"/>
          <w:color w:val="auto"/>
        </w:rPr>
      </w:pPr>
      <w:r>
        <w:rPr>
          <w:rFonts w:ascii="Arial" w:cs="Arial" w:eastAsia="Arial" w:hAnsi="Arial"/>
          <w:sz w:val="18"/>
          <w:szCs w:val="18"/>
          <w:color w:val="auto"/>
        </w:rPr>
        <w:t>As of December 12, 2017, there were 28 record holders of our common stock. The actual number of stockholders is greater than this number of record holders and includes stockholders who are beneficial owners but whose shares are held in street name by brokers and other nominees.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have never declared or paid dividends on our capital stock.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right="340" w:firstLine="488"/>
        <w:spacing w:after="0" w:line="238" w:lineRule="auto"/>
        <w:rPr>
          <w:sz w:val="20"/>
          <w:szCs w:val="20"/>
          <w:color w:val="auto"/>
        </w:rPr>
      </w:pPr>
      <w:r>
        <w:rPr>
          <w:rFonts w:ascii="Arial" w:cs="Arial" w:eastAsia="Arial" w:hAnsi="Arial"/>
          <w:sz w:val="18"/>
          <w:szCs w:val="18"/>
          <w:color w:val="auto"/>
        </w:rPr>
        <w:t>We have entered into an underwriting agreement with the underwriters named below with respect to the shares being offered. Subject to certain conditions, each underwriter has severally agreed to purchase the number of shares indicated in the following table. Goldman Sachs &amp; Co. LLC and Morgan Stanley &amp; Co. LLC are acting as representatives of the underwriters.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Number of</w:t>
            </w:r>
          </w:p>
        </w:tc>
      </w:tr>
      <w:tr>
        <w:trPr>
          <w:trHeight w:val="206"/>
        </w:trPr>
        <w:tc>
          <w:tcPr>
            <w:tcW w:w="7840" w:type="dxa"/>
            <w:vAlign w:val="bottom"/>
            <w:gridSpan w:val="2"/>
          </w:tcPr>
          <w:p>
            <w:pPr>
              <w:spacing w:after="0" w:line="200" w:lineRule="exact"/>
              <w:rPr>
                <w:sz w:val="20"/>
                <w:szCs w:val="20"/>
                <w:color w:val="auto"/>
              </w:rPr>
            </w:pPr>
            <w:r>
              <w:rPr>
                <w:rFonts w:ascii="Arial" w:cs="Arial" w:eastAsia="Arial" w:hAnsi="Arial"/>
                <w:sz w:val="18"/>
                <w:szCs w:val="18"/>
                <w:color w:val="auto"/>
              </w:rPr>
              <w:t>Underwriters</w:t>
            </w:r>
          </w:p>
        </w:tc>
        <w:tc>
          <w:tcPr>
            <w:tcW w:w="180" w:type="dxa"/>
            <w:vAlign w:val="bottom"/>
          </w:tcPr>
          <w:p>
            <w:pPr>
              <w:spacing w:after="0"/>
              <w:rPr>
                <w:sz w:val="17"/>
                <w:szCs w:val="17"/>
                <w:color w:val="auto"/>
              </w:rPr>
            </w:pPr>
          </w:p>
        </w:tc>
        <w:tc>
          <w:tcPr>
            <w:tcW w:w="1120" w:type="dxa"/>
            <w:vAlign w:val="bottom"/>
            <w:gridSpan w:val="2"/>
          </w:tcPr>
          <w:p>
            <w:pPr>
              <w:jc w:val="center"/>
              <w:ind w:right="80"/>
              <w:spacing w:after="0" w:line="200" w:lineRule="exact"/>
              <w:rPr>
                <w:sz w:val="20"/>
                <w:szCs w:val="20"/>
                <w:color w:val="auto"/>
              </w:rPr>
            </w:pPr>
            <w:r>
              <w:rPr>
                <w:rFonts w:ascii="Arial" w:cs="Arial" w:eastAsia="Arial" w:hAnsi="Arial"/>
                <w:sz w:val="18"/>
                <w:szCs w:val="18"/>
                <w:color w:val="auto"/>
                <w:w w:val="98"/>
              </w:rPr>
              <w:t>Shares</w:t>
            </w:r>
          </w:p>
        </w:tc>
      </w:tr>
      <w:tr>
        <w:trPr>
          <w:trHeight w:val="203"/>
        </w:trPr>
        <w:tc>
          <w:tcPr>
            <w:tcW w:w="20" w:type="dxa"/>
            <w:vAlign w:val="bottom"/>
          </w:tcPr>
          <w:p>
            <w:pPr>
              <w:spacing w:after="0"/>
              <w:rPr>
                <w:sz w:val="17"/>
                <w:szCs w:val="17"/>
                <w:color w:val="auto"/>
              </w:rPr>
            </w:pPr>
          </w:p>
        </w:tc>
        <w:tc>
          <w:tcPr>
            <w:tcW w:w="78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Goldman Sachs &amp; Co. LLC</w:t>
            </w:r>
          </w:p>
        </w:tc>
        <w:tc>
          <w:tcPr>
            <w:tcW w:w="1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1,481,482</w:t>
            </w:r>
          </w:p>
        </w:tc>
        <w:tc>
          <w:tcPr>
            <w:tcW w:w="160" w:type="dxa"/>
            <w:vAlign w:val="bottom"/>
            <w:shd w:val="clear" w:color="auto" w:fill="CCEEFF"/>
          </w:tcPr>
          <w:p>
            <w:pPr>
              <w:spacing w:after="0"/>
              <w:rPr>
                <w:sz w:val="17"/>
                <w:szCs w:val="17"/>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Morgan Stanley &amp; Co. LLC</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1,296,296</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Cowen and Company, LLC</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814,815</w:t>
            </w:r>
          </w:p>
        </w:tc>
        <w:tc>
          <w:tcPr>
            <w:tcW w:w="160" w:type="dxa"/>
            <w:vAlign w:val="bottom"/>
            <w:shd w:val="clear" w:color="auto" w:fill="CCEEFF"/>
          </w:tcPr>
          <w:p>
            <w:pPr>
              <w:spacing w:after="0"/>
              <w:rPr>
                <w:sz w:val="17"/>
                <w:szCs w:val="17"/>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Canaccord Genuity Inc.</w:t>
            </w:r>
          </w:p>
        </w:tc>
        <w:tc>
          <w:tcPr>
            <w:tcW w:w="18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111,111</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3,703,704</w:t>
            </w:r>
          </w:p>
        </w:tc>
        <w:tc>
          <w:tcPr>
            <w:tcW w:w="16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ind w:right="320" w:firstLine="485"/>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underwriters have an option to buy up to 555,555 additional shares of our common stock from us. They may exercise this option for</w:t>
      </w:r>
    </w:p>
    <w:p>
      <w:pPr>
        <w:spacing w:after="0"/>
        <w:rPr>
          <w:sz w:val="20"/>
          <w:szCs w:val="20"/>
          <w:color w:val="auto"/>
        </w:rPr>
      </w:pPr>
      <w:r>
        <w:rPr>
          <w:rFonts w:ascii="Arial" w:cs="Arial" w:eastAsia="Arial" w:hAnsi="Arial"/>
          <w:sz w:val="16"/>
          <w:szCs w:val="16"/>
          <w:color w:val="auto"/>
        </w:rPr>
        <w:t>30 days. If any shares are purchased pursuant to this option, the underwriters will severally purchase shares in approximately the same proportion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the table above.</w:t>
      </w:r>
    </w:p>
    <w:p>
      <w:pPr>
        <w:spacing w:after="0" w:line="212" w:lineRule="exact"/>
        <w:rPr>
          <w:sz w:val="20"/>
          <w:szCs w:val="20"/>
          <w:color w:val="auto"/>
        </w:rPr>
      </w:pPr>
    </w:p>
    <w:p>
      <w:pPr>
        <w:ind w:right="380" w:firstLine="485"/>
        <w:spacing w:after="0" w:line="238"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555,555 additional shares of our common stock.</w:t>
      </w:r>
    </w:p>
    <w:p>
      <w:pPr>
        <w:spacing w:after="0" w:line="389"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Paid by the Company</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8"/>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 Exercise</w:t>
            </w:r>
          </w:p>
        </w:tc>
        <w:tc>
          <w:tcPr>
            <w:tcW w:w="1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Full Exercise</w:t>
            </w:r>
          </w:p>
        </w:tc>
        <w:tc>
          <w:tcPr>
            <w:tcW w:w="1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35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4.455</w:t>
            </w:r>
          </w:p>
        </w:tc>
        <w:tc>
          <w:tcPr>
            <w:tcW w:w="5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4.455</w:t>
            </w:r>
          </w:p>
        </w:tc>
        <w:tc>
          <w:tcPr>
            <w:tcW w:w="160" w:type="dxa"/>
            <w:vAlign w:val="bottom"/>
            <w:shd w:val="clear" w:color="auto" w:fill="CCEEFF"/>
          </w:tcPr>
          <w:p>
            <w:pPr>
              <w:spacing w:after="0"/>
              <w:rPr>
                <w:sz w:val="17"/>
                <w:szCs w:val="17"/>
                <w:color w:val="auto"/>
              </w:rPr>
            </w:pPr>
          </w:p>
        </w:tc>
      </w:tr>
      <w:tr>
        <w:trPr>
          <w:trHeight w:val="214"/>
        </w:trPr>
        <w:tc>
          <w:tcPr>
            <w:tcW w:w="2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16,500,001</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18,974,999</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right="100" w:firstLine="488"/>
        <w:spacing w:after="0" w:line="237" w:lineRule="auto"/>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 prospectus supplement. Any shares sold by the underwriters to securities dealers may be sold at a discount of up to $2.673 per share from the public offering price. After the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20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have agreed that for a period of 90 days after the date of this prospectus supplement, and our directors and executive officers have agreed that for a period of 60 days after the date of this prospectus supplement, in each case, subject to specified exceptions, that neither we nor they will offer, sell, contract to sell, pledge, grant any option to purchase, make any short sale or otherwise dispose of any shares of our common stock or securities convertible into or exchangeable or exercisable for any shares of our common stock, except with the prior written consent of the representatives. In addition, certain stockholders who own more than 5% of our outstanding common stock have agreed to such restrictions for a period of 30 days after the date of this prospectus supplement. These lock-up periods affect approximately 2,932,252 shares of our common stock. The lock-up restrictions are subject to certain exceptions, including transfers of shares of our common stock (i) acquired in the open market following the completion of this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offering; (ii) as a bona fide gift, to a trust for the benefit of the holder or his or her immediate family, by will or other testamentary document or intestate succession, or by operation of law; (iii) to an affiliate of the holder or as part of a distribution without consideration to a holder's stockholders, partners, members or other equity holders; (iv) in connection with an exercise for cash of options to purchase our common stock, the "net exercise" or "cashless" exercise of such options within 90 days of the expiration of such options, and any transfer for the payment of taxes due as result of such exercise; and (v) in connection with establishing a trading plan pursuant to Rule 10b5-1, or 10b5-1 plan, under the Securities Exchange Act of 1934, as amended. The representatives, in their sole discretion, may release the common stock and other securities subject to the lock-up agreements described above in whole or in part at any time.</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is publicly traded on the Nasdaq Global Select Market under the symbol "BPMC".</w:t>
      </w:r>
    </w:p>
    <w:p>
      <w:pPr>
        <w:spacing w:after="0" w:line="212"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In connection with this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15" w:lineRule="exact"/>
        <w:rPr>
          <w:sz w:val="20"/>
          <w:szCs w:val="20"/>
          <w:color w:val="auto"/>
        </w:rPr>
      </w:pPr>
    </w:p>
    <w:p>
      <w:pPr>
        <w:jc w:val="both"/>
        <w:ind w:right="580" w:firstLine="485"/>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8" w:lineRule="exact"/>
        <w:rPr>
          <w:sz w:val="20"/>
          <w:szCs w:val="20"/>
          <w:color w:val="auto"/>
        </w:rPr>
      </w:pPr>
    </w:p>
    <w:p>
      <w:pPr>
        <w:ind w:right="100" w:firstLine="488"/>
        <w:spacing w:after="0" w:line="273"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212" w:lineRule="exact"/>
        <w:rPr>
          <w:sz w:val="20"/>
          <w:szCs w:val="20"/>
          <w:color w:val="auto"/>
        </w:rPr>
      </w:pPr>
    </w:p>
    <w:p>
      <w:pPr>
        <w:ind w:right="240" w:firstLine="488"/>
        <w:spacing w:after="0" w:line="239"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$500,000. We have agreed to reimburse the underwriters for certain of their expenses in an amount up to $25,000.</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80" w:firstLine="488"/>
        <w:spacing w:after="0" w:line="239"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209"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211"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European Economic Area</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20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w:t>
      </w:r>
    </w:p>
    <w:p>
      <w:pPr>
        <w:spacing w:after="0" w:line="211" w:lineRule="exact"/>
        <w:rPr>
          <w:rFonts w:ascii="Arial" w:cs="Arial" w:eastAsia="Arial" w:hAnsi="Arial"/>
          <w:sz w:val="18"/>
          <w:szCs w:val="18"/>
          <w:color w:val="auto"/>
        </w:rPr>
      </w:pPr>
    </w:p>
    <w:p>
      <w:pPr>
        <w:ind w:left="1080" w:right="80" w:hanging="532"/>
        <w:spacing w:after="0" w:line="23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94" w:lineRule="exact"/>
        <w:rPr>
          <w:rFonts w:ascii="Arial" w:cs="Arial" w:eastAsia="Arial" w:hAnsi="Arial"/>
          <w:sz w:val="18"/>
          <w:szCs w:val="18"/>
          <w:color w:val="auto"/>
        </w:rPr>
      </w:pPr>
    </w:p>
    <w:p>
      <w:pPr>
        <w:jc w:val="both"/>
        <w:ind w:left="1080" w:right="20" w:hanging="532"/>
        <w:spacing w:after="0" w:line="23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208" w:lineRule="exact"/>
        <w:rPr>
          <w:sz w:val="20"/>
          <w:szCs w:val="20"/>
          <w:color w:val="auto"/>
        </w:rPr>
      </w:pPr>
    </w:p>
    <w:p>
      <w:pPr>
        <w:jc w:val="both"/>
        <w:ind w:right="200" w:firstLine="488"/>
        <w:spacing w:after="0" w:line="237"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for the shares, as the same may be varied in that Relevant Member State by any measure implementing the Prospectus Directive in that Relevant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Member State and the expression Prospectus Directive means Directive 2003/71/EC (and amendments thereto, including the 2010 PD Amending Directive) and includes any relevant implementing measure in each Relevant Member State, and the expression "2010 PD Amending Directive" means Directive 2010/73/EU.</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Kingdom</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underwriter has represented and agreed that:</w:t>
      </w:r>
    </w:p>
    <w:p>
      <w:pPr>
        <w:spacing w:after="0" w:line="212" w:lineRule="exact"/>
        <w:rPr>
          <w:sz w:val="20"/>
          <w:szCs w:val="20"/>
          <w:color w:val="auto"/>
        </w:rPr>
      </w:pPr>
    </w:p>
    <w:p>
      <w:pPr>
        <w:ind w:left="1080" w:right="200" w:hanging="532"/>
        <w:spacing w:after="0" w:line="281"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the issuer; and</w:t>
      </w:r>
    </w:p>
    <w:p>
      <w:pPr>
        <w:spacing w:after="0" w:line="177" w:lineRule="exact"/>
        <w:rPr>
          <w:rFonts w:ascii="Arial" w:cs="Arial" w:eastAsia="Arial" w:hAnsi="Arial"/>
          <w:sz w:val="16"/>
          <w:szCs w:val="16"/>
          <w:color w:val="auto"/>
        </w:rPr>
      </w:pPr>
    </w:p>
    <w:p>
      <w:pPr>
        <w:ind w:left="1080" w:hanging="532"/>
        <w:spacing w:after="0" w:line="23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France</w:t>
      </w:r>
    </w:p>
    <w:p>
      <w:pPr>
        <w:spacing w:after="0" w:line="234" w:lineRule="exact"/>
        <w:rPr>
          <w:sz w:val="20"/>
          <w:szCs w:val="20"/>
          <w:color w:val="auto"/>
        </w:rPr>
      </w:pPr>
    </w:p>
    <w:p>
      <w:pPr>
        <w:ind w:right="240" w:firstLine="488"/>
        <w:spacing w:after="0" w:line="275" w:lineRule="auto"/>
        <w:rPr>
          <w:sz w:val="20"/>
          <w:szCs w:val="20"/>
          <w:color w:val="auto"/>
        </w:rPr>
      </w:pPr>
      <w:r>
        <w:rPr>
          <w:rFonts w:ascii="Arial" w:cs="Arial" w:eastAsia="Arial" w:hAnsi="Arial"/>
          <w:sz w:val="16"/>
          <w:szCs w:val="16"/>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nor any other offering material relating to the shares has been or will be:</w:t>
      </w:r>
    </w:p>
    <w:p>
      <w:pPr>
        <w:spacing w:after="0" w:line="183"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225" w:lineRule="exact"/>
        <w:rPr>
          <w:sz w:val="20"/>
          <w:szCs w:val="20"/>
          <w:color w:val="auto"/>
        </w:rPr>
      </w:pPr>
    </w:p>
    <w:p>
      <w:pPr>
        <w:ind w:left="1080" w:right="140" w:hanging="532"/>
        <w:spacing w:after="0" w:line="23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94"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98" w:lineRule="exact"/>
        <w:rPr>
          <w:rFonts w:ascii="Arial" w:cs="Arial" w:eastAsia="Arial" w:hAnsi="Arial"/>
          <w:sz w:val="18"/>
          <w:szCs w:val="18"/>
          <w:color w:val="auto"/>
        </w:rPr>
      </w:pPr>
    </w:p>
    <w:p>
      <w:pPr>
        <w:ind w:left="1080" w:right="120" w:hanging="532"/>
        <w:spacing w:after="0" w:line="23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208" w:lineRule="exact"/>
        <w:rPr>
          <w:sz w:val="20"/>
          <w:szCs w:val="20"/>
          <w:color w:val="auto"/>
        </w:rPr>
      </w:pPr>
    </w:p>
    <w:p>
      <w:pPr>
        <w:ind w:right="140" w:firstLine="485"/>
        <w:spacing w:after="0" w:line="239"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Australia</w:t>
      </w:r>
    </w:p>
    <w:p>
      <w:pPr>
        <w:spacing w:after="0" w:line="234" w:lineRule="exact"/>
        <w:rPr>
          <w:sz w:val="20"/>
          <w:szCs w:val="20"/>
          <w:color w:val="auto"/>
        </w:rPr>
      </w:pPr>
    </w:p>
    <w:p>
      <w:pPr>
        <w:ind w:right="200" w:firstLine="488"/>
        <w:spacing w:after="0" w:line="238"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("Corporations Act")) in relation to the common stock has been or will be lodged with the Australian Securities &amp; Investments Commission ("ASIC"). This document has not been lodged with</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ASIC and is only directed to certain categories of exempt persons. Accordingly, if you receive this document in Australia:</w:t>
      </w:r>
    </w:p>
    <w:p>
      <w:pPr>
        <w:spacing w:after="0" w:line="212"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620" w:hanging="53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98" w:lineRule="exact"/>
        <w:rPr>
          <w:rFonts w:ascii="Arial" w:cs="Arial" w:eastAsia="Arial" w:hAnsi="Arial"/>
          <w:sz w:val="18"/>
          <w:szCs w:val="18"/>
          <w:color w:val="auto"/>
        </w:rPr>
      </w:pPr>
    </w:p>
    <w:p>
      <w:pPr>
        <w:ind w:left="1620" w:right="220" w:hanging="532"/>
        <w:spacing w:after="0" w:line="238"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94" w:lineRule="exact"/>
        <w:rPr>
          <w:rFonts w:ascii="Arial" w:cs="Arial" w:eastAsia="Arial" w:hAnsi="Arial"/>
          <w:sz w:val="18"/>
          <w:szCs w:val="18"/>
          <w:color w:val="auto"/>
        </w:rPr>
      </w:pPr>
    </w:p>
    <w:p>
      <w:pPr>
        <w:ind w:left="1620" w:hanging="53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211" w:lineRule="exact"/>
        <w:rPr>
          <w:rFonts w:ascii="Arial" w:cs="Arial" w:eastAsia="Arial" w:hAnsi="Arial"/>
          <w:sz w:val="18"/>
          <w:szCs w:val="18"/>
          <w:color w:val="auto"/>
        </w:rPr>
      </w:pPr>
    </w:p>
    <w:p>
      <w:pPr>
        <w:ind w:left="1620" w:right="40" w:hanging="532"/>
        <w:spacing w:after="0" w:line="238"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080" w:right="140" w:hanging="532"/>
        <w:spacing w:after="0" w:line="23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Hong Kong</w:t>
      </w:r>
    </w:p>
    <w:p>
      <w:pPr>
        <w:spacing w:after="0" w:line="234" w:lineRule="exact"/>
        <w:rPr>
          <w:sz w:val="20"/>
          <w:szCs w:val="20"/>
          <w:color w:val="auto"/>
        </w:rPr>
      </w:pPr>
    </w:p>
    <w:p>
      <w:pPr>
        <w:ind w:right="80" w:firstLine="485"/>
        <w:spacing w:after="0" w:line="235" w:lineRule="auto"/>
        <w:rPr>
          <w:sz w:val="20"/>
          <w:szCs w:val="20"/>
          <w:color w:val="auto"/>
        </w:rPr>
      </w:pPr>
      <w:r>
        <w:rPr>
          <w:rFonts w:ascii="Arial" w:cs="Arial" w:eastAsia="Arial" w:hAnsi="Arial"/>
          <w:sz w:val="18"/>
          <w:szCs w:val="18"/>
          <w:color w:val="auto"/>
        </w:rPr>
        <w:t>The shares may not be offered or sold by means of any document other than (i) in circumstances that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that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that are or are intended to be disposed of only to persons outside Hong Kong or only to "professional investors" within the meaning of the Securities and Futures Ordinance (Cap. 571, Laws of Hong Kong) and any rules made thereunder.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Singapore</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488"/>
        <w:spacing w:after="0" w:line="264" w:lineRule="auto"/>
        <w:rPr>
          <w:sz w:val="20"/>
          <w:szCs w:val="20"/>
          <w:color w:val="auto"/>
        </w:rPr>
      </w:pPr>
      <w:r>
        <w:rPr>
          <w:rFonts w:ascii="Arial" w:cs="Arial" w:eastAsia="Arial" w:hAnsi="Arial"/>
          <w:sz w:val="16"/>
          <w:szCs w:val="16"/>
          <w:color w:val="auto"/>
        </w:rPr>
        <w:t>Where the shares are subscribed or purchased under Section 275 by a relevant person that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w:t>
      </w:r>
    </w:p>
    <w:p>
      <w:pPr>
        <w:spacing w:after="0" w:line="1" w:lineRule="exact"/>
        <w:rPr>
          <w:sz w:val="20"/>
          <w:szCs w:val="20"/>
          <w:color w:val="auto"/>
        </w:rPr>
      </w:pPr>
    </w:p>
    <w:p>
      <w:pPr>
        <w:ind w:right="60" w:firstLine="8"/>
        <w:spacing w:after="0" w:line="299" w:lineRule="auto"/>
        <w:tabs>
          <w:tab w:leader="none" w:pos="26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Japan</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Israel</w:t>
      </w:r>
    </w:p>
    <w:p>
      <w:pPr>
        <w:spacing w:after="0" w:line="234" w:lineRule="exact"/>
        <w:rPr>
          <w:sz w:val="20"/>
          <w:szCs w:val="20"/>
          <w:color w:val="auto"/>
        </w:rPr>
      </w:pPr>
    </w:p>
    <w:p>
      <w:pPr>
        <w:ind w:right="40" w:firstLine="488"/>
        <w:spacing w:after="0" w:line="268" w:lineRule="auto"/>
        <w:rPr>
          <w:sz w:val="20"/>
          <w:szCs w:val="20"/>
          <w:color w:val="auto"/>
        </w:rPr>
      </w:pPr>
      <w:r>
        <w:rPr>
          <w:rFonts w:ascii="Arial" w:cs="Arial" w:eastAsia="Arial" w:hAnsi="Arial"/>
          <w:sz w:val="16"/>
          <w:szCs w:val="16"/>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90" w:lineRule="exact"/>
        <w:rPr>
          <w:sz w:val="20"/>
          <w:szCs w:val="20"/>
          <w:color w:val="auto"/>
        </w:rPr>
      </w:pPr>
    </w:p>
    <w:p>
      <w:pPr>
        <w:ind w:right="100" w:firstLine="488"/>
        <w:spacing w:after="0" w:line="236" w:lineRule="auto"/>
        <w:rPr>
          <w:sz w:val="20"/>
          <w:szCs w:val="20"/>
          <w:color w:val="auto"/>
        </w:rPr>
      </w:pPr>
      <w:r>
        <w:rPr>
          <w:rFonts w:ascii="Arial" w:cs="Arial" w:eastAsia="Arial" w:hAnsi="Arial"/>
          <w:sz w:val="18"/>
          <w:szCs w:val="18"/>
          <w:color w:val="auto"/>
        </w:rPr>
        <w:t>Qualified Investors may have to submit written evidence that they meet the definitions set out in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Canada</w:t>
      </w:r>
    </w:p>
    <w:p>
      <w:pPr>
        <w:spacing w:after="0" w:line="234" w:lineRule="exact"/>
        <w:rPr>
          <w:sz w:val="20"/>
          <w:szCs w:val="20"/>
          <w:color w:val="auto"/>
        </w:rPr>
      </w:pPr>
    </w:p>
    <w:p>
      <w:pPr>
        <w:ind w:right="100" w:firstLine="485"/>
        <w:spacing w:after="0" w:line="236" w:lineRule="auto"/>
        <w:rPr>
          <w:sz w:val="20"/>
          <w:szCs w:val="20"/>
          <w:color w:val="auto"/>
        </w:rPr>
      </w:pPr>
      <w:r>
        <w:rPr>
          <w:rFonts w:ascii="Arial" w:cs="Arial" w:eastAsia="Arial" w:hAnsi="Arial"/>
          <w:sz w:val="18"/>
          <w:szCs w:val="18"/>
          <w:color w:val="auto"/>
        </w:rPr>
        <w:t>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 in accordance with an exemption from, or in a transaction not subject to, the prospectus requirements of applicable securities laws.</w:t>
      </w:r>
    </w:p>
    <w:p>
      <w:pPr>
        <w:spacing w:after="0" w:line="211" w:lineRule="exact"/>
        <w:rPr>
          <w:sz w:val="20"/>
          <w:szCs w:val="20"/>
          <w:color w:val="auto"/>
        </w:rPr>
      </w:pPr>
    </w:p>
    <w:p>
      <w:pPr>
        <w:ind w:right="160" w:firstLine="488"/>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11" w:lineRule="exact"/>
        <w:rPr>
          <w:sz w:val="20"/>
          <w:szCs w:val="20"/>
          <w:color w:val="auto"/>
        </w:rPr>
      </w:pPr>
    </w:p>
    <w:p>
      <w:pPr>
        <w:jc w:val="both"/>
        <w:ind w:right="140" w:firstLine="488"/>
        <w:spacing w:after="0" w:line="238"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to non-U.S. holders, but does not purport to be a complete analysis of all the potential tax considerations relating thereto. This summary is based upon the provisions of the Internal Revenue Code of 1986, as amended, or the Code, Treasury regulations promulgated thereunder, administrative rulings and judicial decisions, all as of the date hereof and does not address changes to United States tax law that may result from tax reforms that may be enacted in 2017 or thereafter. These authorities may be changed or subject to differing interpretations, possibly with retroactive effect, so as to result in U.S. federal income tax consequences different from those set forth below.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208" w:lineRule="exact"/>
        <w:rPr>
          <w:sz w:val="20"/>
          <w:szCs w:val="20"/>
          <w:color w:val="auto"/>
        </w:rPr>
      </w:pPr>
    </w:p>
    <w:p>
      <w:pPr>
        <w:ind w:right="200" w:firstLine="485"/>
        <w:spacing w:after="0" w:line="237" w:lineRule="auto"/>
        <w:rPr>
          <w:sz w:val="20"/>
          <w:szCs w:val="20"/>
          <w:color w:val="auto"/>
        </w:rPr>
      </w:pPr>
      <w:r>
        <w:rPr>
          <w:rFonts w:ascii="Arial" w:cs="Arial" w:eastAsia="Arial" w:hAnsi="Arial"/>
          <w:sz w:val="18"/>
          <w:szCs w:val="18"/>
          <w:color w:val="auto"/>
        </w:rPr>
        <w:t>This summary also does not address the tax considerations arising under the laws of any U.S. state or local or any non-U.S. jurisdiction, U.S. federal estate or gift tax laws, the Medicare tax on net investment income or any alternative minimum tax consequences. In addition, this discussion does not address tax considerations applicable to an investor's particular circumstances or to investors that may be subject to special tax rules, including, without limitation:</w:t>
      </w:r>
    </w:p>
    <w:p>
      <w:pPr>
        <w:spacing w:after="0" w:line="20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98" w:lineRule="exact"/>
        <w:rPr>
          <w:rFonts w:ascii="Arial" w:cs="Arial" w:eastAsia="Arial" w:hAnsi="Arial"/>
          <w:sz w:val="18"/>
          <w:szCs w:val="18"/>
          <w:color w:val="auto"/>
        </w:rPr>
      </w:pPr>
    </w:p>
    <w:p>
      <w:pPr>
        <w:ind w:left="1080" w:right="700" w:hanging="532"/>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208"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195" w:lineRule="exact"/>
        <w:rPr>
          <w:rFonts w:ascii="Arial" w:cs="Arial" w:eastAsia="Arial" w:hAnsi="Arial"/>
          <w:sz w:val="18"/>
          <w:szCs w:val="18"/>
          <w:color w:val="auto"/>
        </w:rPr>
      </w:pPr>
    </w:p>
    <w:p>
      <w:pPr>
        <w:ind w:left="1080" w:right="460" w:hanging="532"/>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 (or investors in any such entities);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passive foreign investment companies;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that acquire our common stock as compensation for services.</w:t>
      </w:r>
    </w:p>
    <w:p>
      <w:pPr>
        <w:spacing w:after="0" w:line="212" w:lineRule="exact"/>
        <w:rPr>
          <w:sz w:val="20"/>
          <w:szCs w:val="20"/>
          <w:color w:val="auto"/>
        </w:rPr>
      </w:pPr>
    </w:p>
    <w:p>
      <w:pPr>
        <w:ind w:right="200" w:firstLine="488"/>
        <w:spacing w:after="0" w:line="299" w:lineRule="auto"/>
        <w:rPr>
          <w:sz w:val="20"/>
          <w:szCs w:val="20"/>
          <w:color w:val="auto"/>
        </w:rPr>
      </w:pPr>
      <w:r>
        <w:rPr>
          <w:rFonts w:ascii="Arial" w:cs="Arial" w:eastAsia="Arial" w:hAnsi="Arial"/>
          <w:sz w:val="16"/>
          <w:szCs w:val="16"/>
          <w:color w:val="auto"/>
        </w:rPr>
        <w:t>In addition, if a partnership, including any entity or arrangement classified as a partnership for U.S. federal income tax purposes, holds our common stock, the tax treatment of a partner in such partnership generally will depend on the status of the partner and upon the activities of the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partnership. Accordingly, partnerships that hold our common stock, and partners in such partnerships, should consult their tax advisors.</w:t>
      </w:r>
    </w:p>
    <w:p>
      <w:pPr>
        <w:spacing w:after="0" w:line="190" w:lineRule="exact"/>
        <w:rPr>
          <w:sz w:val="20"/>
          <w:szCs w:val="20"/>
          <w:color w:val="auto"/>
        </w:rPr>
      </w:pPr>
    </w:p>
    <w:p>
      <w:pPr>
        <w:ind w:right="440" w:firstLine="488"/>
        <w:spacing w:after="0" w:line="244"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U.S. state or local or any non-U.S. or other taxing jurisdiction or under any applicable tax treaty.</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Non-U.S. Holder Defined</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is for United States federal income tax purposes (i) a foreign corporation, (ii) a nonresident alien individual, (iii) a foreign estate, the income of which, if from sources without the United States and not effectively connected with the conduct of a trade or business within the United States, is not subject to tax in the United States; or (iv) a trust that has not made an election to be treated as a U.S. holder under applicable Treasury regulations and that either (A) is not subject to the primary jurisdiction of a court within the United States, or (B) is not subject to the substantial control of one or more United States persons.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As discussed under "Dividend Policy", above, we do not anticipate paying any dividends on our capital stock in the foreseeable future. If we were to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 subject to the tax treatment described in the discussion below regarding taxable dispositions of our common stock. Any such distributions would also be subject to the discussions below regarding backup withholding and FATCA.</w:t>
      </w:r>
    </w:p>
    <w:p>
      <w:pPr>
        <w:spacing w:after="0" w:line="20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Subject to the discussion below regarding a dividend received by you that is effectively connected with the conduct of a U.S. trade or business, a dividend paid to you generally will be subject to U.S. withholding tax either at a rate of 30% of the gross amount of the dividend or such lower rate as may be specified by an applicable income tax treaty. In order to receive a reduced treaty rate, you must provide us with a valid IRS Form W-8BEN, IRS Form W-8-BEN-E or another appropriate version of IRS Form W-8 (or a successor form), in each case, certifying qualification for the reduced rate.</w:t>
      </w:r>
    </w:p>
    <w:p>
      <w:pPr>
        <w:spacing w:after="0" w:line="211" w:lineRule="exact"/>
        <w:rPr>
          <w:sz w:val="20"/>
          <w:szCs w:val="20"/>
          <w:color w:val="auto"/>
        </w:rPr>
      </w:pPr>
    </w:p>
    <w:p>
      <w:pPr>
        <w:ind w:right="20" w:firstLine="488"/>
        <w:spacing w:after="0" w:line="270" w:lineRule="auto"/>
        <w:rPr>
          <w:sz w:val="20"/>
          <w:szCs w:val="20"/>
          <w:color w:val="auto"/>
        </w:rPr>
      </w:pPr>
      <w:r>
        <w:rPr>
          <w:rFonts w:ascii="Arial" w:cs="Arial" w:eastAsia="Arial" w:hAnsi="Arial"/>
          <w:sz w:val="16"/>
          <w:szCs w:val="16"/>
          <w:color w:val="auto"/>
        </w:rPr>
        <w:t>Dividends received by you that are effectively connected with the conduct of a U.S. trade or business (and, if required by an applicable income tax treaty, are attributable to a permanent establishment maintained by you in the United States) generally are exempt from such withholding tax. In order to obtain this exemption, you must provide us with a valid IRS Form W-8ECI or successor form or other applicable IRS Form W-8 properly certifying such exemption. Such effectively connected dividends, although not subject to withholding tax, are taxed at the same graduated rates applicable to U.S. persons, net of certain deductions and credits, subject to an applicable income tax treaty providing otherwise. In addition, if you are a corporate non-U.S. holder, you may also be subject to a branch profits tax at a rate of 30% or such lower rate as may be specified by an applicable income tax treaty on your earnings and profits in respect of such effectively connected dividend income.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firstLine="488"/>
        <w:spacing w:after="0" w:line="239" w:lineRule="auto"/>
        <w:rPr>
          <w:sz w:val="20"/>
          <w:szCs w:val="20"/>
          <w:color w:val="auto"/>
        </w:rPr>
      </w:pPr>
      <w:r>
        <w:rPr>
          <w:rFonts w:ascii="Arial" w:cs="Arial" w:eastAsia="Arial" w:hAnsi="Arial"/>
          <w:sz w:val="18"/>
          <w:szCs w:val="18"/>
          <w:color w:val="auto"/>
        </w:rPr>
        <w:t>If you are eligible for a reduced rate of withholding tax pursuant to a tax treaty, you may be able to obtain a refund of any excess amounts currently withheld if you file an appropriate claim for refund with the IRS.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Gain on Sale or Other Taxable Disposition of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Subject to the discussion below regarding backup withholding and FATCA, a non-U.S. Holder generally will not be required to pay U.S.</w:t>
      </w:r>
    </w:p>
    <w:p>
      <w:pPr>
        <w:spacing w:after="0"/>
        <w:rPr>
          <w:sz w:val="20"/>
          <w:szCs w:val="20"/>
          <w:color w:val="auto"/>
        </w:rPr>
      </w:pPr>
      <w:r>
        <w:rPr>
          <w:rFonts w:ascii="Arial" w:cs="Arial" w:eastAsia="Arial" w:hAnsi="Arial"/>
          <w:sz w:val="18"/>
          <w:szCs w:val="18"/>
          <w:color w:val="auto"/>
        </w:rPr>
        <w:t>federal income tax on any gain realized upon the sale or other taxable disposition of our common stock unless:</w:t>
      </w:r>
    </w:p>
    <w:p>
      <w:pPr>
        <w:spacing w:after="0" w:line="212" w:lineRule="exact"/>
        <w:rPr>
          <w:sz w:val="20"/>
          <w:szCs w:val="20"/>
          <w:color w:val="auto"/>
        </w:rPr>
      </w:pPr>
    </w:p>
    <w:p>
      <w:pPr>
        <w:jc w:val="both"/>
        <w:ind w:left="1080" w:hanging="532"/>
        <w:spacing w:after="0" w:line="236"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U.S. trade or business (and, if required by an applicable income tax treaty, the gain is attributable to a permanent establishment maintained by you in the U.S.), in which case you will be required to pay tax on the net gain derived from the sale under regular graduated U.S. federal income tax rates, and for a non-U.S. holder that is a corporation, such non-U.S. holder may be subject to the branch profits tax on any earnings and profits attributable to such gains at a 30% rate or such lower rate as may be specified by an applicable income tax treaty;</w:t>
      </w:r>
    </w:p>
    <w:p>
      <w:pPr>
        <w:spacing w:after="0" w:line="211" w:lineRule="exact"/>
        <w:rPr>
          <w:rFonts w:ascii="Arial" w:cs="Arial" w:eastAsia="Arial" w:hAnsi="Arial"/>
          <w:sz w:val="18"/>
          <w:szCs w:val="18"/>
          <w:color w:val="auto"/>
        </w:rPr>
      </w:pPr>
    </w:p>
    <w:p>
      <w:pPr>
        <w:ind w:left="1080" w:right="20" w:hanging="532"/>
        <w:spacing w:after="0" w:line="275"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you are an individual who is present in the United States for a period or periods aggregating 183 days or more during the taxable year in which the sale or disposition occurs and certain other conditions are met, in which case you will be required to pay a flat 30% tax on the gain derived from the sale, which tax may be offset by certain U.S. source capital losses in the taxable year of disposition (even though you are not considered a resident of the United States) (subject to applicable income tax or other treaties); or</w:t>
      </w:r>
    </w:p>
    <w:p>
      <w:pPr>
        <w:spacing w:after="0" w:line="169" w:lineRule="exact"/>
        <w:rPr>
          <w:rFonts w:ascii="Arial" w:cs="Arial" w:eastAsia="Arial" w:hAnsi="Arial"/>
          <w:sz w:val="16"/>
          <w:szCs w:val="16"/>
          <w:color w:val="auto"/>
        </w:rPr>
      </w:pPr>
    </w:p>
    <w:p>
      <w:pPr>
        <w:ind w:left="1080" w:right="20" w:hanging="532"/>
        <w:spacing w:after="0" w:line="235"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by reason of our status as a "U.S. real property holding corporation" for U.S. federal income tax purposes, or a USRPHC, at any time within the shorter of the five-year period preceding the disposition or your holding period for our common stock. We believe that we are not currently and will not become a USRPHC. However, because the determination of whether we are a USRPHC depends on the fair market value of our U.S. real property relative to the fair market value of our other real property and business assets, there can be no assurance that we will not become a USRPHC in the future. Even if we become a USRPHC, however, as long as our common stock is regularly traded on an established securities market (as determined under the Code), such common stock will be treated as U.S. real property interests only if you actually or constructively hold more than five percent of such regularly traded common stock at any time during the applicable period that is specified in the Code.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4" w:lineRule="exact"/>
        <w:rPr>
          <w:sz w:val="20"/>
          <w:szCs w:val="20"/>
          <w:color w:val="auto"/>
        </w:rPr>
      </w:pPr>
    </w:p>
    <w:p>
      <w:pPr>
        <w:ind w:right="40" w:firstLine="488"/>
        <w:spacing w:after="0" w:line="238"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generally be sent to you. Pursuant to applicable income tax treaties or other agreements, the IRS may make these reports available to tax authorities in your country of residence.</w:t>
      </w:r>
    </w:p>
    <w:p>
      <w:pPr>
        <w:spacing w:after="0" w:line="208"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Payments of dividends or of proceeds on the disposition of stock made to you may be subject to additional information reporting and backup withholding at the then applicable rate unless you establish an exemption, for example by properly certifying your non-U.S. status on an IRS Form W-8BEN, IRS Form W-8BEN-E or another appropriate version of IRS Form W-8 (or a successor form). Notwithstanding the foregoing, backup withholding and information reporting may apply if either we or our paying agent has actual knowledge, or reason to know, that you are a U.S. person.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160" w:firstLine="488"/>
        <w:spacing w:after="0" w:line="238" w:lineRule="auto"/>
        <w:rPr>
          <w:sz w:val="20"/>
          <w:szCs w:val="20"/>
          <w:color w:val="auto"/>
        </w:rPr>
      </w:pPr>
      <w:r>
        <w:rPr>
          <w:rFonts w:ascii="Arial" w:cs="Arial" w:eastAsia="Arial" w:hAnsi="Arial"/>
          <w:sz w:val="18"/>
          <w:szCs w:val="18"/>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234" w:lineRule="exact"/>
        <w:rPr>
          <w:sz w:val="20"/>
          <w:szCs w:val="20"/>
          <w:color w:val="auto"/>
        </w:rPr>
      </w:pPr>
    </w:p>
    <w:p>
      <w:pPr>
        <w:ind w:firstLine="488"/>
        <w:spacing w:after="0" w:line="267" w:lineRule="auto"/>
        <w:rPr>
          <w:sz w:val="20"/>
          <w:szCs w:val="20"/>
          <w:color w:val="auto"/>
        </w:rPr>
      </w:pPr>
      <w:r>
        <w:rPr>
          <w:rFonts w:ascii="Arial" w:cs="Arial" w:eastAsia="Arial" w:hAnsi="Arial"/>
          <w:sz w:val="16"/>
          <w:szCs w:val="16"/>
          <w:color w:val="auto"/>
        </w:rPr>
        <w:t>Provisions commonly referred to as "FATCA" may impose withholding tax on certain types of payments made to "foreign financial institutions" and certain other non-U.S. entities. The legislation imposes a 30% withholding tax on dividends on, or gross proceeds from the sale or other disposition of, our common stock paid to a foreign financial institution or to certain non-financial foreign entities,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or (iii) the foreign financial institution or non-financial foreign entity otherwise qualifies for an exemption from these rules. If the payee is a foreign financial institution and is subject to the requirements in (i) above,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Under final regulations and published guidance, the obligation to withhold from payments made to a foreign financial institution or a foreign non-financial entity under the new legislation with respect to dividends on our common stock are currently in effect, but with respect to the gross proceeds of a sale or other disposition of our common stock will not begin until January 1, 2019. Prospective investors should consult their tax advisors regarding FATCA.</w:t>
      </w:r>
    </w:p>
    <w:p>
      <w:pPr>
        <w:spacing w:after="0" w:line="369" w:lineRule="exact"/>
        <w:rPr>
          <w:sz w:val="20"/>
          <w:szCs w:val="20"/>
          <w:color w:val="auto"/>
        </w:rPr>
      </w:pPr>
    </w:p>
    <w:p>
      <w:pPr>
        <w:ind w:right="100" w:firstLine="488"/>
        <w:spacing w:after="0" w:line="296" w:lineRule="auto"/>
        <w:rPr>
          <w:sz w:val="20"/>
          <w:szCs w:val="20"/>
          <w:color w:val="auto"/>
        </w:rPr>
      </w:pPr>
      <w:r>
        <w:rPr>
          <w:rFonts w:ascii="Arial" w:cs="Arial" w:eastAsia="Arial" w:hAnsi="Arial"/>
          <w:sz w:val="16"/>
          <w:szCs w:val="16"/>
          <w:b w:val="1"/>
          <w:bCs w:val="1"/>
          <w:color w:val="auto"/>
        </w:rPr>
        <w:t>The preceding discussion of U.S. federal income tax considerations is for general information only. It is not tax advice. Each prospective investor should consult its tax advisor regarding the particular U.S. federal, state and local and non-U.S. tax consequences of purchasing, holding and disposing of our common stock, including the consequences of any proposed change in applicable laws.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right="900" w:firstLine="488"/>
        <w:spacing w:after="0" w:line="299" w:lineRule="auto"/>
        <w:rPr>
          <w:sz w:val="20"/>
          <w:szCs w:val="20"/>
          <w:color w:val="auto"/>
        </w:rPr>
      </w:pPr>
      <w:r>
        <w:rPr>
          <w:rFonts w:ascii="Arial" w:cs="Arial" w:eastAsia="Arial" w:hAnsi="Arial"/>
          <w:sz w:val="16"/>
          <w:szCs w:val="16"/>
          <w:color w:val="auto"/>
        </w:rPr>
        <w:t>Certain legal matters with respect to the securities offered by this prospectus supplement will be passed upon for us by Goodwin Procter LLP, Boston, Massachusetts. Certain legal matters will be passed upon for the underwriters by Latham &amp; Watkins LLP.</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jc w:val="both"/>
        <w:ind w:firstLine="485"/>
        <w:spacing w:after="0" w:line="237" w:lineRule="auto"/>
        <w:rPr>
          <w:sz w:val="20"/>
          <w:szCs w:val="20"/>
          <w:color w:val="auto"/>
        </w:rPr>
      </w:pPr>
      <w:r>
        <w:rPr>
          <w:rFonts w:ascii="Arial" w:cs="Arial" w:eastAsia="Arial" w:hAnsi="Arial"/>
          <w:sz w:val="18"/>
          <w:szCs w:val="18"/>
          <w:color w:val="auto"/>
        </w:rPr>
        <w:t>The consolidated financial statements of Blueprint Medicines Corporation appearing in Blueprint Medicines Corporation's Annual Report on Form 10-K for the year ended December 31, 2016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said firm as experts in auditing and accounting.</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Blueprint Medicines Corporation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Depositary Shares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Purchase Contracts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Purchase Units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one or more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or amendment carefully before you invest in our securities.</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symbol "BPMC."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40" w:firstLine="351"/>
        <w:spacing w:after="0" w:line="261" w:lineRule="auto"/>
        <w:rPr>
          <w:sz w:val="20"/>
          <w:szCs w:val="20"/>
          <w:color w:val="auto"/>
        </w:rPr>
      </w:pPr>
      <w:r>
        <w:rPr>
          <w:rFonts w:ascii="Arial" w:cs="Arial" w:eastAsia="Arial" w:hAnsi="Arial"/>
          <w:sz w:val="21"/>
          <w:szCs w:val="21"/>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119380</wp:posOffset>
            </wp:positionV>
            <wp:extent cx="18954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date of this prospectus is March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8"/>
        </w:trPr>
        <w:tc>
          <w:tcPr>
            <w:tcW w:w="836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3060" w:type="dxa"/>
            <w:vAlign w:val="bottom"/>
          </w:tcPr>
          <w:p>
            <w:pPr>
              <w:spacing w:after="0"/>
              <w:rPr>
                <w:sz w:val="19"/>
                <w:szCs w:val="19"/>
                <w:color w:val="auto"/>
              </w:rPr>
            </w:pP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ABOUT THIS PROSPECTUS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1</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RISK FACTORS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2</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WHERE YOU CAN FIND MORE INFORMATION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INCORPORATION BY REFERENCE</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FORWARD-LOOKING STATEMENTS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4</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BLUEPRINT MEDICINES CORPORATION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5</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CONSOLIDATED RATIOS OF EARNINGS TO FIXED CHARGES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6</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USE OF PROCEEDS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7</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DILUTION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8</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CAPITAL STOCK</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9</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DEBT SECURITIES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17</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DEPOSITARY SHARES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31</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PURCHASE CONTRACTS AND PURCHASE UNITS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34</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WARRANTS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35</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FORMS OF SECURITIES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36</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PLAN OF DISTRIBUTION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38</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LEGAL MATTERS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41</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EXPERTS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41</w:t>
            </w:r>
          </w:p>
        </w:tc>
      </w:tr>
      <w:tr>
        <w:trPr>
          <w:trHeight w:val="120"/>
        </w:trPr>
        <w:tc>
          <w:tcPr>
            <w:tcW w:w="836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180" w:firstLine="348"/>
        <w:spacing w:after="0" w:line="335" w:lineRule="auto"/>
        <w:rPr>
          <w:sz w:val="20"/>
          <w:szCs w:val="20"/>
          <w:color w:val="auto"/>
        </w:rPr>
      </w:pPr>
      <w:r>
        <w:rPr>
          <w:rFonts w:ascii="Arial" w:cs="Arial" w:eastAsia="Arial" w:hAnsi="Arial"/>
          <w:sz w:val="15"/>
          <w:szCs w:val="15"/>
          <w:color w:val="auto"/>
        </w:rPr>
        <w:t>This prospectus is part of an automatic registration statement that we filed with the Securities and Exchange Commission, which we refer to as the SEC, utilizing a "shelf" registration process as a "well-known seasoned issuer" as defined in Rule 405 under the Securities Act of 1933, as amended, or the Securities Act. Under this shelf registration process, we may from time to time sell any combination of the securities described in this prospectus in one or more offerings.</w:t>
      </w:r>
    </w:p>
    <w:p>
      <w:pPr>
        <w:spacing w:after="0" w:line="142"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 of this prospectus.</w:t>
      </w:r>
    </w:p>
    <w:p>
      <w:pPr>
        <w:spacing w:after="0" w:line="167" w:lineRule="exact"/>
        <w:rPr>
          <w:sz w:val="20"/>
          <w:szCs w:val="20"/>
          <w:color w:val="auto"/>
        </w:rPr>
      </w:pPr>
    </w:p>
    <w:p>
      <w:pPr>
        <w:ind w:firstLine="345"/>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2"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Unless otherwise stated, all references in this prospectus to "us," "our," "Blueprint," "Blueprint Medicines," "we," the "Company" and similar designations refer, collectively, to Blueprint Medicines Corporation, a Delaware corporation, and its consolidated subsidiary, Blueprint Medicines Security Corporation.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including the risk factors in our Annual Report on Form 10-K for the fiscal year ended December 31, 2016 and any of our subsequent filings with the SEC, before making an investment decision pursuant to this prospectus and any accompanying prospectus supplement relating to a specific offering.</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and is not incorporated by reference in this prospectus. You may also read and copy any document we file at the SEC's Public Reference Room, 100 F Street, N.E., Washington, D.C. 20549. Please call the SEC at 1-800-SEC-0330 for further information on the operation of the Public Reference Room.</w:t>
      </w:r>
    </w:p>
    <w:p>
      <w:pPr>
        <w:spacing w:after="0" w:line="197"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186"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2016;</w:t>
      </w:r>
    </w:p>
    <w:p>
      <w:pPr>
        <w:spacing w:after="0" w:line="252" w:lineRule="exact"/>
        <w:rPr>
          <w:rFonts w:ascii="Arial" w:cs="Arial" w:eastAsia="Arial" w:hAnsi="Arial"/>
          <w:sz w:val="18"/>
          <w:szCs w:val="18"/>
          <w:color w:val="auto"/>
        </w:rPr>
      </w:pPr>
    </w:p>
    <w:p>
      <w:pPr>
        <w:jc w:val="both"/>
        <w:ind w:left="1080" w:right="8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fiscal year ended December 31, 2015 from our definitive proxy statement (other than information furnished rather than filed) for the 2016 Annual Meeting of Stockholders, which was filed with the SEC on April 28, 2016; and</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April 27, 2015, including any amendments or reports filed for the purpose of updating such description.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Blueprint Medicines Corporation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 Sidney Street, Suite 200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Phone: (617) 714-6674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E-mail: ir@blueprintmedicines.com</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This prospectus and the information incorporated by reference in this prospectus include "forward-looking statements"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 the initiation, timing, progress and results of our pre-clinical studies and clinical trials, including our Phase 1 clinical trials for BLU-285, BLU-554 and BLU-667, and our research and development programs; our ability to advance drug candidates into, and successfully complete, clinical trials; the timing or likelihood of regulatory filings and approvals; the commercialization of our drug candidates, if approved; the pricing and reimbursement of our drug candidates, if approved; the implementation of our business model, strategic plans for our business, drug candidates and technology; the scope of protection we are able to establish and maintain for intellectual property rights covering our drug candidates and technology; estimates of our expenses, future revenues, capital requirements and our needs for additional financing; the potential benefits of our existing rare genetic disease collaboration with Alexion Pharma Holding and our existing cancer immunotherapy collaboration with F. Hoffmann-La Roche Ltd and Hoffmann-La Roche Inc., as well as our ability to enter into other strategic arrangements; the development of companion diagnostic tests for our drug candidates, including our companion diagnostic test with Ventana Medical Systems, Inc. for BLU-554 and our companion diagnostic test with QIAGEN Manchester Limited for BLU-285; our ability to maintain and establish collaborations; our financial performance; and developments relating to our competitors and our industry.</w:t>
      </w:r>
    </w:p>
    <w:p>
      <w:pPr>
        <w:spacing w:after="0" w:line="180"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Any forward-looking statements contained or incorporated by reference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See "Risk Factors" for more information. Given these uncertainties, you should not place undue reliance on these forward-looking statements. Our forward-looking statements do not reflect the potential impact of any future acquisitions, mergers, dispositions, joint ventures or investments we may make or enter into. Except as required by law, we assume no obligation to update or revise these forward-looking statements for any reason, whether as a result of new information, future events or otherwise.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jc w:val="center"/>
        <w:ind w:right="-99"/>
        <w:spacing w:after="0"/>
        <w:rPr>
          <w:sz w:val="20"/>
          <w:szCs w:val="20"/>
          <w:color w:val="auto"/>
        </w:rPr>
      </w:pPr>
      <w:r>
        <w:rPr>
          <w:rFonts w:ascii="Arial" w:cs="Arial" w:eastAsia="Arial" w:hAnsi="Arial"/>
          <w:sz w:val="18"/>
          <w:szCs w:val="18"/>
          <w:b w:val="1"/>
          <w:bCs w:val="1"/>
          <w:color w:val="auto"/>
        </w:rPr>
        <w:t>BLUEPRINT MEDICINES CORPORATION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with therapeutic windows that may provide significant and durable clinical responses for patients without adequate treatment options. This integrated biology and chemistry approach enables us to identify, characterize and drug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17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Our principal executive offices are located at 38 Sidney Street, Suite 200, Cambridge, Massachusetts 02139, and our telephone number is (617) 714-6674.</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47" w:name="page48"/>
    <w:bookmarkEnd w:id="47"/>
    <w:p>
      <w:pPr>
        <w:jc w:val="center"/>
        <w:ind w:right="40"/>
        <w:spacing w:after="0"/>
        <w:rPr>
          <w:sz w:val="20"/>
          <w:szCs w:val="20"/>
          <w:color w:val="auto"/>
        </w:rPr>
      </w:pPr>
      <w:r>
        <w:rPr>
          <w:rFonts w:ascii="Arial" w:cs="Arial" w:eastAsia="Arial" w:hAnsi="Arial"/>
          <w:sz w:val="18"/>
          <w:szCs w:val="18"/>
          <w:b w:val="1"/>
          <w:bCs w:val="1"/>
          <w:color w:val="auto"/>
        </w:rPr>
        <w:t>CONSOLIDATED RATIOS OF EARNINGS TO FIXED CHARGES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236"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0</wp:posOffset>
            </wp:positionV>
            <wp:extent cx="12350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jc w:val="center"/>
        <w:ind w:left="6040"/>
        <w:spacing w:after="0"/>
        <w:tabs>
          <w:tab w:leader="none" w:pos="240" w:val="left"/>
          <w:tab w:leader="none" w:pos="240" w:val="left"/>
          <w:tab w:leader="none" w:pos="2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-6985</wp:posOffset>
            </wp:positionV>
            <wp:extent cx="12350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1720"/>
        <w:spacing w:after="0"/>
        <w:tabs>
          <w:tab w:leader="none" w:pos="7800" w:val="left"/>
          <w:tab w:leader="none" w:pos="8320" w:val="left"/>
          <w:tab w:leader="none" w:pos="8860" w:val="left"/>
          <w:tab w:leader="none" w:pos="9380" w:val="left"/>
        </w:tabs>
        <w:rPr>
          <w:sz w:val="20"/>
          <w:szCs w:val="20"/>
          <w:color w:val="auto"/>
        </w:rPr>
      </w:pPr>
      <w:r>
        <w:rPr>
          <w:rFonts w:ascii="Arial" w:cs="Arial" w:eastAsia="Arial" w:hAnsi="Arial"/>
          <w:sz w:val="18"/>
          <w:szCs w:val="18"/>
          <w:color w:val="auto"/>
        </w:rPr>
        <w:t>Consolidated ratios of earnings to fixed charges</w:t>
      </w:r>
      <w:r>
        <w:rPr>
          <w:sz w:val="20"/>
          <w:szCs w:val="20"/>
          <w:color w:val="auto"/>
        </w:rPr>
        <w:tab/>
      </w:r>
      <w:r>
        <w:rPr>
          <w:rFonts w:ascii="Arial" w:cs="Arial" w:eastAsia="Arial" w:hAnsi="Arial"/>
          <w:sz w:val="18"/>
          <w:szCs w:val="18"/>
          <w:color w:val="auto"/>
        </w:rPr>
        <w:t>N/A</w:t>
        <w:tab/>
        <w:t>N/A</w:t>
        <w:tab/>
        <w:t>N/A</w:t>
      </w:r>
      <w:r>
        <w:rPr>
          <w:sz w:val="20"/>
          <w:szCs w:val="20"/>
          <w:color w:val="auto"/>
        </w:rPr>
        <w:tab/>
      </w:r>
      <w:r>
        <w:rPr>
          <w:rFonts w:ascii="Arial" w:cs="Arial" w:eastAsia="Arial" w:hAnsi="Arial"/>
          <w:sz w:val="16"/>
          <w:szCs w:val="16"/>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97" w:lineRule="exact"/>
        <w:rPr>
          <w:sz w:val="20"/>
          <w:szCs w:val="20"/>
          <w:color w:val="auto"/>
        </w:rPr>
      </w:pPr>
    </w:p>
    <w:p>
      <w:pPr>
        <w:ind w:right="500" w:firstLine="351"/>
        <w:spacing w:after="0" w:line="370" w:lineRule="auto"/>
        <w:rPr>
          <w:sz w:val="20"/>
          <w:szCs w:val="20"/>
          <w:color w:val="auto"/>
        </w:rPr>
      </w:pPr>
      <w:r>
        <w:rPr>
          <w:rFonts w:ascii="Arial" w:cs="Arial" w:eastAsia="Arial" w:hAnsi="Arial"/>
          <w:sz w:val="15"/>
          <w:szCs w:val="15"/>
          <w:color w:val="auto"/>
        </w:rPr>
        <w:t>For purposes of calculating the consolidated ratios of earnings to fixed charges, earnings consist of net income (loss) plus fixed charges. Fixed charges include interest expense, non-cash interest expense and the interest portion of rent expense which is deemed to be representative of the interest factor.</w:t>
      </w:r>
    </w:p>
    <w:p>
      <w:pPr>
        <w:spacing w:after="0" w:line="11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earnings were insufficient to cover fixed charges by $72.5 million for the year ended December 31, 2016, $52.8 million for the year ended December 31, 2015, $40.3 million for the year ended December 31, 2014 and $20.9 million for the year ended December 31, 2013.</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ratios of earnings to combined fixed charges and preferred stock dividends for the periods indicated above are the same as our ratios of earnings to fixed charges set forth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the applicable prospectus supplement provides otherwise. General corporate purposes may include research and development costs, the acquisition or licensing of other drugs or drug candidates, business or technologies, repayment and refinancing of debt,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9" w:name="page50"/>
    <w:bookmarkEnd w:id="49"/>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there is a material dilution of the purchasers' equity interest from the sale of common equity securities offered under this prospectus, we will set forth in any prospectus supplement the following information regarding any such material dilution of the equity interests of purchasers purchasing securities in an offering under this prospectus:</w:t>
      </w:r>
    </w:p>
    <w:p>
      <w:pPr>
        <w:spacing w:after="0" w:line="208"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amount of the increase in such net tangible book value per share attributable to the cash payments made by the purchasers in the offering;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following description of our capital stock is intended as a summary only. This description is based upon, and is qualified by reference to, our amended and restated certificate of incorporation, or certificate of incorporation, our amended and restated bylaws, or bylaws, and applicable provisions of the Delaware General Corporation Law. This summary is not complete. You should read our certificate of incorporation and bylaws, which are filed as exhibits to the registration statement of which this prospectus forms a part, for the provisions that are important to you.</w:t>
      </w:r>
    </w:p>
    <w:p>
      <w:pPr>
        <w:spacing w:after="0" w:line="16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Our authorized capital stock consists of 120,000,000 shares of common stock, par value $0.001 per share, and 5,000,000 shares of preferred stock, par value $0.001 per share, all of which are undesignated. As of February 28, 2017, 33,203,902 shares of common stock were outstanding, and no shares of preferred stock were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i w:val="1"/>
          <w:iCs w:val="1"/>
          <w:color w:val="auto"/>
        </w:rPr>
        <w:t xml:space="preserve">Annual Meeting. </w:t>
      </w:r>
      <w:r>
        <w:rPr>
          <w:rFonts w:ascii="Arial" w:cs="Arial" w:eastAsia="Arial" w:hAnsi="Arial"/>
          <w:sz w:val="16"/>
          <w:szCs w:val="16"/>
          <w:color w:val="auto"/>
        </w:rPr>
        <w:t>Annual meetings of our stockholders are held on the date designated in accordance with our bylaws. Written notice must be mailed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and shall be called by the chairman of the board or the secretary upon the written request, stating the purpose of such meeting, of the holders of a majority of the outstanding shares of all classes of capital stock entitled to vote at the meeting. 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spacing w:after="0" w:line="172"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Each holder of common stock is entitled to one vote for each share held on all matters to be voted upon by stockholders.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common stock, after any preferences of holders of any preferred stock, are entitled to receive dividends when and if declared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out of legally available funds.</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i w:val="1"/>
          <w:iCs w:val="1"/>
          <w:color w:val="auto"/>
        </w:rPr>
        <w:t xml:space="preserve">Liquidation and Dissolution. </w:t>
      </w:r>
      <w:r>
        <w:rPr>
          <w:rFonts w:ascii="Arial" w:cs="Arial" w:eastAsia="Arial" w:hAnsi="Arial"/>
          <w:sz w:val="16"/>
          <w:szCs w:val="16"/>
          <w:color w:val="auto"/>
        </w:rPr>
        <w:t>If we are liquidated or dissolved, the holders of the common stock will be entitled to share in our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to stockholders in proportion to the amount of common stock they own. The amount available for common stockholders is calculated after payment of liabilities. Holders of any preferred stock will receive a preferential share of our assets before the holders of the common stock receive any assets.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Holders of the common stock have no right to convert the stock into any other security, have the stock redeemed or purchase additional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or to maintain their proportionate ownership interest. The common stock does not have cumulative voting rights. Holders of shares of the common stock are not required to make additional capital contributions.</w:t>
      </w:r>
    </w:p>
    <w:p>
      <w:pPr>
        <w:spacing w:after="0" w:line="194" w:lineRule="exact"/>
        <w:rPr>
          <w:sz w:val="20"/>
          <w:szCs w:val="20"/>
          <w:color w:val="auto"/>
        </w:rPr>
      </w:pPr>
    </w:p>
    <w:p>
      <w:pPr>
        <w:ind w:left="360"/>
        <w:spacing w:after="0"/>
        <w:tabs>
          <w:tab w:leader="none" w:pos="2780" w:val="left"/>
        </w:tabs>
        <w:rPr>
          <w:sz w:val="20"/>
          <w:szCs w:val="20"/>
          <w:color w:val="auto"/>
        </w:rPr>
      </w:pPr>
      <w:r>
        <w:rPr>
          <w:rFonts w:ascii="Arial" w:cs="Arial" w:eastAsia="Arial" w:hAnsi="Arial"/>
          <w:sz w:val="18"/>
          <w:szCs w:val="18"/>
          <w:i w:val="1"/>
          <w:iCs w:val="1"/>
          <w:color w:val="auto"/>
        </w:rPr>
        <w:t>NASDAQ Global Select Market.</w:t>
      </w:r>
      <w:r>
        <w:rPr>
          <w:sz w:val="20"/>
          <w:szCs w:val="20"/>
          <w:color w:val="auto"/>
        </w:rPr>
        <w:tab/>
      </w:r>
      <w:r>
        <w:rPr>
          <w:rFonts w:ascii="Arial" w:cs="Arial" w:eastAsia="Arial" w:hAnsi="Arial"/>
          <w:sz w:val="16"/>
          <w:szCs w:val="16"/>
          <w:color w:val="auto"/>
        </w:rPr>
        <w:t>Our common stock is listed on The NASDAQ Global Select Market under the trading symbol "BPMC."</w:t>
      </w:r>
    </w:p>
    <w:p>
      <w:pPr>
        <w:spacing w:after="0" w:line="225"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Computershare Trust Company, N.A. is the transfer agent and registrar for our common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72"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series of our preferred stock could, depending on the terms of such series, impede the completion of a merger, tender offer or other takeover attempt. Our board of directors will make any determination to issue shares of preferred stock based upon its judgment as to the best interests of our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preferred stock has the terms described below unless otherwise provided in the prospectus supplement relating to a particular series of preferred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 prospectus supplement relating to the particular series of preferred stock being offered for specific terms, including:</w:t>
      </w:r>
    </w:p>
    <w:p>
      <w:pPr>
        <w:spacing w:after="0" w:line="232"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238"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we have elected to offer depositary shares as described under "Description of Depositary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preferred stock will, when issued, be fully paid and nonassessable. Unless otherwise provided in the applicable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2" w:name="page53"/>
    <w:bookmarkEnd w:id="52"/>
    <w:p>
      <w:pPr>
        <w:jc w:val="both"/>
        <w:ind w:right="60" w:firstLine="341"/>
        <w:spacing w:after="0" w:line="306" w:lineRule="auto"/>
        <w:rPr>
          <w:sz w:val="20"/>
          <w:szCs w:val="20"/>
          <w:color w:val="auto"/>
        </w:rPr>
      </w:pPr>
      <w:r>
        <w:rPr>
          <w:rFonts w:ascii="Arial" w:cs="Arial" w:eastAsia="Arial" w:hAnsi="Arial"/>
          <w:sz w:val="16"/>
          <w:szCs w:val="16"/>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6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Rank. </w:t>
      </w:r>
      <w:r>
        <w:rPr>
          <w:rFonts w:ascii="Arial" w:cs="Arial" w:eastAsia="Arial" w:hAnsi="Arial"/>
          <w:sz w:val="18"/>
          <w:szCs w:val="18"/>
          <w:color w:val="auto"/>
        </w:rPr>
        <w:t>Unless otherwise provided in the applicable prospectus supplement, the preferred stock will, with respect to dividend rights and rights upon our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dissolution or winding up of our affairs, rank:</w:t>
      </w:r>
    </w:p>
    <w:p>
      <w:pPr>
        <w:spacing w:after="0" w:line="199" w:lineRule="exact"/>
        <w:rPr>
          <w:sz w:val="20"/>
          <w:szCs w:val="20"/>
          <w:color w:val="auto"/>
        </w:rPr>
      </w:pPr>
    </w:p>
    <w:p>
      <w:pPr>
        <w:ind w:left="1080" w:right="30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212" w:lineRule="exact"/>
        <w:rPr>
          <w:rFonts w:ascii="Arial" w:cs="Arial" w:eastAsia="Arial" w:hAnsi="Arial"/>
          <w:sz w:val="18"/>
          <w:szCs w:val="18"/>
          <w:color w:val="auto"/>
        </w:rPr>
      </w:pPr>
    </w:p>
    <w:p>
      <w:pPr>
        <w:ind w:left="1080" w:right="46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Holders of the preferred stock of each series will be entitled to receive, when, as and if declared by our board of directors, cash dividends at</w:t>
      </w:r>
      <w:r>
        <w:rPr>
          <w:rFonts w:ascii="Arial" w:cs="Arial" w:eastAsia="Arial" w:hAnsi="Arial"/>
          <w:sz w:val="16"/>
          <w:szCs w:val="16"/>
          <w:i w:val="1"/>
          <w:iCs w:val="1"/>
          <w:color w:val="auto"/>
        </w:rPr>
        <w:t xml:space="preserve"> </w:t>
      </w:r>
      <w:r>
        <w:rPr>
          <w:rFonts w:ascii="Arial" w:cs="Arial" w:eastAsia="Arial" w:hAnsi="Arial"/>
          <w:sz w:val="16"/>
          <w:szCs w:val="16"/>
          <w:color w:val="auto"/>
        </w:rPr>
        <w:t>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70"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Upon any voluntary or involuntary liquidation, dissolution or winding up of our affairs, then, before we make any distribution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ind w:right="20"/>
        <w:spacing w:after="0" w:line="253" w:lineRule="auto"/>
        <w:rPr>
          <w:sz w:val="20"/>
          <w:szCs w:val="20"/>
          <w:color w:val="auto"/>
        </w:rPr>
      </w:pPr>
      <w:r>
        <w:rPr>
          <w:rFonts w:ascii="Arial" w:cs="Arial" w:eastAsia="Arial" w:hAnsi="Arial"/>
          <w:sz w:val="18"/>
          <w:szCs w:val="18"/>
          <w:color w:val="auto"/>
        </w:rPr>
        <w:t>the prospectus supplement, plus any accrued and unpaid dividends thereon. Such dividends will not include any accumulation in respect of unpaid noncumulative dividends for prior dividend periods. Unless otherwise provided in the applicable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9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9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If so provided in the applicable prospectus supplement, the preferred stock will be subject to mandatory redemption or redemption at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as a whole or in part, in each case upon the terms, at the times and at the redemption prices set forth in such prospectus supplement.</w:t>
      </w:r>
    </w:p>
    <w:p>
      <w:pPr>
        <w:spacing w:after="0" w:line="13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187" w:lineRule="exact"/>
        <w:rPr>
          <w:sz w:val="20"/>
          <w:szCs w:val="20"/>
          <w:color w:val="auto"/>
        </w:rPr>
      </w:pPr>
    </w:p>
    <w:p>
      <w:pPr>
        <w:ind w:left="1080" w:right="12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166"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239" w:lineRule="exact"/>
        <w:rPr>
          <w:sz w:val="20"/>
          <w:szCs w:val="20"/>
          <w:color w:val="auto"/>
        </w:rPr>
      </w:pPr>
    </w:p>
    <w:p>
      <w:pPr>
        <w:ind w:left="1080" w:right="2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94"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6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166"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specific number of shares to be redeemed from each such holder if fewer than all the shares of any series are to be redeemed.</w:t>
      </w:r>
    </w:p>
    <w:p>
      <w:pPr>
        <w:spacing w:after="0" w:line="248"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94"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Holders of preferred stock will not have any voting rights, except as required by law or as indicated in the applicable prospectus supplement.</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The terms and conditions, if any, upon which any series of preferred stock is convertible into our common stock will be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55" w:name="page56"/>
    <w:bookmarkEnd w:id="55"/>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preferred stock will be set forth in the applicable prospectus supplement.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Authorized but Unissued Stock</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shares of common stock and preferred stock available for future issuance without stockholder approval, subject to any limitations imposed by the listing standards of The NASDAQ Global Select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entered into a second amended and restated investors' rights agreement, dated as of November 7, 2014, which we refer to as the Investors' Rights Agreement, with the holders of shares of our common stock. 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registration on Form S-1 within 60 days before or 180 days following any offering of our securities or a requested registration on Form S-3 within 30 days before or 90 days following any offering of our securities. The registration rights will terminate upon the later of the date on which all registrable shares have been sold and May 5, 2020.</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The holders of at least a majority of our registrable shares may require us to file a registration statement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on a Form S-1 or Form S-3, if available, at our expense with respect to the resale of their registrable shares, and we are required to use our best efforts to effect the registration.</w:t>
      </w:r>
    </w:p>
    <w:p>
      <w:pPr>
        <w:spacing w:after="0" w:line="194"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If we propose to register any of our securities under the Securities Act for our own account or the account of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holder, the holders of registrable shares are entitled to notice of such registration and to request that we include registrable shares for resale on such registration statement, subject to the right of any underwriter to limit the number of shares included in such registration.</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will pay all registration expenses, other than underwriting discounts and commissions, related to any demand or piggyback registration.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Rights Agreement contains customary cross-indemnification provisions pursuant to which we are obligated to indemnify the selling stockholders in the event of misstatements or omissions in the registration statement attributable to us except in the event of fraud and they are obligated to indemnify us for misstatements or omissions attributable to them.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Provisions of our Certificate of Incorporation and Bylaws and Delaware Law That May Have Anti-takeover Effects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94"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 xml:space="preserve">Board Composition and Filling Vacancies. </w:t>
      </w:r>
      <w:r>
        <w:rPr>
          <w:rFonts w:ascii="Arial" w:cs="Arial" w:eastAsia="Arial" w:hAnsi="Arial"/>
          <w:sz w:val="18"/>
          <w:szCs w:val="18"/>
          <w:color w:val="auto"/>
        </w:rPr>
        <w:t>In accordance with our certificate of incorporation, our board is divided into three classes serving three-year</w:t>
      </w:r>
      <w:r>
        <w:rPr>
          <w:rFonts w:ascii="Arial" w:cs="Arial" w:eastAsia="Arial" w:hAnsi="Arial"/>
          <w:sz w:val="18"/>
          <w:szCs w:val="18"/>
          <w:i w:val="1"/>
          <w:iCs w:val="1"/>
          <w:color w:val="auto"/>
        </w:rPr>
        <w:t xml:space="preserve"> </w:t>
      </w:r>
      <w:r>
        <w:rPr>
          <w:rFonts w:ascii="Arial" w:cs="Arial" w:eastAsia="Arial" w:hAnsi="Arial"/>
          <w:sz w:val="18"/>
          <w:szCs w:val="18"/>
          <w:color w:val="auto"/>
        </w:rPr>
        <w:t>terms, with one class being elected each year. Our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97"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i w:val="1"/>
          <w:iCs w:val="1"/>
          <w:color w:val="auto"/>
        </w:rPr>
        <w:t xml:space="preserve">No Written Consent of Stockholders. </w:t>
      </w:r>
      <w:r>
        <w:rPr>
          <w:rFonts w:ascii="Arial" w:cs="Arial" w:eastAsia="Arial" w:hAnsi="Arial"/>
          <w:sz w:val="16"/>
          <w:szCs w:val="16"/>
          <w:color w:val="auto"/>
        </w:rPr>
        <w:t>Our certificate of incorporation provides that all stockholder actions are required to be taken by a vote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at an annual or special meeting, and that stockholders may not take any action by written consent in lieu of a meeting.</w:t>
      </w:r>
    </w:p>
    <w:p>
      <w:pPr>
        <w:spacing w:after="0" w:line="139"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i w:val="1"/>
          <w:iCs w:val="1"/>
          <w:color w:val="auto"/>
        </w:rPr>
        <w:t xml:space="preserve">Meetings of Stockholders. </w:t>
      </w:r>
      <w:r>
        <w:rPr>
          <w:rFonts w:ascii="Arial" w:cs="Arial" w:eastAsia="Arial" w:hAnsi="Arial"/>
          <w:sz w:val="16"/>
          <w:szCs w:val="16"/>
          <w:color w:val="auto"/>
        </w:rPr>
        <w:t>Our bylaws provide that only a majority of the members of our board of directors then in office may call special meetings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6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i w:val="1"/>
          <w:iCs w:val="1"/>
          <w:color w:val="auto"/>
        </w:rPr>
        <w:t xml:space="preserve">Advance Notice Requirements. </w:t>
      </w:r>
      <w:r>
        <w:rPr>
          <w:rFonts w:ascii="Arial" w:cs="Arial" w:eastAsia="Arial" w:hAnsi="Arial"/>
          <w:sz w:val="16"/>
          <w:szCs w:val="16"/>
          <w:color w:val="auto"/>
        </w:rPr>
        <w:t>Our bylaws establish advance notice procedures with regard to stockholder proposals relating to the nomination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72"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i w:val="1"/>
          <w:iCs w:val="1"/>
          <w:color w:val="auto"/>
        </w:rPr>
        <w:t xml:space="preserve">Amendment to Certificate of Incorporation and Bylaws. </w:t>
      </w:r>
      <w:r>
        <w:rPr>
          <w:rFonts w:ascii="Arial" w:cs="Arial" w:eastAsia="Arial" w:hAnsi="Arial"/>
          <w:sz w:val="16"/>
          <w:szCs w:val="16"/>
          <w:color w:val="auto"/>
        </w:rPr>
        <w:t>As required by the Delaware General Corporation Law, any amendment of our certificate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Blank Check Preferred Stock. </w:t>
      </w:r>
      <w:r>
        <w:rPr>
          <w:rFonts w:ascii="Arial" w:cs="Arial" w:eastAsia="Arial" w:hAnsi="Arial"/>
          <w:sz w:val="16"/>
          <w:szCs w:val="16"/>
          <w:color w:val="auto"/>
        </w:rPr>
        <w:t>Our certificate of incorporation provides for 5,000,000 authorized shares of preferred stock. The existence of authorized but</w:t>
      </w:r>
      <w:r>
        <w:rPr>
          <w:rFonts w:ascii="Arial" w:cs="Arial" w:eastAsia="Arial" w:hAnsi="Arial"/>
          <w:sz w:val="16"/>
          <w:szCs w:val="16"/>
          <w:i w:val="1"/>
          <w:iCs w:val="1"/>
          <w:color w:val="auto"/>
        </w:rPr>
        <w:t xml:space="preserve"> </w:t>
      </w:r>
      <w:r>
        <w:rPr>
          <w:rFonts w:ascii="Arial" w:cs="Arial" w:eastAsia="Arial" w:hAnsi="Arial"/>
          <w:sz w:val="16"/>
          <w:szCs w:val="16"/>
          <w:color w:val="auto"/>
        </w:rPr>
        <w:t>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Section 203 of the Delaware General Corporation Law. </w:t>
      </w:r>
      <w:r>
        <w:rPr>
          <w:rFonts w:ascii="Arial" w:cs="Arial" w:eastAsia="Arial" w:hAnsi="Arial"/>
          <w:sz w:val="16"/>
          <w:szCs w:val="16"/>
          <w:color w:val="auto"/>
        </w:rPr>
        <w:t>We are subject to the provisions of Section 203 of the Delaware General Corporation Law.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86" w:lineRule="exact"/>
        <w:rPr>
          <w:sz w:val="20"/>
          <w:szCs w:val="20"/>
          <w:color w:val="auto"/>
        </w:rPr>
      </w:pPr>
    </w:p>
    <w:p>
      <w:pPr>
        <w:ind w:left="1080" w:right="1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212" w:lineRule="exact"/>
        <w:rPr>
          <w:rFonts w:ascii="Arial" w:cs="Arial" w:eastAsia="Arial" w:hAnsi="Arial"/>
          <w:sz w:val="18"/>
          <w:szCs w:val="18"/>
          <w:color w:val="auto"/>
        </w:rPr>
      </w:pPr>
    </w:p>
    <w:p>
      <w:pPr>
        <w:jc w:val="both"/>
        <w:ind w:left="1080" w:right="320" w:hanging="532"/>
        <w:spacing w:after="0" w:line="306"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74"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94"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6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Exclusive Jurisdiction of Certain Actions. </w:t>
      </w:r>
      <w:r>
        <w:rPr>
          <w:rFonts w:ascii="Arial" w:cs="Arial" w:eastAsia="Arial" w:hAnsi="Arial"/>
          <w:sz w:val="18"/>
          <w:szCs w:val="18"/>
          <w:color w:val="auto"/>
        </w:rPr>
        <w:t>Our certificate of incorporation requires, to the fullest extent permitted by law, that derivative actions brought in</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Blueprint Medicines Corporation excluding, unless the context otherwise requires or as otherwise expressly stated, our subsidiaries.</w:t>
      </w:r>
    </w:p>
    <w:p>
      <w:pPr>
        <w:spacing w:after="0" w:line="170"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indentures:</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allow us to reopen a series to issue additional debt securities without the consent of the holders of the debt securities of such series;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9" w:name="page60"/>
    <w:bookmarkEnd w:id="59"/>
    <w:p>
      <w:pPr>
        <w:jc w:val="both"/>
        <w:ind w:right="180"/>
        <w:spacing w:after="0" w:line="370" w:lineRule="auto"/>
        <w:rPr>
          <w:sz w:val="20"/>
          <w:szCs w:val="20"/>
          <w:color w:val="auto"/>
        </w:rPr>
      </w:pPr>
      <w:r>
        <w:rPr>
          <w:rFonts w:ascii="Arial" w:cs="Arial" w:eastAsia="Arial" w:hAnsi="Arial"/>
          <w:sz w:val="15"/>
          <w:szCs w:val="15"/>
          <w:color w:val="auto"/>
        </w:rPr>
        <w:t>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252"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29" w:lineRule="exact"/>
        <w:rPr>
          <w:rFonts w:ascii="Arial" w:cs="Arial" w:eastAsia="Arial" w:hAnsi="Arial"/>
          <w:sz w:val="15"/>
          <w:szCs w:val="15"/>
          <w:color w:val="auto"/>
        </w:rPr>
      </w:pPr>
    </w:p>
    <w:p>
      <w:pPr>
        <w:ind w:left="1080" w:right="60" w:hanging="532"/>
        <w:spacing w:after="0" w:line="256"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210"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238"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premium or make-whole amount, and interest on, the debt securities will be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ind w:left="540" w:right="280" w:hanging="532"/>
        <w:spacing w:after="0" w:line="259"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221" w:lineRule="exact"/>
        <w:rPr>
          <w:rFonts w:ascii="Arial" w:cs="Arial" w:eastAsia="Arial" w:hAnsi="Arial"/>
          <w:sz w:val="18"/>
          <w:szCs w:val="18"/>
          <w:color w:val="auto"/>
        </w:rPr>
      </w:pPr>
    </w:p>
    <w:p>
      <w:pPr>
        <w:jc w:val="both"/>
        <w:ind w:left="540" w:right="240" w:hanging="532"/>
        <w:spacing w:after="0" w:line="259"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207"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207" w:lineRule="exact"/>
        <w:rPr>
          <w:rFonts w:ascii="Arial" w:cs="Arial" w:eastAsia="Arial" w:hAnsi="Arial"/>
          <w:sz w:val="18"/>
          <w:szCs w:val="18"/>
          <w:color w:val="auto"/>
        </w:rPr>
      </w:pPr>
    </w:p>
    <w:p>
      <w:pPr>
        <w:ind w:left="540" w:right="220" w:hanging="532"/>
        <w:spacing w:after="0" w:line="268"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212" w:lineRule="exact"/>
        <w:rPr>
          <w:rFonts w:ascii="Arial" w:cs="Arial" w:eastAsia="Arial" w:hAnsi="Arial"/>
          <w:sz w:val="18"/>
          <w:szCs w:val="18"/>
          <w:color w:val="auto"/>
        </w:rPr>
      </w:pPr>
    </w:p>
    <w:p>
      <w:pPr>
        <w:ind w:left="540" w:right="180" w:hanging="532"/>
        <w:spacing w:after="0" w:line="305" w:lineRule="auto"/>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w:t>
      </w:r>
    </w:p>
    <w:p>
      <w:pPr>
        <w:ind w:left="540" w:right="20" w:firstLine="8"/>
        <w:spacing w:after="0" w:line="261" w:lineRule="auto"/>
        <w:tabs>
          <w:tab w:leader="none" w:pos="798"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in bearer form, the manner in which, or the person to whom, any interest on the security shall be payable if otherwise than upon presentation and surrender upon maturity;</w:t>
      </w:r>
    </w:p>
    <w:p>
      <w:pPr>
        <w:spacing w:after="0" w:line="205" w:lineRule="exact"/>
        <w:rPr>
          <w:rFonts w:ascii="Arial" w:cs="Arial" w:eastAsia="Arial" w:hAnsi="Arial"/>
          <w:sz w:val="18"/>
          <w:szCs w:val="18"/>
          <w:color w:val="auto"/>
        </w:rPr>
      </w:pPr>
    </w:p>
    <w:p>
      <w:pPr>
        <w:ind w:left="540" w:right="40" w:hanging="532"/>
        <w:spacing w:after="0" w:line="332"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52" w:lineRule="exact"/>
        <w:rPr>
          <w:rFonts w:ascii="Arial" w:cs="Arial" w:eastAsia="Arial" w:hAnsi="Arial"/>
          <w:sz w:val="16"/>
          <w:szCs w:val="16"/>
          <w:color w:val="auto"/>
        </w:rPr>
      </w:pPr>
    </w:p>
    <w:p>
      <w:pPr>
        <w:jc w:val="both"/>
        <w:ind w:left="540" w:hanging="532"/>
        <w:spacing w:after="0" w:line="335" w:lineRule="auto"/>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69" w:lineRule="exact"/>
        <w:rPr>
          <w:rFonts w:ascii="Arial" w:cs="Arial" w:eastAsia="Arial" w:hAnsi="Arial"/>
          <w:sz w:val="15"/>
          <w:szCs w:val="15"/>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23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described in this prospectus or in the applicable indenture;</w:t>
      </w:r>
    </w:p>
    <w:p>
      <w:pPr>
        <w:spacing w:after="0" w:line="275" w:lineRule="exact"/>
        <w:rPr>
          <w:rFonts w:ascii="Arial" w:cs="Arial" w:eastAsia="Arial" w:hAnsi="Arial"/>
          <w:sz w:val="16"/>
          <w:szCs w:val="16"/>
          <w:color w:val="auto"/>
        </w:rPr>
      </w:pPr>
    </w:p>
    <w:p>
      <w:pPr>
        <w:ind w:left="540" w:right="980" w:hanging="532"/>
        <w:spacing w:after="0" w:line="332"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152" w:lineRule="exact"/>
        <w:rPr>
          <w:rFonts w:ascii="Arial" w:cs="Arial" w:eastAsia="Arial" w:hAnsi="Arial"/>
          <w:sz w:val="16"/>
          <w:szCs w:val="16"/>
          <w:color w:val="auto"/>
        </w:rPr>
      </w:pPr>
    </w:p>
    <w:p>
      <w:pPr>
        <w:ind w:left="540" w:right="120" w:hanging="532"/>
        <w:spacing w:after="0" w:line="268"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199" w:lineRule="exact"/>
        <w:rPr>
          <w:rFonts w:ascii="Arial" w:cs="Arial" w:eastAsia="Arial" w:hAnsi="Arial"/>
          <w:sz w:val="18"/>
          <w:szCs w:val="18"/>
          <w:color w:val="auto"/>
        </w:rPr>
      </w:pPr>
    </w:p>
    <w:p>
      <w:pPr>
        <w:ind w:left="540" w:right="60" w:hanging="532"/>
        <w:spacing w:after="0" w:line="259"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61" w:name="page62"/>
    <w:bookmarkEnd w:id="61"/>
    <w:p>
      <w:pPr>
        <w:ind w:left="1080" w:right="6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61"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98"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61"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principal of, and any premium or make-whole amount, and interest on, any series of the debt securities will be payable at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18"/>
          <w:szCs w:val="18"/>
          <w:color w:val="auto"/>
        </w:rPr>
        <w:t>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94"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199" w:lineRule="exact"/>
        <w:rPr>
          <w:sz w:val="20"/>
          <w:szCs w:val="20"/>
          <w:color w:val="auto"/>
        </w:rPr>
      </w:pPr>
    </w:p>
    <w:p>
      <w:pPr>
        <w:ind w:left="108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221"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we, nor any trustee, will be required to:</w:t>
      </w:r>
    </w:p>
    <w:p>
      <w:pPr>
        <w:spacing w:after="0" w:line="239" w:lineRule="exact"/>
        <w:rPr>
          <w:sz w:val="20"/>
          <w:szCs w:val="20"/>
          <w:color w:val="auto"/>
        </w:rPr>
      </w:pPr>
    </w:p>
    <w:p>
      <w:pPr>
        <w:ind w:left="1080" w:right="4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207"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199" w:lineRule="exact"/>
        <w:rPr>
          <w:sz w:val="20"/>
          <w:szCs w:val="20"/>
          <w:color w:val="auto"/>
        </w:rPr>
      </w:pPr>
    </w:p>
    <w:p>
      <w:pPr>
        <w:jc w:val="both"/>
        <w:ind w:left="1080" w:right="4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Covenants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591" w:lineRule="exact"/>
        <w:rPr>
          <w:sz w:val="20"/>
          <w:szCs w:val="20"/>
          <w:color w:val="auto"/>
        </w:rPr>
      </w:pPr>
    </w:p>
    <w:p>
      <w:pPr>
        <w:sectPr>
          <w:pgSz w:w="11900" w:h="16838" w:orient="portrait"/>
          <w:cols w:equalWidth="0" w:num="2">
            <w:col w:w="800" w:space="280"/>
            <w:col w:w="10340"/>
          </w:cols>
          <w:pgMar w:left="240" w:top="125" w:right="239" w:bottom="1440" w:gutter="0" w:footer="0" w:header="0"/>
          <w:type w:val="continuous"/>
        </w:sectPr>
      </w:pPr>
    </w:p>
    <w:p>
      <w:pPr>
        <w:spacing w:after="0" w:line="6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i w:val="1"/>
          <w:iCs w:val="1"/>
          <w:color w:val="auto"/>
        </w:rPr>
        <w:t xml:space="preserve">Existence. </w:t>
      </w:r>
      <w:r>
        <w:rPr>
          <w:rFonts w:ascii="Arial" w:cs="Arial" w:eastAsia="Arial" w:hAnsi="Arial"/>
          <w:sz w:val="18"/>
          <w:szCs w:val="18"/>
          <w:color w:val="auto"/>
        </w:rPr>
        <w:t>Except as described under "—Merger, Consolidation or Sale of Assets," the indentures require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Payment of taxes and other claims. </w:t>
      </w:r>
      <w:r>
        <w:rPr>
          <w:rFonts w:ascii="Arial" w:cs="Arial" w:eastAsia="Arial" w:hAnsi="Arial"/>
          <w:sz w:val="18"/>
          <w:szCs w:val="18"/>
          <w:color w:val="auto"/>
        </w:rPr>
        <w:t>The indentures require us to pay, discharge or cause to be paid or discharged, before they become delinquent (i) all</w:t>
      </w:r>
      <w:r>
        <w:rPr>
          <w:rFonts w:ascii="Arial" w:cs="Arial" w:eastAsia="Arial" w:hAnsi="Arial"/>
          <w:sz w:val="18"/>
          <w:szCs w:val="18"/>
          <w:i w:val="1"/>
          <w:iCs w:val="1"/>
          <w:color w:val="auto"/>
        </w:rPr>
        <w:t xml:space="preserve"> </w:t>
      </w:r>
      <w:r>
        <w:rPr>
          <w:rFonts w:ascii="Arial" w:cs="Arial" w:eastAsia="Arial" w:hAnsi="Arial"/>
          <w:sz w:val="18"/>
          <w:szCs w:val="18"/>
          <w:color w:val="auto"/>
        </w:rPr>
        <w:t>taxes, assessments and governmental charges levied or imposed on us, our subsidiaries or our subsidiaries' income, profits or property, and (ii)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Provision of financial information. </w:t>
      </w:r>
      <w:r>
        <w:rPr>
          <w:rFonts w:ascii="Arial" w:cs="Arial" w:eastAsia="Arial" w:hAnsi="Arial"/>
          <w:sz w:val="16"/>
          <w:szCs w:val="16"/>
          <w:color w:val="auto"/>
        </w:rPr>
        <w:t>The indentures require us to (i) within 15 days of each of the respective dates by which we are required to file our</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 (ii) above, and (iv) supply, promptly upon written request and payment of the reasonable cost of duplication and delivery, copies of such documents to any prospective holder.</w:t>
      </w:r>
    </w:p>
    <w:p>
      <w:pPr>
        <w:spacing w:after="0" w:line="172"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Additional covenants.</w:t>
      </w:r>
      <w:r>
        <w:rPr>
          <w:sz w:val="20"/>
          <w:szCs w:val="20"/>
          <w:color w:val="auto"/>
        </w:rPr>
        <w:tab/>
      </w:r>
      <w:r>
        <w:rPr>
          <w:rFonts w:ascii="Arial" w:cs="Arial" w:eastAsia="Arial" w:hAnsi="Arial"/>
          <w:sz w:val="15"/>
          <w:szCs w:val="15"/>
          <w:color w:val="auto"/>
        </w:rPr>
        <w:t>The applicable prospectus supplement will set forth any additional covenants relating to any series of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19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for five business days at its stated maturity;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for five business days;</w:t>
      </w:r>
    </w:p>
    <w:p>
      <w:pPr>
        <w:spacing w:after="0" w:line="238"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221"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 (i) having an aggregate principal amount of at least $30,000,000; or (ii) under which there may be issued, secured or evidenced any existing or later created indebtedness for money borrowed by us or our subsidiaries, if we are directly responsible or liable as obligor or guarantor,</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183"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bankruptcy, insolvency or reorganization, or court appointment of a receiver, liquidator or trustee of us or any significant subsidiary of ours;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When we use the term "significant subsidiary," we refer to the meaning ascribed to such term in Rule 1-02 of Regulation S-X promulgated under the Securities Act.</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99" w:lineRule="exact"/>
        <w:rPr>
          <w:sz w:val="20"/>
          <w:szCs w:val="20"/>
          <w:color w:val="auto"/>
        </w:rPr>
      </w:pPr>
    </w:p>
    <w:p>
      <w:pPr>
        <w:ind w:left="1080" w:right="10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65" w:name="page66"/>
    <w:bookmarkEnd w:id="65"/>
    <w:p>
      <w:pPr>
        <w:ind w:left="10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221"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70"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97"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w:t>
      </w:r>
    </w:p>
    <w:p>
      <w:pPr>
        <w:spacing w:after="0" w:line="208" w:lineRule="exact"/>
        <w:rPr>
          <w:sz w:val="20"/>
          <w:szCs w:val="20"/>
          <w:color w:val="auto"/>
        </w:rPr>
      </w:pPr>
    </w:p>
    <w:p>
      <w:pPr>
        <w:ind w:left="1080" w:right="3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199" w:lineRule="exact"/>
        <w:rPr>
          <w:rFonts w:ascii="Arial" w:cs="Arial" w:eastAsia="Arial" w:hAnsi="Arial"/>
          <w:sz w:val="18"/>
          <w:szCs w:val="18"/>
          <w:color w:val="auto"/>
        </w:rPr>
      </w:pPr>
    </w:p>
    <w:p>
      <w:pPr>
        <w:ind w:left="1080" w:right="620" w:hanging="532"/>
        <w:spacing w:after="0" w:line="370" w:lineRule="auto"/>
        <w:tabs>
          <w:tab w:leader="none" w:pos="10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129" w:lineRule="exact"/>
        <w:rPr>
          <w:rFonts w:ascii="Arial" w:cs="Arial" w:eastAsia="Arial" w:hAnsi="Arial"/>
          <w:sz w:val="15"/>
          <w:szCs w:val="15"/>
          <w:color w:val="auto"/>
        </w:rPr>
      </w:pPr>
    </w:p>
    <w:p>
      <w:pPr>
        <w:ind w:left="1080" w:right="14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207"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94"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3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213"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252" w:lineRule="exact"/>
        <w:rPr>
          <w:rFonts w:ascii="Arial" w:cs="Arial" w:eastAsia="Arial" w:hAnsi="Arial"/>
          <w:sz w:val="18"/>
          <w:szCs w:val="18"/>
          <w:color w:val="auto"/>
        </w:rPr>
      </w:pPr>
    </w:p>
    <w:p>
      <w:pPr>
        <w:jc w:val="both"/>
        <w:ind w:left="1080" w:right="160" w:hanging="532"/>
        <w:spacing w:after="0" w:line="306"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uncertificated form, provided that such action shall not adversely affect the interests of the holders of the debt securities of any series in any material respect;</w:t>
      </w:r>
    </w:p>
    <w:p>
      <w:pPr>
        <w:spacing w:after="0" w:line="174"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199" w:lineRule="exact"/>
        <w:rPr>
          <w:rFonts w:ascii="Arial" w:cs="Arial" w:eastAsia="Arial" w:hAnsi="Arial"/>
          <w:sz w:val="18"/>
          <w:szCs w:val="18"/>
          <w:color w:val="auto"/>
        </w:rPr>
      </w:pPr>
    </w:p>
    <w:p>
      <w:pPr>
        <w:ind w:left="1080" w:right="240" w:hanging="532"/>
        <w:spacing w:after="0" w:line="370" w:lineRule="auto"/>
        <w:tabs>
          <w:tab w:leader="none" w:pos="10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143" w:lineRule="exact"/>
        <w:rPr>
          <w:sz w:val="20"/>
          <w:szCs w:val="20"/>
          <w:color w:val="auto"/>
        </w:rPr>
      </w:pPr>
    </w:p>
    <w:p>
      <w:pPr>
        <w:ind w:left="1080" w:right="14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52" w:lineRule="exact"/>
        <w:rPr>
          <w:rFonts w:ascii="Arial" w:cs="Arial" w:eastAsia="Arial" w:hAnsi="Arial"/>
          <w:sz w:val="16"/>
          <w:szCs w:val="16"/>
          <w:color w:val="auto"/>
        </w:rPr>
      </w:pPr>
    </w:p>
    <w:p>
      <w:pPr>
        <w:jc w:val="both"/>
        <w:ind w:left="1080" w:right="300" w:hanging="532"/>
        <w:spacing w:after="0" w:line="335" w:lineRule="auto"/>
        <w:tabs>
          <w:tab w:leader="none" w:pos="10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155"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debt securities owned by us or any other obligor upon the debt securities or by any affiliate of ours or of such other obligor shall be disregarded.</w:t>
      </w:r>
    </w:p>
    <w:p>
      <w:pPr>
        <w:spacing w:after="0" w:line="24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98"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68" w:name="page69"/>
    <w:bookmarkEnd w:id="68"/>
    <w:p>
      <w:pPr>
        <w:ind w:firstLine="341"/>
        <w:spacing w:after="0" w:line="298" w:lineRule="auto"/>
        <w:rPr>
          <w:sz w:val="20"/>
          <w:szCs w:val="20"/>
          <w:color w:val="auto"/>
        </w:rPr>
      </w:pPr>
      <w:r>
        <w:rPr>
          <w:rFonts w:ascii="Arial" w:cs="Arial" w:eastAsia="Arial" w:hAnsi="Arial"/>
          <w:sz w:val="16"/>
          <w:szCs w:val="16"/>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67"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156"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25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provided in the applicable prospectus supplement, subordinated debt securities will be subject to the following subordination provisions.</w:t>
      </w:r>
    </w:p>
    <w:p>
      <w:pPr>
        <w:spacing w:after="0" w:line="24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and our subsidiaries. As a result of these subordination provisions, in the event of a distribution of assets upon insolvency, holders of subordinated debt securities may recover less, ratably, than our general creditors.</w:t>
      </w:r>
    </w:p>
    <w:p>
      <w:pPr>
        <w:spacing w:after="0" w:line="17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199" w:lineRule="exact"/>
        <w:rPr>
          <w:sz w:val="20"/>
          <w:szCs w:val="20"/>
          <w:color w:val="auto"/>
        </w:rPr>
      </w:pPr>
    </w:p>
    <w:p>
      <w:pPr>
        <w:ind w:left="1080" w:hanging="532"/>
        <w:spacing w:after="0" w:line="25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22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183"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252"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94"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0" w:name="page71"/>
    <w:bookmarkEnd w:id="70"/>
    <w:p>
      <w:pPr>
        <w:ind w:left="360"/>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239" w:lineRule="exact"/>
        <w:rPr>
          <w:sz w:val="20"/>
          <w:szCs w:val="20"/>
          <w:color w:val="auto"/>
        </w:rPr>
      </w:pPr>
    </w:p>
    <w:p>
      <w:pPr>
        <w:ind w:left="1080" w:right="3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212" w:lineRule="exact"/>
        <w:rPr>
          <w:rFonts w:ascii="Arial" w:cs="Arial" w:eastAsia="Arial" w:hAnsi="Arial"/>
          <w:sz w:val="18"/>
          <w:szCs w:val="18"/>
          <w:color w:val="auto"/>
        </w:rPr>
      </w:pPr>
    </w:p>
    <w:p>
      <w:pPr>
        <w:ind w:left="1080" w:right="60" w:hanging="532"/>
        <w:spacing w:after="0" w:line="289"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239" w:lineRule="exact"/>
        <w:rPr>
          <w:sz w:val="20"/>
          <w:szCs w:val="20"/>
          <w:color w:val="auto"/>
        </w:rPr>
      </w:pPr>
    </w:p>
    <w:p>
      <w:pPr>
        <w:ind w:left="1080" w:right="660" w:hanging="532"/>
        <w:spacing w:after="0" w:line="33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3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the event that (i) we effect covenant defeasance with respect to any debt securities and (ii)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default. However, the issuing company would remain liable to make payments of any amounts due at the time of acceleration.</w:t>
      </w:r>
    </w:p>
    <w:p>
      <w:pPr>
        <w:spacing w:after="0" w:line="225"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Recourse</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jc w:val="center"/>
        <w:ind w:right="40"/>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applicable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54"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9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39"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31" w:lineRule="exact"/>
        <w:rPr>
          <w:sz w:val="20"/>
          <w:szCs w:val="20"/>
          <w:color w:val="auto"/>
        </w:rPr>
      </w:pPr>
    </w:p>
    <w:p>
      <w:pPr>
        <w:ind w:right="540" w:firstLine="351"/>
        <w:spacing w:after="0" w:line="306" w:lineRule="auto"/>
        <w:rPr>
          <w:sz w:val="20"/>
          <w:szCs w:val="20"/>
          <w:color w:val="auto"/>
        </w:rPr>
      </w:pPr>
      <w:r>
        <w:rPr>
          <w:rFonts w:ascii="Arial" w:cs="Arial" w:eastAsia="Arial" w:hAnsi="Arial"/>
          <w:sz w:val="16"/>
          <w:szCs w:val="16"/>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ind w:right="40"/>
        <w:spacing w:after="0" w:line="306" w:lineRule="auto"/>
        <w:rPr>
          <w:sz w:val="20"/>
          <w:szCs w:val="20"/>
          <w:color w:val="auto"/>
        </w:rPr>
      </w:pPr>
      <w:r>
        <w:rPr>
          <w:rFonts w:ascii="Arial" w:cs="Arial" w:eastAsia="Arial" w:hAnsi="Arial"/>
          <w:sz w:val="16"/>
          <w:szCs w:val="16"/>
          <w:color w:val="auto"/>
        </w:rPr>
        <w:t>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74" w:lineRule="exact"/>
        <w:rPr>
          <w:sz w:val="20"/>
          <w:szCs w:val="20"/>
          <w:color w:val="auto"/>
        </w:rPr>
      </w:pPr>
    </w:p>
    <w:p>
      <w:pPr>
        <w:ind w:right="480" w:firstLine="341"/>
        <w:spacing w:after="0" w:line="306" w:lineRule="auto"/>
        <w:rPr>
          <w:sz w:val="20"/>
          <w:szCs w:val="20"/>
          <w:color w:val="auto"/>
        </w:rPr>
      </w:pPr>
      <w:r>
        <w:rPr>
          <w:rFonts w:ascii="Arial" w:cs="Arial" w:eastAsia="Arial" w:hAnsi="Arial"/>
          <w:sz w:val="16"/>
          <w:szCs w:val="16"/>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Preferred Stock</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3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211"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18"/>
          <w:szCs w:val="18"/>
          <w:b w:val="1"/>
          <w:bCs w:val="1"/>
          <w:color w:val="auto"/>
        </w:rPr>
        <w:t>DESCRIPTION OF PURCHASE CONTRACTS AND PURCHASE UNITS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issue purchase contracts, including contracts obligating holders to purchase from or sell to us, and obligating us to sell to or purchase from the holders, a specified number of shares of our common stock, preferred stock or depositary shares at a future date or dates, which we refer to in this prospectus as purchase contracts. The price per share of common stock, preferred stock or depositary shares and the number of shares of each may be fixed at the time the purchase contracts are issued or may be determined by reference to a specific formula set forth in the purchase contracts. The purchase contracts may be issued separately or as part of units, often known as purchase units, consisting of one or more purchase contracts and beneficial interests in debt securities or any other securities described in the applicable prospectus supplement or any combination of the foregoing, securing the holders' obligations to purchase the common stock, preferred stock or depositary shares under the purchase contracts.</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purchase contracts may require us to make periodic payments to the holders of the purchase units or vice versa, and these payments may be unsecured or prefunded on some basis. The purchase contracts may require holders to secure their obligations under those contracts in a specified manner, including pledging their interest in another purchase contract.</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applicable prospectus supplement will describe the terms of the purchase contracts and purchase units, including, if applicable, collateral or depositary arrangements.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may issue warrants to purchase debt securities, common stock, preferred stock or depositary shares. We may offer warrants separately or together with one or more additional warrants, debt securities, common stock, preferred stock or depositary shares,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210"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proposed listing, if any, of the warrants or any securities purchasable upon exercise of the warrants on any securities exchange;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designation, aggregate principal amount, currency and terms of any debt securities that may be purchased upon exercise of the warrants;</w:t>
      </w:r>
    </w:p>
    <w:p>
      <w:pPr>
        <w:spacing w:after="0" w:line="275"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common stock, preferred stock or depositary shares with which the warrants are issued and, the number of warrants issued with each security;</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common stock, preferred stock or depositary shares will be separately transferable;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shares of common stock, the number of shares of preferred stock or the number of depositary shares purchasable upon exercise of a warrant and the price at which those shares may be purchased;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8"/>
          <w:szCs w:val="18"/>
          <w:b w:val="1"/>
          <w:bCs w:val="1"/>
          <w:color w:val="auto"/>
        </w:rPr>
        <w:t>FORMS OF SECURITIES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Each debt security, depositary share, purchase contract, purchase unit and warrant will be represented either by a certificate issued in definitive form to a particular investor or by one or more global securities representing the entire issuance of securities. Unless otherwise provided in the applicable prospectus supplement,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purchase contracts, purchase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may issue the registered debt securities, depositary shares, purchase contracts, purchase units and warrants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72"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deposit agreement, purchase contract, warrant agreement or purchase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deposit agreement,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8" w:name="page79"/>
    <w:bookmarkEnd w:id="78"/>
    <w:p>
      <w:pPr>
        <w:spacing w:after="0" w:line="289" w:lineRule="auto"/>
        <w:rPr>
          <w:sz w:val="20"/>
          <w:szCs w:val="20"/>
          <w:color w:val="auto"/>
        </w:rPr>
      </w:pPr>
      <w:r>
        <w:rPr>
          <w:rFonts w:ascii="Arial" w:cs="Arial" w:eastAsia="Arial" w:hAnsi="Arial"/>
          <w:sz w:val="16"/>
          <w:szCs w:val="16"/>
          <w:color w:val="auto"/>
        </w:rPr>
        <w:t>purchase contract, purchase unit agreement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deposit agreement, purchase contract, purchase unit agreement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deposit agreement, purchase contract, purchase unit agreement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depositary shares, warrants, purchase agreements or purchase units, represented by a registered global security registered in the name of a depositary or its nominee will be made to the depositary or its nominee, as the case may be, as the registered owner of the registered global security. None of us, the trustees, the warrant agents, the unit agents or any other agent of ours,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74"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If the depositary for any of the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securities:</w:t>
      </w:r>
    </w:p>
    <w:p>
      <w:pPr>
        <w:spacing w:after="0" w:line="239"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directly to one or more other purchasers in negotiated sales or competitively bid transactions;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239"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213"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80" w:name="page81"/>
    <w:bookmarkEnd w:id="80"/>
    <w:p>
      <w:pPr>
        <w:ind w:right="140"/>
        <w:spacing w:after="0" w:line="268" w:lineRule="auto"/>
        <w:rPr>
          <w:sz w:val="20"/>
          <w:szCs w:val="20"/>
          <w:color w:val="auto"/>
        </w:rPr>
      </w:pPr>
      <w:r>
        <w:rPr>
          <w:rFonts w:ascii="Arial" w:cs="Arial" w:eastAsia="Arial" w:hAnsi="Arial"/>
          <w:sz w:val="18"/>
          <w:szCs w:val="18"/>
          <w:color w:val="auto"/>
        </w:rPr>
        <w:t>the time of sale to them, and we will set forth in the prospectus supplement relating to such offering the names of the underwriters or agents and the terms of the related agreement with them.</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9"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6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8" w:lineRule="exact"/>
        <w:rPr>
          <w:sz w:val="20"/>
          <w:szCs w:val="20"/>
          <w:color w:val="auto"/>
        </w:rPr>
      </w:pPr>
    </w:p>
    <w:p>
      <w:pPr>
        <w:ind w:left="1080" w:right="40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4"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1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ind w:firstLine="351"/>
        <w:spacing w:after="0" w:line="294"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7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Goodwin Procter LLP.</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consolidated financial statements of Blueprint Medicines Corporation appearing in Blueprint Medicines Corporation's Annual Report on Form 10-K for the year ended December 31, 2016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220"/>
        <w:spacing w:after="0"/>
        <w:rPr>
          <w:sz w:val="20"/>
          <w:szCs w:val="20"/>
          <w:color w:val="auto"/>
        </w:rPr>
      </w:pPr>
      <w:r>
        <w:rPr>
          <w:rFonts w:ascii="Arial" w:cs="Arial" w:eastAsia="Arial" w:hAnsi="Arial"/>
          <w:sz w:val="24"/>
          <w:szCs w:val="24"/>
          <w:color w:val="auto"/>
        </w:rPr>
        <w:t>3,703,704 Shares</w:t>
      </w:r>
    </w:p>
    <w:p>
      <w:pPr>
        <w:spacing w:after="0" w:line="191"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Blueprint Medicines Corporation</w:t>
      </w:r>
    </w:p>
    <w:p>
      <w:pPr>
        <w:spacing w:after="0" w:line="259"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144780</wp:posOffset>
            </wp:positionV>
            <wp:extent cx="3636010" cy="13462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3601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20"/>
        <w:spacing w:after="0"/>
        <w:rPr>
          <w:sz w:val="20"/>
          <w:szCs w:val="20"/>
          <w:color w:val="auto"/>
        </w:rPr>
      </w:pPr>
      <w:r>
        <w:rPr>
          <w:rFonts w:ascii="Arial" w:cs="Arial" w:eastAsia="Arial" w:hAnsi="Arial"/>
          <w:sz w:val="24"/>
          <w:szCs w:val="24"/>
          <w:b w:val="1"/>
          <w:bCs w:val="1"/>
          <w:color w:val="auto"/>
        </w:rPr>
        <w:t>PROSPECTUS SUPPLEMENT</w:t>
      </w:r>
    </w:p>
    <w:p>
      <w:pPr>
        <w:spacing w:after="0" w:line="239" w:lineRule="exact"/>
        <w:rPr>
          <w:sz w:val="20"/>
          <w:szCs w:val="20"/>
          <w:color w:val="auto"/>
        </w:rPr>
      </w:pPr>
    </w:p>
    <w:p>
      <w:pPr>
        <w:jc w:val="right"/>
        <w:ind w:right="1059"/>
        <w:spacing w:after="0"/>
        <w:tabs>
          <w:tab w:leader="none" w:pos="4080" w:val="left"/>
          <w:tab w:leader="none" w:pos="560" w:val="left"/>
        </w:tabs>
        <w:rPr>
          <w:sz w:val="20"/>
          <w:szCs w:val="20"/>
          <w:color w:val="auto"/>
        </w:rPr>
      </w:pPr>
      <w:r>
        <w:rPr>
          <w:rFonts w:ascii="Arial" w:cs="Arial" w:eastAsia="Arial" w:hAnsi="Arial"/>
          <w:sz w:val="18"/>
          <w:szCs w:val="18"/>
          <w:b w:val="1"/>
          <w:bCs w:val="1"/>
          <w:color w:val="auto"/>
        </w:rPr>
        <w:t>Goldman Sachs &amp; Co. LLC</w:t>
      </w:r>
      <w:r>
        <w:rPr>
          <w:sz w:val="20"/>
          <w:szCs w:val="20"/>
          <w:color w:val="auto"/>
        </w:rPr>
        <w:tab/>
      </w:r>
      <w:r>
        <w:rPr>
          <w:rFonts w:ascii="Arial" w:cs="Arial" w:eastAsia="Arial" w:hAnsi="Arial"/>
          <w:sz w:val="18"/>
          <w:szCs w:val="18"/>
          <w:b w:val="1"/>
          <w:bCs w:val="1"/>
          <w:color w:val="auto"/>
        </w:rPr>
        <w:t>Morgan Stanley</w:t>
      </w:r>
      <w:r>
        <w:rPr>
          <w:sz w:val="20"/>
          <w:szCs w:val="20"/>
          <w:color w:val="auto"/>
        </w:rPr>
        <w:tab/>
      </w:r>
      <w:r>
        <w:rPr>
          <w:rFonts w:ascii="Arial" w:cs="Arial" w:eastAsia="Arial" w:hAnsi="Arial"/>
          <w:sz w:val="16"/>
          <w:szCs w:val="16"/>
          <w:b w:val="1"/>
          <w:bCs w:val="1"/>
          <w:color w:val="auto"/>
        </w:rPr>
        <w:t>Cowen</w:t>
      </w:r>
    </w:p>
    <w:p>
      <w:pPr>
        <w:spacing w:after="0" w:line="239"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Canaccord Genuity</w:t>
      </w:r>
    </w:p>
    <w:p>
      <w:pPr>
        <w:spacing w:after="0" w:line="23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December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decimal"/>
      <w:start w:val="1"/>
    </w:lvl>
  </w:abstractNum>
  <w:abstractNum w:abstractNumId="1">
    <w:nsid w:val="3006C83E"/>
    <w:multiLevelType w:val="hybridMultilevel"/>
    <w:lvl w:ilvl="0">
      <w:lvlJc w:val="left"/>
      <w:lvlText w:val="(%1)"/>
      <w:numFmt w:val="decimal"/>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1."/>
      <w:numFmt w:val="decimal"/>
      <w:start w:val="2"/>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lvl w:ilvl="1">
      <w:lvlJc w:val="left"/>
      <w:lvlText w:val="•"/>
      <w:numFmt w:val="bullet"/>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lvl w:ilvl="1">
      <w:lvlJc w:val="left"/>
      <w:lvlText w:val="(%2)"/>
      <w:numFmt w:val="lowerRoman"/>
      <w:start w:val="2"/>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2019-12-07T22:00:56Z</dcterms:created>
  <dcterms:modified xsi:type="dcterms:W3CDTF">2019-12-07T22:00:56Z</dcterms:modified>
</cp:coreProperties>
</file>