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143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1436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2"/>
            <w:vMerge w:val="restart"/>
          </w:tcPr>
          <w:p>
            <w:pPr>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Haviland Kate</w:t>
              </w:r>
            </w:hyperlink>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20" w:type="dxa"/>
            <w:vAlign w:val="bottom"/>
            <w:gridSpan w:val="3"/>
          </w:tcPr>
          <w:p>
            <w:pPr>
              <w:ind w:left="160"/>
              <w:spacing w:after="0"/>
              <w:rPr>
                <w:sz w:val="20"/>
                <w:szCs w:val="20"/>
                <w:color w:val="auto"/>
              </w:rPr>
            </w:pPr>
            <w:r>
              <w:rPr>
                <w:rFonts w:ascii="Arial" w:cs="Arial" w:eastAsia="Arial" w:hAnsi="Arial"/>
                <w:sz w:val="17"/>
                <w:szCs w:val="17"/>
                <w:color w:val="0000FF"/>
              </w:rPr>
              <w:t>09/13/2021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77"/>
        <w:spacing w:after="0"/>
        <w:rPr>
          <w:sz w:val="20"/>
          <w:szCs w:val="20"/>
          <w:color w:val="auto"/>
        </w:rPr>
      </w:pPr>
      <w:r>
        <w:rPr>
          <w:rFonts w:ascii="Arial" w:cs="Arial" w:eastAsia="Arial" w:hAnsi="Arial"/>
          <w:sz w:val="17"/>
          <w:szCs w:val="17"/>
          <w:color w:val="0000FF"/>
        </w:rPr>
        <w:t>Chief Operating Officer</w:t>
      </w:r>
    </w:p>
    <w:p>
      <w:pPr>
        <w:spacing w:after="0" w:line="390" w:lineRule="exact"/>
        <w:rPr>
          <w:sz w:val="20"/>
          <w:szCs w:val="20"/>
          <w:color w:val="auto"/>
        </w:rPr>
      </w:pPr>
    </w:p>
    <w:p>
      <w:pPr>
        <w:sectPr>
          <w:pgSz w:w="11900" w:h="16838" w:orient="portrait"/>
          <w:cols w:equalWidth="0" w:num="2">
            <w:col w:w="7680" w:space="63"/>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20" w:type="dxa"/>
            <w:vAlign w:val="bottom"/>
          </w:tcPr>
          <w:p>
            <w:pPr>
              <w:spacing w:after="0"/>
              <w:rPr>
                <w:sz w:val="14"/>
                <w:szCs w:val="14"/>
                <w:color w:val="auto"/>
              </w:rPr>
            </w:pPr>
          </w:p>
        </w:tc>
        <w:tc>
          <w:tcPr>
            <w:tcW w:w="3660" w:type="dxa"/>
            <w:vAlign w:val="bottom"/>
            <w:gridSpan w:val="9"/>
          </w:tcPr>
          <w:p>
            <w:pPr>
              <w:ind w:left="3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6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jc w:val="center"/>
              <w:ind w:left="52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9"/>
              </w:rPr>
              <w:t>09/13/2021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89"/>
              </w:rPr>
              <w:t>1,000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36.05</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54,948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9"/>
              </w:rPr>
              <w:t>09/13/2021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1"/>
              </w:rPr>
              <w:t>286</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101.11</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54,662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9"/>
              </w:rPr>
              <w:t>09/13/2021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1"/>
              </w:rPr>
              <w:t>261</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99.98</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54,401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9"/>
              </w:rPr>
              <w:t>09/13/2021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1"/>
              </w:rPr>
              <w:t>417</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99.25</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53,984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9"/>
              </w:rPr>
              <w:t>09/13/2021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4"/>
              </w:rPr>
              <w:t>28</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98.41</w:t>
            </w:r>
            <w:r>
              <w:rPr>
                <w:rFonts w:ascii="Arial" w:cs="Arial" w:eastAsia="Arial" w:hAnsi="Arial"/>
                <w:sz w:val="21"/>
                <w:szCs w:val="21"/>
                <w:color w:val="008000"/>
                <w:w w:val="86"/>
                <w:vertAlign w:val="superscript"/>
              </w:rPr>
              <w:t>(5)</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53,956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9"/>
              </w:rPr>
              <w:t>09/13/2021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rPr>
              <w:t>8</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97.62</w:t>
            </w:r>
            <w:r>
              <w:rPr>
                <w:rFonts w:ascii="Arial" w:cs="Arial" w:eastAsia="Arial" w:hAnsi="Arial"/>
                <w:sz w:val="21"/>
                <w:szCs w:val="21"/>
                <w:color w:val="008000"/>
                <w:w w:val="86"/>
                <w:vertAlign w:val="superscript"/>
              </w:rPr>
              <w:t>(6)</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53,948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1"/>
          </w:tcPr>
          <w:p>
            <w:pPr>
              <w:jc w:val="center"/>
              <w:ind w:left="32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36.05</w:t>
            </w:r>
          </w:p>
        </w:tc>
        <w:tc>
          <w:tcPr>
            <w:tcW w:w="1040" w:type="dxa"/>
            <w:vAlign w:val="bottom"/>
          </w:tcPr>
          <w:p>
            <w:pPr>
              <w:jc w:val="right"/>
              <w:ind w:right="132"/>
              <w:spacing w:after="0"/>
              <w:rPr>
                <w:sz w:val="20"/>
                <w:szCs w:val="20"/>
                <w:color w:val="auto"/>
              </w:rPr>
            </w:pPr>
            <w:r>
              <w:rPr>
                <w:rFonts w:ascii="Arial" w:cs="Arial" w:eastAsia="Arial" w:hAnsi="Arial"/>
                <w:sz w:val="13"/>
                <w:szCs w:val="13"/>
                <w:color w:val="0000FF"/>
              </w:rPr>
              <w:t>09/13/2021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0000FF"/>
              </w:rPr>
              <w:t>1,000</w:t>
            </w:r>
          </w:p>
        </w:tc>
        <w:tc>
          <w:tcPr>
            <w:tcW w:w="760" w:type="dxa"/>
            <w:vAlign w:val="bottom"/>
          </w:tcPr>
          <w:p>
            <w:pPr>
              <w:ind w:left="280"/>
              <w:spacing w:after="0"/>
              <w:rPr>
                <w:sz w:val="20"/>
                <w:szCs w:val="20"/>
                <w:color w:val="auto"/>
              </w:rPr>
            </w:pPr>
            <w:r>
              <w:rPr>
                <w:rFonts w:ascii="Arial" w:cs="Arial" w:eastAsia="Arial" w:hAnsi="Arial"/>
                <w:sz w:val="11"/>
                <w:szCs w:val="11"/>
                <w:color w:val="008000"/>
              </w:rPr>
              <w:t>(7)</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02/16/2027</w:t>
            </w: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20" w:type="dxa"/>
            <w:vAlign w:val="bottom"/>
          </w:tcPr>
          <w:p>
            <w:pPr>
              <w:spacing w:after="0"/>
              <w:rPr>
                <w:sz w:val="16"/>
                <w:szCs w:val="16"/>
                <w:color w:val="auto"/>
              </w:rPr>
            </w:pP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1,000</w:t>
            </w: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rPr>
                <w:sz w:val="20"/>
                <w:szCs w:val="20"/>
                <w:color w:val="auto"/>
              </w:rPr>
            </w:pPr>
            <w:r>
              <w:rPr>
                <w:rFonts w:ascii="Arial" w:cs="Arial" w:eastAsia="Arial" w:hAnsi="Arial"/>
                <w:sz w:val="13"/>
                <w:szCs w:val="13"/>
                <w:color w:val="0000FF"/>
                <w:w w:val="92"/>
              </w:rPr>
              <w:t>1,591</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center"/>
              <w:spacing w:after="0" w:line="105" w:lineRule="exact"/>
              <w:rPr>
                <w:sz w:val="20"/>
                <w:szCs w:val="20"/>
                <w:color w:val="auto"/>
              </w:rPr>
            </w:pPr>
            <w:r>
              <w:rPr>
                <w:rFonts w:ascii="Arial" w:cs="Arial" w:eastAsia="Arial" w:hAnsi="Arial"/>
                <w:sz w:val="12"/>
                <w:szCs w:val="12"/>
                <w:color w:val="0000FF"/>
                <w:w w:val="99"/>
              </w:rPr>
              <w:t>Stock</w:t>
            </w: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January 12, 2021 pursuant to Rule 10b5-1 under the Securities Exchange Act of 1934, as amended.</w:t>
      </w:r>
    </w:p>
    <w:p>
      <w:pPr>
        <w:spacing w:after="0" w:line="45" w:lineRule="exact"/>
        <w:rPr>
          <w:rFonts w:ascii="Arial" w:cs="Arial" w:eastAsia="Arial" w:hAnsi="Arial"/>
          <w:sz w:val="13"/>
          <w:szCs w:val="13"/>
          <w:color w:val="008000"/>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$100.71 to $101.69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(6) in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$99.70 to $100.67 per share.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$98.70 to $99.67 per share.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$97.735 to $98.67 per share.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$97.61 to $97.66 per share.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16, 2017 and is fully vested as of the date hereof.</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Ariel Hurley,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09/15/2021</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2021-09-15T15:35:33Z</dcterms:created>
  <dcterms:modified xsi:type="dcterms:W3CDTF">2021-09-15T15:35:33Z</dcterms:modified>
</cp:coreProperties>
</file>