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229870</wp:posOffset>
            </wp:positionV>
            <wp:extent cx="14662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160"/>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223520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8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7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2920" w:space="720"/>
            <w:col w:w="2760" w:space="720"/>
            <w:col w:w="2120"/>
          </w:cols>
          <w:pgMar w:left="1320" w:top="206" w:right="1339" w:bottom="1440" w:gutter="0" w:footer="0" w:header="0"/>
          <w:type w:val="continuous"/>
        </w:sectPr>
      </w:pPr>
    </w:p>
    <w:p>
      <w:pPr>
        <w:spacing w:after="0" w:line="372"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8"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880" w:space="720"/>
            <w:col w:w="2640"/>
          </w:cols>
          <w:pgMar w:left="1320" w:top="206" w:right="1339" w:bottom="1440" w:gutter="0" w:footer="0" w:header="0"/>
          <w:type w:val="continuous"/>
        </w:sect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220980</wp:posOffset>
            </wp:positionV>
            <wp:extent cx="1466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440" w:hanging="801"/>
        <w:spacing w:after="0"/>
        <w:tabs>
          <w:tab w:leader="none" w:pos="1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280" w:right="60" w:hanging="641"/>
        <w:spacing w:after="0" w:line="249"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ind w:left="1280" w:right="100" w:hanging="641"/>
        <w:spacing w:after="0" w:line="261" w:lineRule="auto"/>
        <w:tabs>
          <w:tab w:leader="none" w:pos="14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417195</wp:posOffset>
            </wp:positionV>
            <wp:extent cx="589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1530" cy="17145"/>
                    </a:xfrm>
                    <a:prstGeom prst="rect">
                      <a:avLst/>
                    </a:prstGeom>
                    <a:noFill/>
                  </pic:spPr>
                </pic:pic>
              </a:graphicData>
            </a:graphic>
          </wp:anchor>
        </w:drawing>
      </w:r>
    </w:p>
    <w:p>
      <w:pPr>
        <w:sectPr>
          <w:pgSz w:w="11900" w:h="16838" w:orient="portrait"/>
          <w:cols w:equalWidth="0" w:num="1">
            <w:col w:w="9240"/>
          </w:cols>
          <w:pgMar w:left="1320" w:top="206" w:right="1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Blueprint Medicines Corporation (the “Company”) held its annual meeting of stockholders on June 21, 2016. The following is a summary of the matters voted on at the meeting.</w:t>
      </w:r>
    </w:p>
    <w:p>
      <w:pPr>
        <w:spacing w:after="0" w:line="62" w:lineRule="exact"/>
        <w:rPr>
          <w:sz w:val="20"/>
          <w:szCs w:val="20"/>
          <w:color w:val="auto"/>
        </w:rPr>
      </w:pPr>
    </w:p>
    <w:p>
      <w:pPr>
        <w:ind w:left="780" w:right="140" w:hanging="134"/>
        <w:spacing w:after="0" w:line="259" w:lineRule="auto"/>
        <w:rPr>
          <w:sz w:val="20"/>
          <w:szCs w:val="20"/>
          <w:color w:val="auto"/>
        </w:rPr>
      </w:pPr>
      <w:r>
        <w:rPr>
          <w:rFonts w:ascii="Arial" w:cs="Arial" w:eastAsia="Arial" w:hAnsi="Arial"/>
          <w:sz w:val="18"/>
          <w:szCs w:val="18"/>
          <w:color w:val="auto"/>
        </w:rPr>
        <w:t>1.The Company’s stockholders elected Jeffrey W. Albers, Mark Goldberg, M.D. and Nicholas Lydon, Ph.D. as Class I directors, each to serve until the 2019 annual meeting of stockholders and until his successor has been duly elected and qualified. The results of the stockholders’ vote with respect to the election of such Class I directors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2380" w:type="dxa"/>
            <w:vAlign w:val="bottom"/>
            <w:gridSpan w:val="2"/>
          </w:tcPr>
          <w:p>
            <w:pPr>
              <w:ind w:left="840"/>
              <w:spacing w:after="0"/>
              <w:rPr>
                <w:sz w:val="20"/>
                <w:szCs w:val="20"/>
                <w:color w:val="auto"/>
              </w:rPr>
            </w:pPr>
            <w:r>
              <w:rPr>
                <w:rFonts w:ascii="Arial" w:cs="Arial" w:eastAsia="Arial" w:hAnsi="Arial"/>
                <w:sz w:val="18"/>
                <w:szCs w:val="18"/>
                <w:b w:val="1"/>
                <w:bCs w:val="1"/>
                <w:color w:val="auto"/>
              </w:rPr>
              <w:t>For</w:t>
            </w:r>
          </w:p>
        </w:tc>
        <w:tc>
          <w:tcPr>
            <w:tcW w:w="2420" w:type="dxa"/>
            <w:vAlign w:val="bottom"/>
            <w:gridSpan w:val="2"/>
          </w:tcPr>
          <w:p>
            <w:pPr>
              <w:ind w:left="600"/>
              <w:spacing w:after="0"/>
              <w:rPr>
                <w:sz w:val="20"/>
                <w:szCs w:val="20"/>
                <w:color w:val="auto"/>
              </w:rPr>
            </w:pPr>
            <w:r>
              <w:rPr>
                <w:rFonts w:ascii="Arial" w:cs="Arial" w:eastAsia="Arial" w:hAnsi="Arial"/>
                <w:sz w:val="18"/>
                <w:szCs w:val="18"/>
                <w:b w:val="1"/>
                <w:bCs w:val="1"/>
                <w:color w:val="auto"/>
              </w:rPr>
              <w:t>Withheld</w:t>
            </w:r>
          </w:p>
        </w:tc>
        <w:tc>
          <w:tcPr>
            <w:tcW w:w="1940" w:type="dxa"/>
            <w:vAlign w:val="bottom"/>
          </w:tcPr>
          <w:p>
            <w:pPr>
              <w:jc w:val="right"/>
              <w:ind w:right="19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216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3"/>
        </w:trPr>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Jeffrey W. Albers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17,565,028</w:t>
            </w:r>
          </w:p>
        </w:tc>
        <w:tc>
          <w:tcPr>
            <w:tcW w:w="4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3,862,024</w:t>
            </w:r>
          </w:p>
        </w:tc>
        <w:tc>
          <w:tcPr>
            <w:tcW w:w="4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3,169,958</w:t>
            </w:r>
          </w:p>
        </w:tc>
      </w:tr>
      <w:tr>
        <w:trPr>
          <w:trHeight w:val="237"/>
        </w:trPr>
        <w:tc>
          <w:tcPr>
            <w:tcW w:w="2160" w:type="dxa"/>
            <w:vAlign w:val="bottom"/>
          </w:tcPr>
          <w:p>
            <w:pPr>
              <w:ind w:left="100"/>
              <w:spacing w:after="0"/>
              <w:rPr>
                <w:sz w:val="20"/>
                <w:szCs w:val="20"/>
                <w:color w:val="auto"/>
              </w:rPr>
            </w:pPr>
            <w:r>
              <w:rPr>
                <w:rFonts w:ascii="Arial" w:cs="Arial" w:eastAsia="Arial" w:hAnsi="Arial"/>
                <w:sz w:val="18"/>
                <w:szCs w:val="18"/>
                <w:color w:val="auto"/>
              </w:rPr>
              <w:t>Mark Goldberg, M.D.</w:t>
            </w:r>
          </w:p>
        </w:tc>
        <w:tc>
          <w:tcPr>
            <w:tcW w:w="1940" w:type="dxa"/>
            <w:vAlign w:val="bottom"/>
          </w:tcPr>
          <w:p>
            <w:pPr>
              <w:jc w:val="right"/>
              <w:spacing w:after="0"/>
              <w:rPr>
                <w:sz w:val="20"/>
                <w:szCs w:val="20"/>
                <w:color w:val="auto"/>
              </w:rPr>
            </w:pPr>
            <w:r>
              <w:rPr>
                <w:rFonts w:ascii="Arial" w:cs="Arial" w:eastAsia="Arial" w:hAnsi="Arial"/>
                <w:sz w:val="18"/>
                <w:szCs w:val="18"/>
                <w:color w:val="auto"/>
              </w:rPr>
              <w:t>21,259,775</w:t>
            </w:r>
          </w:p>
        </w:tc>
        <w:tc>
          <w:tcPr>
            <w:tcW w:w="4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167,277</w:t>
            </w:r>
          </w:p>
        </w:tc>
        <w:tc>
          <w:tcPr>
            <w:tcW w:w="4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3,169,958</w:t>
            </w:r>
          </w:p>
        </w:tc>
      </w:tr>
      <w:tr>
        <w:trPr>
          <w:trHeight w:val="249"/>
        </w:trPr>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Nicholas Lydon, Ph.D.</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17,301,766</w:t>
            </w:r>
          </w:p>
        </w:tc>
        <w:tc>
          <w:tcPr>
            <w:tcW w:w="4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4,125,286</w:t>
            </w:r>
          </w:p>
        </w:tc>
        <w:tc>
          <w:tcPr>
            <w:tcW w:w="48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3,169,958</w:t>
            </w:r>
          </w:p>
        </w:tc>
      </w:tr>
    </w:tbl>
    <w:p>
      <w:pPr>
        <w:spacing w:after="0" w:line="337" w:lineRule="exact"/>
        <w:rPr>
          <w:sz w:val="20"/>
          <w:szCs w:val="20"/>
          <w:color w:val="auto"/>
        </w:rPr>
      </w:pPr>
    </w:p>
    <w:p>
      <w:pPr>
        <w:ind w:left="780" w:right="80" w:hanging="134"/>
        <w:spacing w:after="0" w:line="264" w:lineRule="auto"/>
        <w:rPr>
          <w:sz w:val="20"/>
          <w:szCs w:val="20"/>
          <w:color w:val="auto"/>
        </w:rPr>
      </w:pPr>
      <w:r>
        <w:rPr>
          <w:rFonts w:ascii="Arial" w:cs="Arial" w:eastAsia="Arial" w:hAnsi="Arial"/>
          <w:sz w:val="18"/>
          <w:szCs w:val="18"/>
          <w:color w:val="auto"/>
        </w:rPr>
        <w:t>2.The Company’s stockholders ratified the appointment of Ernst &amp; Young LLP as the Company’s independent registered public accounting for the fiscal year ending December 31, 2016. The results of the stockholders’ vote with respect to such ratification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gridSpan w:val="2"/>
          </w:tcPr>
          <w:p>
            <w:pPr>
              <w:ind w:left="820"/>
              <w:spacing w:after="0"/>
              <w:rPr>
                <w:sz w:val="20"/>
                <w:szCs w:val="20"/>
                <w:color w:val="auto"/>
              </w:rPr>
            </w:pPr>
            <w:r>
              <w:rPr>
                <w:rFonts w:ascii="Arial" w:cs="Arial" w:eastAsia="Arial" w:hAnsi="Arial"/>
                <w:sz w:val="18"/>
                <w:szCs w:val="18"/>
                <w:b w:val="1"/>
                <w:bCs w:val="1"/>
                <w:color w:val="auto"/>
              </w:rPr>
              <w:t>For</w:t>
            </w:r>
          </w:p>
        </w:tc>
        <w:tc>
          <w:tcPr>
            <w:tcW w:w="2400" w:type="dxa"/>
            <w:vAlign w:val="bottom"/>
            <w:gridSpan w:val="2"/>
          </w:tcPr>
          <w:p>
            <w:pPr>
              <w:ind w:left="660"/>
              <w:spacing w:after="0"/>
              <w:rPr>
                <w:sz w:val="20"/>
                <w:szCs w:val="20"/>
                <w:color w:val="auto"/>
              </w:rPr>
            </w:pPr>
            <w:r>
              <w:rPr>
                <w:rFonts w:ascii="Arial" w:cs="Arial" w:eastAsia="Arial" w:hAnsi="Arial"/>
                <w:sz w:val="18"/>
                <w:szCs w:val="18"/>
                <w:b w:val="1"/>
                <w:bCs w:val="1"/>
                <w:color w:val="auto"/>
              </w:rPr>
              <w:t>Against</w:t>
            </w:r>
          </w:p>
        </w:tc>
        <w:tc>
          <w:tcPr>
            <w:tcW w:w="1960" w:type="dxa"/>
            <w:vAlign w:val="bottom"/>
          </w:tcPr>
          <w:p>
            <w:pPr>
              <w:jc w:val="right"/>
              <w:ind w:right="590"/>
              <w:spacing w:after="0"/>
              <w:rPr>
                <w:sz w:val="20"/>
                <w:szCs w:val="20"/>
                <w:color w:val="auto"/>
              </w:rPr>
            </w:pPr>
            <w:r>
              <w:rPr>
                <w:rFonts w:ascii="Arial" w:cs="Arial" w:eastAsia="Arial" w:hAnsi="Arial"/>
                <w:sz w:val="18"/>
                <w:szCs w:val="18"/>
                <w:b w:val="1"/>
                <w:bCs w:val="1"/>
                <w:color w:val="auto"/>
              </w:rPr>
              <w:t>Abstain</w:t>
            </w:r>
          </w:p>
        </w:tc>
        <w:tc>
          <w:tcPr>
            <w:tcW w:w="2540" w:type="dxa"/>
            <w:vAlign w:val="bottom"/>
          </w:tcPr>
          <w:p>
            <w:pPr>
              <w:spacing w:after="0"/>
              <w:rPr>
                <w:sz w:val="20"/>
                <w:szCs w:val="20"/>
                <w:color w:val="auto"/>
              </w:rPr>
            </w:pPr>
          </w:p>
        </w:tc>
      </w:tr>
      <w:tr>
        <w:trPr>
          <w:trHeight w:val="27"/>
        </w:trPr>
        <w:tc>
          <w:tcPr>
            <w:tcW w:w="19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r>
      <w:tr>
        <w:trPr>
          <w:trHeight w:val="223"/>
        </w:trPr>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24,583,253</w:t>
            </w:r>
          </w:p>
        </w:tc>
        <w:tc>
          <w:tcPr>
            <w:tcW w:w="4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4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2540" w:type="dxa"/>
            <w:vAlign w:val="bottom"/>
          </w:tcPr>
          <w:p>
            <w:pPr>
              <w:spacing w:after="0"/>
              <w:rPr>
                <w:sz w:val="19"/>
                <w:szCs w:val="19"/>
                <w:color w:val="auto"/>
              </w:rPr>
            </w:pPr>
          </w:p>
        </w:tc>
      </w:tr>
      <w:tr>
        <w:trPr>
          <w:trHeight w:val="831"/>
        </w:trPr>
        <w:tc>
          <w:tcPr>
            <w:tcW w:w="1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bl>
    <w:p>
      <w:pPr>
        <w:sectPr>
          <w:pgSz w:w="11900" w:h="16838" w:orient="portrait"/>
          <w:cols w:equalWidth="0" w:num="1">
            <w:col w:w="9280"/>
          </w:cols>
          <w:pgMar w:left="1320" w:top="121" w:right="1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800" w:type="dxa"/>
            <w:vAlign w:val="bottom"/>
            <w:gridSpan w:val="2"/>
          </w:tcPr>
          <w:p>
            <w:pPr>
              <w:ind w:left="1600"/>
              <w:spacing w:after="0"/>
              <w:rPr>
                <w:sz w:val="20"/>
                <w:szCs w:val="20"/>
                <w:color w:val="auto"/>
              </w:rPr>
            </w:pPr>
            <w:r>
              <w:rPr>
                <w:rFonts w:ascii="Arial" w:cs="Arial" w:eastAsia="Arial" w:hAnsi="Arial"/>
                <w:sz w:val="18"/>
                <w:szCs w:val="18"/>
                <w:b w:val="1"/>
                <w:bCs w:val="1"/>
                <w:color w:val="auto"/>
              </w:rPr>
              <w:t>BLUEPRINT MEDICINES CORPORATION</w:t>
            </w:r>
          </w:p>
        </w:tc>
        <w:tc>
          <w:tcPr>
            <w:tcW w:w="440" w:type="dxa"/>
            <w:vAlign w:val="bottom"/>
          </w:tcPr>
          <w:p>
            <w:pPr>
              <w:spacing w:after="0"/>
              <w:rPr>
                <w:sz w:val="20"/>
                <w:szCs w:val="20"/>
                <w:color w:val="auto"/>
              </w:rPr>
            </w:pPr>
          </w:p>
        </w:tc>
      </w:tr>
      <w:tr>
        <w:trPr>
          <w:trHeight w:val="661"/>
        </w:trPr>
        <w:tc>
          <w:tcPr>
            <w:tcW w:w="3040" w:type="dxa"/>
            <w:vAlign w:val="bottom"/>
          </w:tcPr>
          <w:p>
            <w:pPr>
              <w:spacing w:after="0"/>
              <w:rPr>
                <w:sz w:val="20"/>
                <w:szCs w:val="20"/>
                <w:color w:val="auto"/>
              </w:rPr>
            </w:pPr>
            <w:r>
              <w:rPr>
                <w:rFonts w:ascii="Arial" w:cs="Arial" w:eastAsia="Arial" w:hAnsi="Arial"/>
                <w:sz w:val="18"/>
                <w:szCs w:val="18"/>
                <w:color w:val="auto"/>
              </w:rPr>
              <w:t>Date: June 24, 2016</w:t>
            </w:r>
          </w:p>
        </w:tc>
        <w:tc>
          <w:tcPr>
            <w:tcW w:w="5800" w:type="dxa"/>
            <w:vAlign w:val="bottom"/>
            <w:gridSpan w:val="2"/>
          </w:tcPr>
          <w:p>
            <w:pPr>
              <w:ind w:left="1600"/>
              <w:spacing w:after="0"/>
              <w:rPr>
                <w:sz w:val="20"/>
                <w:szCs w:val="20"/>
                <w:color w:val="auto"/>
              </w:rPr>
            </w:pPr>
            <w:r>
              <w:rPr>
                <w:rFonts w:ascii="Arial" w:cs="Arial" w:eastAsia="Arial" w:hAnsi="Arial"/>
                <w:sz w:val="18"/>
                <w:szCs w:val="18"/>
                <w:color w:val="auto"/>
              </w:rPr>
              <w:t>By: /s/ Jeffrey W.</w:t>
            </w:r>
          </w:p>
        </w:tc>
        <w:tc>
          <w:tcPr>
            <w:tcW w:w="440" w:type="dxa"/>
            <w:vAlign w:val="bottom"/>
          </w:tcPr>
          <w:p>
            <w:pPr>
              <w:spacing w:after="0"/>
              <w:rPr>
                <w:sz w:val="24"/>
                <w:szCs w:val="24"/>
                <w:color w:val="auto"/>
              </w:rPr>
            </w:pPr>
          </w:p>
        </w:tc>
      </w:tr>
      <w:tr>
        <w:trPr>
          <w:trHeight w:val="230"/>
        </w:trPr>
        <w:tc>
          <w:tcPr>
            <w:tcW w:w="30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c>
          <w:tcPr>
            <w:tcW w:w="440" w:type="dxa"/>
            <w:vAlign w:val="bottom"/>
          </w:tcPr>
          <w:p>
            <w:pPr>
              <w:spacing w:after="0"/>
              <w:rPr>
                <w:sz w:val="20"/>
                <w:szCs w:val="20"/>
                <w:color w:val="auto"/>
              </w:rPr>
            </w:pPr>
          </w:p>
        </w:tc>
      </w:tr>
      <w:tr>
        <w:trPr>
          <w:trHeight w:val="195"/>
        </w:trPr>
        <w:tc>
          <w:tcPr>
            <w:tcW w:w="30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84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440" w:type="dxa"/>
            <w:vAlign w:val="bottom"/>
          </w:tcPr>
          <w:p>
            <w:pPr>
              <w:spacing w:after="0"/>
              <w:rPr>
                <w:sz w:val="16"/>
                <w:szCs w:val="16"/>
                <w:color w:val="auto"/>
              </w:rPr>
            </w:pPr>
          </w:p>
        </w:tc>
      </w:tr>
      <w:tr>
        <w:trPr>
          <w:trHeight w:val="230"/>
        </w:trPr>
        <w:tc>
          <w:tcPr>
            <w:tcW w:w="30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440" w:type="dxa"/>
            <w:vAlign w:val="bottom"/>
          </w:tcPr>
          <w:p>
            <w:pPr>
              <w:spacing w:after="0"/>
              <w:rPr>
                <w:sz w:val="20"/>
                <w:szCs w:val="20"/>
                <w:color w:val="auto"/>
              </w:rPr>
            </w:pPr>
          </w:p>
        </w:tc>
      </w:tr>
      <w:tr>
        <w:trPr>
          <w:trHeight w:val="831"/>
        </w:trPr>
        <w:tc>
          <w:tcPr>
            <w:tcW w:w="30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280"/>
      </w:cols>
      <w:pgMar w:left="1320" w:top="12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2019-12-09T00:19:30Z</dcterms:created>
  <dcterms:modified xsi:type="dcterms:W3CDTF">2019-12-09T00:19:30Z</dcterms:modified>
</cp:coreProperties>
</file>