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Blueprint Medicines Corporation (the “Company”) held its annual meeting of stockholders on June 2, 2021. The following is a summary of the matters voted on at the meeting.</w:t>
      </w:r>
    </w:p>
    <w:p>
      <w:pPr>
        <w:spacing w:after="0" w:line="62" w:lineRule="exact"/>
        <w:rPr>
          <w:sz w:val="20"/>
          <w:szCs w:val="20"/>
          <w:color w:val="auto"/>
        </w:rPr>
      </w:pPr>
    </w:p>
    <w:p>
      <w:pPr>
        <w:ind w:left="1000" w:right="180" w:hanging="317"/>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George D. Demetri, M.D. and Lynn Seely, M.D. as Class III directors, each to serve for a three-year term expiring at the 2024 annual meeting of stockholders and until his or her successor has been duly elected and qualified. The results of the stockholders’ vote with respect to the election of such Class III directors were as follows:</w:t>
      </w:r>
    </w:p>
    <w:p>
      <w:pPr>
        <w:spacing w:after="0" w:line="88"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Votes For</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Votes Withheld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24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George D. Demetri, M.D.</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26,328,404</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26,147,330</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1,944,554</w:t>
            </w:r>
          </w:p>
        </w:tc>
      </w:tr>
      <w:tr>
        <w:trPr>
          <w:trHeight w:val="230"/>
        </w:trPr>
        <w:tc>
          <w:tcPr>
            <w:tcW w:w="2480" w:type="dxa"/>
            <w:vAlign w:val="bottom"/>
          </w:tcPr>
          <w:p>
            <w:pPr>
              <w:ind w:left="100"/>
              <w:spacing w:after="0"/>
              <w:rPr>
                <w:sz w:val="20"/>
                <w:szCs w:val="20"/>
                <w:color w:val="auto"/>
              </w:rPr>
            </w:pPr>
            <w:r>
              <w:rPr>
                <w:rFonts w:ascii="Arial" w:cs="Arial" w:eastAsia="Arial" w:hAnsi="Arial"/>
                <w:sz w:val="18"/>
                <w:szCs w:val="18"/>
                <w:color w:val="auto"/>
              </w:rPr>
              <w:t>Lynn Seely, M.D.</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37,134,769</w:t>
            </w:r>
          </w:p>
        </w:tc>
        <w:tc>
          <w:tcPr>
            <w:tcW w:w="2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15,340,965</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1,944,554</w:t>
            </w:r>
          </w:p>
        </w:tc>
      </w:tr>
    </w:tbl>
    <w:p>
      <w:pPr>
        <w:spacing w:after="0" w:line="295" w:lineRule="exact"/>
        <w:rPr>
          <w:sz w:val="20"/>
          <w:szCs w:val="20"/>
          <w:color w:val="auto"/>
        </w:rPr>
      </w:pPr>
    </w:p>
    <w:p>
      <w:pPr>
        <w:ind w:left="1000" w:right="20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approved the non-binding, advisory vote on the compensation paid to its named executive officers. The results of the stockholders’ non-binding, advisory vote with respect to compensation paid to the Company’s named executive officers were as follows:</w:t>
      </w:r>
    </w:p>
    <w:p>
      <w:pPr>
        <w:spacing w:after="0" w:line="85"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Votes For</w:t>
            </w: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Votes Against</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Votes Abstaining</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09"/>
        </w:trPr>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51,256,830</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1,208,065</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10,839</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1,944,554</w:t>
            </w:r>
          </w:p>
        </w:tc>
      </w:tr>
    </w:tbl>
    <w:p>
      <w:pPr>
        <w:spacing w:after="0" w:line="310" w:lineRule="exact"/>
        <w:rPr>
          <w:sz w:val="20"/>
          <w:szCs w:val="20"/>
          <w:color w:val="auto"/>
        </w:rPr>
      </w:pPr>
    </w:p>
    <w:p>
      <w:pPr>
        <w:ind w:left="1000" w:right="14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for the fiscal year ending December 31, 2021. The results of the stockholders’ vote with respect to such ratification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Votes For</w:t>
            </w: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Against</w:t>
            </w:r>
          </w:p>
        </w:tc>
        <w:tc>
          <w:tcPr>
            <w:tcW w:w="436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87"/>
              </w:rPr>
              <w:t>Votes Abstaining</w:t>
            </w:r>
          </w:p>
        </w:tc>
      </w:tr>
      <w:tr>
        <w:trPr>
          <w:trHeight w:val="209"/>
        </w:trPr>
        <w:tc>
          <w:tcPr>
            <w:tcW w:w="284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54,266,939</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140,283</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13,066</w:t>
            </w:r>
          </w:p>
        </w:tc>
        <w:tc>
          <w:tcPr>
            <w:tcW w:w="2820" w:type="dxa"/>
            <w:vAlign w:val="bottom"/>
          </w:tcPr>
          <w:p>
            <w:pPr>
              <w:spacing w:after="0"/>
              <w:rPr>
                <w:sz w:val="18"/>
                <w:szCs w:val="18"/>
                <w:color w:val="auto"/>
              </w:rPr>
            </w:pPr>
          </w:p>
        </w:tc>
      </w:tr>
      <w:tr>
        <w:trPr>
          <w:trHeight w:val="932"/>
        </w:trPr>
        <w:tc>
          <w:tcPr>
            <w:tcW w:w="2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776"/>
        </w:trPr>
        <w:tc>
          <w:tcPr>
            <w:tcW w:w="2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45"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June 4, 2021</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23495</wp:posOffset>
            </wp:positionV>
            <wp:extent cx="2459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740"/>
      </w:cols>
      <w:pgMar w:left="980" w:top="1066"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2021-06-04T15:25:46Z</dcterms:created>
  <dcterms:modified xsi:type="dcterms:W3CDTF">2021-06-04T15:25:46Z</dcterms:modified>
</cp:coreProperties>
</file>