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LYNCH DANIEL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10/13/2016</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4"/>
              </w:rPr>
              <w:t>38 SIDNEY STREET, SUITE 200</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10/13/2016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21,800</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30.02</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257,594</w:t>
            </w:r>
            <w:r>
              <w:rPr>
                <w:rFonts w:ascii="Arial" w:cs="Arial" w:eastAsia="Arial" w:hAnsi="Arial"/>
                <w:sz w:val="22"/>
                <w:szCs w:val="22"/>
                <w:color w:val="008000"/>
                <w:vertAlign w:val="superscript"/>
              </w:rPr>
              <w:t>(3)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7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20" w:type="dxa"/>
            <w:vAlign w:val="bottom"/>
            <w:gridSpan w:val="14"/>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trading plan adopted pursuant to Rule 10b5-1 under the Securities Exchange Act of 1934, as amended (the "Exchange Act").</w:t>
      </w:r>
    </w:p>
    <w:p>
      <w:pPr>
        <w:spacing w:after="0" w:line="64" w:lineRule="exact"/>
        <w:rPr>
          <w:rFonts w:ascii="Arial" w:cs="Arial" w:eastAsia="Arial" w:hAnsi="Arial"/>
          <w:sz w:val="12"/>
          <w:szCs w:val="12"/>
          <w:color w:val="008000"/>
        </w:rPr>
      </w:pPr>
    </w:p>
    <w:p>
      <w:pPr>
        <w:ind w:left="40" w:right="2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$30.00 to $30.11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November 18, 2015 and April 14, 2016, respectively, Third Rock Ventures II, L.P. distributed 2,517 shares and 4,150 shares to the Reporting Person through in-kind, pro rata distributions without value. These distributions were exempt from Section 16 of the Exchange Act pursuant to Rules 16a-9 and 16a-13.</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10/17/2016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708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2019-12-23T22:20:22Z</dcterms:created>
  <dcterms:modified xsi:type="dcterms:W3CDTF">2019-12-23T22:20:22Z</dcterms:modified>
</cp:coreProperties>
</file>