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361315</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64770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2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00" w:type="dxa"/>
            <w:vAlign w:val="bottom"/>
            <w:gridSpan w:val="2"/>
          </w:tcPr>
          <w:p>
            <w:pPr>
              <w:jc w:val="center"/>
              <w:ind w:right="1000"/>
              <w:spacing w:after="0"/>
              <w:rPr>
                <w:sz w:val="20"/>
                <w:szCs w:val="20"/>
                <w:color w:val="auto"/>
              </w:rPr>
            </w:pPr>
            <w:r>
              <w:rPr>
                <w:rFonts w:ascii="Arial" w:cs="Arial" w:eastAsia="Arial" w:hAnsi="Arial"/>
                <w:sz w:val="32"/>
                <w:szCs w:val="32"/>
                <w:b w:val="1"/>
                <w:bCs w:val="1"/>
                <w:color w:val="auto"/>
                <w:w w:val="99"/>
              </w:rPr>
              <w:t>SCHEDULE 14A</w:t>
            </w:r>
          </w:p>
        </w:tc>
      </w:tr>
      <w:tr>
        <w:trPr>
          <w:trHeight w:val="255"/>
        </w:trPr>
        <w:tc>
          <w:tcPr>
            <w:tcW w:w="2280" w:type="dxa"/>
            <w:vAlign w:val="bottom"/>
          </w:tcPr>
          <w:p>
            <w:pPr>
              <w:spacing w:after="0"/>
              <w:rPr>
                <w:sz w:val="22"/>
                <w:szCs w:val="22"/>
                <w:color w:val="auto"/>
              </w:rPr>
            </w:pPr>
          </w:p>
        </w:tc>
        <w:tc>
          <w:tcPr>
            <w:tcW w:w="5000" w:type="dxa"/>
            <w:vAlign w:val="bottom"/>
            <w:gridSpan w:val="3"/>
          </w:tcPr>
          <w:p>
            <w:pPr>
              <w:jc w:val="center"/>
              <w:ind w:left="401"/>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280" w:type="dxa"/>
            <w:vAlign w:val="bottom"/>
          </w:tcPr>
          <w:p>
            <w:pPr>
              <w:spacing w:after="0"/>
              <w:rPr>
                <w:sz w:val="21"/>
                <w:szCs w:val="21"/>
                <w:color w:val="auto"/>
              </w:rPr>
            </w:pPr>
          </w:p>
        </w:tc>
        <w:tc>
          <w:tcPr>
            <w:tcW w:w="5000" w:type="dxa"/>
            <w:vAlign w:val="bottom"/>
            <w:gridSpan w:val="3"/>
          </w:tcPr>
          <w:p>
            <w:pPr>
              <w:jc w:val="center"/>
              <w:ind w:left="421"/>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1"/>
        </w:trPr>
        <w:tc>
          <w:tcPr>
            <w:tcW w:w="2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00" w:type="dxa"/>
            <w:vAlign w:val="bottom"/>
            <w:gridSpan w:val="2"/>
          </w:tcPr>
          <w:p>
            <w:pPr>
              <w:jc w:val="center"/>
              <w:ind w:right="1000"/>
              <w:spacing w:after="0"/>
              <w:rPr>
                <w:sz w:val="20"/>
                <w:szCs w:val="20"/>
                <w:color w:val="auto"/>
              </w:rPr>
            </w:pPr>
            <w:r>
              <w:rPr>
                <w:rFonts w:ascii="Arial" w:cs="Arial" w:eastAsia="Arial" w:hAnsi="Arial"/>
                <w:sz w:val="22"/>
                <w:szCs w:val="22"/>
                <w:b w:val="1"/>
                <w:bCs w:val="1"/>
                <w:color w:val="auto"/>
                <w:w w:val="93"/>
              </w:rPr>
              <w:t>(Amendment No.  )</w:t>
            </w:r>
          </w:p>
        </w:tc>
      </w:tr>
      <w:tr>
        <w:trPr>
          <w:trHeight w:val="98"/>
        </w:trPr>
        <w:tc>
          <w:tcPr>
            <w:tcW w:w="22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r>
      <w:tr>
        <w:trPr>
          <w:trHeight w:val="316"/>
        </w:trPr>
        <w:tc>
          <w:tcPr>
            <w:tcW w:w="2280" w:type="dxa"/>
            <w:vAlign w:val="bottom"/>
          </w:tcPr>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tc>
        <w:tc>
          <w:tcPr>
            <w:tcW w:w="5000" w:type="dxa"/>
            <w:vAlign w:val="bottom"/>
            <w:gridSpan w:val="3"/>
          </w:tcPr>
          <w:p>
            <w:pPr>
              <w:ind w:left="56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tc>
      </w:tr>
      <w:tr>
        <w:trPr>
          <w:trHeight w:val="239"/>
        </w:trPr>
        <w:tc>
          <w:tcPr>
            <w:tcW w:w="2280" w:type="dxa"/>
            <w:vAlign w:val="bottom"/>
          </w:tcPr>
          <w:p>
            <w:pPr>
              <w:spacing w:after="0"/>
              <w:rPr>
                <w:sz w:val="20"/>
                <w:szCs w:val="20"/>
                <w:color w:val="auto"/>
              </w:rPr>
            </w:pPr>
            <w:r>
              <w:rPr>
                <w:rFonts w:ascii="Arial" w:cs="Arial" w:eastAsia="Arial" w:hAnsi="Arial"/>
                <w:sz w:val="16"/>
                <w:szCs w:val="16"/>
                <w:color w:val="auto"/>
              </w:rPr>
              <w:t>Check the appropriate box:</w:t>
            </w:r>
          </w:p>
        </w:tc>
        <w:tc>
          <w:tcPr>
            <w:tcW w:w="1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50" w:lineRule="exact"/>
        <w:rPr>
          <w:sz w:val="24"/>
          <w:szCs w:val="24"/>
          <w:color w:val="auto"/>
        </w:rPr>
      </w:pPr>
    </w:p>
    <w:p>
      <w:pPr>
        <w:ind w:left="500" w:hanging="497"/>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9" w:lineRule="exact"/>
        <w:rPr>
          <w:rFonts w:ascii="MS PGothic" w:cs="MS PGothic" w:eastAsia="MS PGothic" w:hAnsi="MS PGothic"/>
          <w:sz w:val="16"/>
          <w:szCs w:val="16"/>
          <w:color w:val="auto"/>
        </w:rPr>
      </w:pPr>
    </w:p>
    <w:p>
      <w:pPr>
        <w:ind w:left="500" w:hanging="497"/>
        <w:spacing w:after="0" w:line="184" w:lineRule="exact"/>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6(e)(2))</w:t>
      </w:r>
    </w:p>
    <w:p>
      <w:pPr>
        <w:spacing w:after="0" w:line="117" w:lineRule="exact"/>
        <w:rPr>
          <w:sz w:val="24"/>
          <w:szCs w:val="24"/>
          <w:color w:val="auto"/>
        </w:rPr>
      </w:pPr>
    </w:p>
    <w:p>
      <w:pPr>
        <w:ind w:left="500" w:hanging="497"/>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13" w:lineRule="exact"/>
        <w:rPr>
          <w:sz w:val="24"/>
          <w:szCs w:val="24"/>
          <w:color w:val="auto"/>
        </w:rPr>
      </w:pPr>
    </w:p>
    <w:p>
      <w:pPr>
        <w:ind w:left="500" w:hanging="497"/>
        <w:spacing w:after="0"/>
        <w:tabs>
          <w:tab w:leader="none" w:pos="5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13" w:lineRule="exact"/>
        <w:rPr>
          <w:rFonts w:ascii="MS PGothic" w:cs="MS PGothic" w:eastAsia="MS PGothic" w:hAnsi="MS PGothic"/>
          <w:sz w:val="16"/>
          <w:szCs w:val="16"/>
          <w:color w:val="auto"/>
        </w:rPr>
      </w:pPr>
    </w:p>
    <w:p>
      <w:pPr>
        <w:ind w:left="500" w:hanging="497"/>
        <w:spacing w:after="0" w:line="184" w:lineRule="exact"/>
        <w:tabs>
          <w:tab w:leader="none" w:pos="5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w:t>
      </w:r>
      <w:r>
        <w:rPr>
          <w:rFonts w:ascii="MS PGothic" w:cs="MS PGothic" w:eastAsia="MS PGothic" w:hAnsi="MS PGothic"/>
          <w:sz w:val="16"/>
          <w:szCs w:val="16"/>
          <w:color w:val="auto"/>
        </w:rPr>
        <w:t>‑</w:t>
      </w:r>
      <w:r>
        <w:rPr>
          <w:rFonts w:ascii="Arial" w:cs="Arial" w:eastAsia="Arial" w:hAnsi="Arial"/>
          <w:sz w:val="16"/>
          <w:szCs w:val="16"/>
          <w:color w:val="auto"/>
        </w:rPr>
        <w:t>12</w:t>
      </w:r>
    </w:p>
    <w:p>
      <w:pPr>
        <w:spacing w:after="0" w:line="129"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BLUEPRINT MEDICINES CORPORATION</w:t>
      </w:r>
    </w:p>
    <w:p>
      <w:pPr>
        <w:spacing w:after="0" w:line="38" w:lineRule="exact"/>
        <w:rPr>
          <w:sz w:val="24"/>
          <w:szCs w:val="24"/>
          <w:color w:val="auto"/>
        </w:rPr>
      </w:pPr>
    </w:p>
    <w:p>
      <w:pPr>
        <w:ind w:left="2700"/>
        <w:spacing w:after="0"/>
        <w:rPr>
          <w:sz w:val="20"/>
          <w:szCs w:val="20"/>
          <w:color w:val="auto"/>
        </w:rPr>
      </w:pPr>
      <w:r>
        <w:rPr>
          <w:rFonts w:ascii="Arial" w:cs="Arial" w:eastAsia="Arial" w:hAnsi="Arial"/>
          <w:sz w:val="16"/>
          <w:szCs w:val="16"/>
          <w:b w:val="1"/>
          <w:bCs w:val="1"/>
          <w:color w:val="auto"/>
        </w:rPr>
        <w:t>(Name of Registrant as Specified in its Certificate of Incorporation)</w:t>
      </w:r>
    </w:p>
    <w:p>
      <w:pPr>
        <w:spacing w:after="0" w:line="5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73" w:lineRule="exact"/>
        <w:rPr>
          <w:sz w:val="24"/>
          <w:szCs w:val="24"/>
          <w:color w:val="auto"/>
        </w:rPr>
      </w:pPr>
    </w:p>
    <w:p>
      <w:pPr>
        <w:ind w:left="480" w:hanging="477"/>
        <w:spacing w:after="0"/>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13" w:lineRule="exact"/>
        <w:rPr>
          <w:sz w:val="24"/>
          <w:szCs w:val="24"/>
          <w:color w:val="auto"/>
        </w:rPr>
      </w:pPr>
    </w:p>
    <w:p>
      <w:pPr>
        <w:ind w:left="480" w:hanging="477"/>
        <w:spacing w:after="0" w:line="184" w:lineRule="exact"/>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w:t>
      </w:r>
      <w:r>
        <w:rPr>
          <w:rFonts w:ascii="MS PGothic" w:cs="MS PGothic" w:eastAsia="MS PGothic" w:hAnsi="MS PGothic"/>
          <w:sz w:val="16"/>
          <w:szCs w:val="16"/>
          <w:color w:val="auto"/>
        </w:rPr>
        <w:t>‑</w:t>
      </w:r>
      <w:r>
        <w:rPr>
          <w:rFonts w:ascii="Arial" w:cs="Arial" w:eastAsia="Arial" w:hAnsi="Arial"/>
          <w:sz w:val="16"/>
          <w:szCs w:val="16"/>
          <w:color w:val="auto"/>
        </w:rPr>
        <w:t>6(i)(1) and 0</w:t>
      </w:r>
      <w:r>
        <w:rPr>
          <w:rFonts w:ascii="MS PGothic" w:cs="MS PGothic" w:eastAsia="MS PGothic" w:hAnsi="MS PGothic"/>
          <w:sz w:val="16"/>
          <w:szCs w:val="16"/>
          <w:color w:val="auto"/>
        </w:rPr>
        <w:t>‑</w:t>
      </w:r>
      <w:r>
        <w:rPr>
          <w:rFonts w:ascii="Arial" w:cs="Arial" w:eastAsia="Arial" w:hAnsi="Arial"/>
          <w:sz w:val="16"/>
          <w:szCs w:val="16"/>
          <w:color w:val="auto"/>
        </w:rPr>
        <w:t>11.</w:t>
      </w:r>
    </w:p>
    <w:p>
      <w:pPr>
        <w:spacing w:after="0" w:line="113" w:lineRule="exact"/>
        <w:rPr>
          <w:rFonts w:ascii="MS PGothic" w:cs="MS PGothic" w:eastAsia="MS PGothic" w:hAnsi="MS PGothic"/>
          <w:sz w:val="16"/>
          <w:szCs w:val="16"/>
          <w:color w:val="auto"/>
        </w:rPr>
      </w:pPr>
    </w:p>
    <w:p>
      <w:pPr>
        <w:ind w:left="940" w:hanging="464"/>
        <w:spacing w:after="0"/>
        <w:tabs>
          <w:tab w:leader="none" w:pos="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21" w:lineRule="exact"/>
        <w:rPr>
          <w:rFonts w:ascii="Arial" w:cs="Arial" w:eastAsia="Arial" w:hAnsi="Arial"/>
          <w:sz w:val="16"/>
          <w:szCs w:val="16"/>
          <w:color w:val="auto"/>
        </w:rPr>
      </w:pPr>
    </w:p>
    <w:p>
      <w:pPr>
        <w:ind w:left="940" w:hanging="464"/>
        <w:spacing w:after="0"/>
        <w:tabs>
          <w:tab w:leader="none" w:pos="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21" w:lineRule="exact"/>
        <w:rPr>
          <w:rFonts w:ascii="Arial" w:cs="Arial" w:eastAsia="Arial" w:hAnsi="Arial"/>
          <w:sz w:val="16"/>
          <w:szCs w:val="16"/>
          <w:color w:val="auto"/>
        </w:rPr>
      </w:pPr>
    </w:p>
    <w:p>
      <w:pPr>
        <w:ind w:left="940" w:right="160" w:hanging="464"/>
        <w:spacing w:after="0" w:line="204" w:lineRule="exact"/>
        <w:tabs>
          <w:tab w:leader="none" w:pos="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r>
        <w:rPr>
          <w:rFonts w:ascii="MS PGothic" w:cs="MS PGothic" w:eastAsia="MS PGothic" w:hAnsi="MS PGothic"/>
          <w:sz w:val="16"/>
          <w:szCs w:val="16"/>
          <w:color w:val="auto"/>
        </w:rPr>
        <w:t>‑</w:t>
      </w:r>
      <w:r>
        <w:rPr>
          <w:rFonts w:ascii="Arial" w:cs="Arial" w:eastAsia="Arial" w:hAnsi="Arial"/>
          <w:sz w:val="16"/>
          <w:szCs w:val="16"/>
          <w:color w:val="auto"/>
        </w:rPr>
        <w:t>11 (set forth the amount on which the filing fee is calculated and state how it was determined):</w:t>
      </w:r>
    </w:p>
    <w:p>
      <w:pPr>
        <w:spacing w:after="0" w:line="199" w:lineRule="exact"/>
        <w:rPr>
          <w:rFonts w:ascii="Arial" w:cs="Arial" w:eastAsia="Arial" w:hAnsi="Arial"/>
          <w:sz w:val="16"/>
          <w:szCs w:val="16"/>
          <w:color w:val="auto"/>
        </w:rPr>
      </w:pPr>
    </w:p>
    <w:p>
      <w:pPr>
        <w:ind w:left="940" w:hanging="464"/>
        <w:spacing w:after="0"/>
        <w:tabs>
          <w:tab w:leader="none" w:pos="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1" w:lineRule="exact"/>
        <w:rPr>
          <w:rFonts w:ascii="Arial" w:cs="Arial" w:eastAsia="Arial" w:hAnsi="Arial"/>
          <w:sz w:val="16"/>
          <w:szCs w:val="16"/>
          <w:color w:val="auto"/>
        </w:rPr>
      </w:pPr>
    </w:p>
    <w:p>
      <w:pPr>
        <w:ind w:left="940" w:hanging="464"/>
        <w:spacing w:after="0"/>
        <w:tabs>
          <w:tab w:leader="none" w:pos="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21" w:lineRule="exact"/>
        <w:rPr>
          <w:rFonts w:ascii="Arial" w:cs="Arial" w:eastAsia="Arial" w:hAnsi="Arial"/>
          <w:sz w:val="16"/>
          <w:szCs w:val="16"/>
          <w:color w:val="auto"/>
        </w:rPr>
      </w:pPr>
    </w:p>
    <w:p>
      <w:pPr>
        <w:ind w:left="480" w:hanging="477"/>
        <w:spacing w:after="0"/>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2" w:lineRule="exact"/>
        <w:rPr>
          <w:rFonts w:ascii="MS PGothic" w:cs="MS PGothic" w:eastAsia="MS PGothic" w:hAnsi="MS PGothic"/>
          <w:sz w:val="16"/>
          <w:szCs w:val="16"/>
          <w:color w:val="auto"/>
        </w:rPr>
      </w:pPr>
    </w:p>
    <w:p>
      <w:pPr>
        <w:ind w:left="480" w:hanging="477"/>
        <w:spacing w:after="0" w:line="197" w:lineRule="exact"/>
        <w:tabs>
          <w:tab w:leader="none" w:pos="48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w:t>
      </w:r>
      <w:r>
        <w:rPr>
          <w:rFonts w:ascii="MS PGothic" w:cs="MS PGothic" w:eastAsia="MS PGothic" w:hAnsi="MS PGothic"/>
          <w:sz w:val="15"/>
          <w:szCs w:val="15"/>
          <w:color w:val="auto"/>
        </w:rPr>
        <w:t>‑</w:t>
      </w:r>
      <w:r>
        <w:rPr>
          <w:rFonts w:ascii="Arial" w:cs="Arial" w:eastAsia="Arial" w:hAnsi="Arial"/>
          <w:sz w:val="15"/>
          <w:szCs w:val="15"/>
          <w:color w:val="auto"/>
        </w:rPr>
        <w:t>11(a)(2) and identify the filing for which the offsetting fee was paid previously. Identify the previous filing by registration statement number, or the Form or Schedule and the date of its filing.</w:t>
      </w:r>
    </w:p>
    <w:p>
      <w:pPr>
        <w:spacing w:after="0" w:line="91" w:lineRule="exact"/>
        <w:rPr>
          <w:rFonts w:ascii="MS PGothic" w:cs="MS PGothic" w:eastAsia="MS PGothic" w:hAnsi="MS PGothic"/>
          <w:sz w:val="15"/>
          <w:szCs w:val="15"/>
          <w:color w:val="auto"/>
        </w:rPr>
      </w:pPr>
    </w:p>
    <w:p>
      <w:pPr>
        <w:ind w:left="920" w:hanging="444"/>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21" w:lineRule="exact"/>
        <w:rPr>
          <w:rFonts w:ascii="Arial" w:cs="Arial" w:eastAsia="Arial" w:hAnsi="Arial"/>
          <w:sz w:val="16"/>
          <w:szCs w:val="16"/>
          <w:color w:val="auto"/>
        </w:rPr>
      </w:pPr>
    </w:p>
    <w:p>
      <w:pPr>
        <w:ind w:left="920" w:hanging="444"/>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21" w:lineRule="exact"/>
        <w:rPr>
          <w:rFonts w:ascii="Arial" w:cs="Arial" w:eastAsia="Arial" w:hAnsi="Arial"/>
          <w:sz w:val="16"/>
          <w:szCs w:val="16"/>
          <w:color w:val="auto"/>
        </w:rPr>
      </w:pPr>
    </w:p>
    <w:p>
      <w:pPr>
        <w:ind w:left="920" w:hanging="444"/>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21" w:lineRule="exact"/>
        <w:rPr>
          <w:rFonts w:ascii="Arial" w:cs="Arial" w:eastAsia="Arial" w:hAnsi="Arial"/>
          <w:sz w:val="16"/>
          <w:szCs w:val="16"/>
          <w:color w:val="auto"/>
        </w:rPr>
      </w:pPr>
    </w:p>
    <w:p>
      <w:pPr>
        <w:ind w:left="920" w:hanging="444"/>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585470</wp:posOffset>
            </wp:positionH>
            <wp:positionV relativeFrom="paragraph">
              <wp:posOffset>78105</wp:posOffset>
            </wp:positionV>
            <wp:extent cx="5805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-178435</wp:posOffset>
            </wp:positionV>
            <wp:extent cx="58058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-435610</wp:posOffset>
            </wp:positionV>
            <wp:extent cx="58058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-693420</wp:posOffset>
            </wp:positionV>
            <wp:extent cx="5805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-1396365</wp:posOffset>
            </wp:positionV>
            <wp:extent cx="5788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-1653540</wp:posOffset>
            </wp:positionV>
            <wp:extent cx="5788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-1910715</wp:posOffset>
            </wp:positionV>
            <wp:extent cx="5788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-2296795</wp:posOffset>
            </wp:positionV>
            <wp:extent cx="5788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-2553970</wp:posOffset>
            </wp:positionV>
            <wp:extent cx="5788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386715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238" w:right="1039" w:bottom="1440" w:gutter="0" w:footer="0" w:header="0"/>
        </w:sectPr>
      </w:pPr>
    </w:p>
    <w:bookmarkStart w:id="1" w:name="page2"/>
    <w:bookmarkEnd w:id="1"/>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369570</wp:posOffset>
            </wp:positionV>
            <wp:extent cx="167259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25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BLUEPRINT MEDICINES CORPORATION</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45 Sidney Street</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Cambridge, Massachusetts 02139</w:t>
      </w:r>
    </w:p>
    <w:p>
      <w:pPr>
        <w:spacing w:after="0" w:line="19" w:lineRule="exact"/>
        <w:rPr>
          <w:sz w:val="20"/>
          <w:szCs w:val="20"/>
          <w:color w:val="auto"/>
        </w:rPr>
      </w:pPr>
    </w:p>
    <w:p>
      <w:pPr>
        <w:jc w:val="center"/>
        <w:ind w:right="-40"/>
        <w:spacing w:after="0" w:line="184" w:lineRule="exact"/>
        <w:rPr>
          <w:sz w:val="20"/>
          <w:szCs w:val="20"/>
          <w:color w:val="auto"/>
        </w:rPr>
      </w:pPr>
      <w:r>
        <w:rPr>
          <w:rFonts w:ascii="Arial" w:cs="Arial" w:eastAsia="Arial" w:hAnsi="Arial"/>
          <w:sz w:val="16"/>
          <w:szCs w:val="16"/>
          <w:b w:val="1"/>
          <w:bCs w:val="1"/>
          <w:color w:val="auto"/>
        </w:rPr>
        <w:t>(617) 374</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7580</w:t>
      </w:r>
    </w:p>
    <w:p>
      <w:pPr>
        <w:spacing w:after="0" w:line="9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NOTICE OF 2019 ANNUAL MEETING OF STOCKHOLDERS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To Be Held On June 18, 2019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Stockholders:</w:t>
      </w:r>
    </w:p>
    <w:p>
      <w:pPr>
        <w:spacing w:after="0" w:line="100" w:lineRule="exact"/>
        <w:rPr>
          <w:sz w:val="20"/>
          <w:szCs w:val="20"/>
          <w:color w:val="auto"/>
        </w:rPr>
      </w:pPr>
    </w:p>
    <w:p>
      <w:pPr>
        <w:ind w:right="139" w:firstLine="648"/>
        <w:spacing w:after="0" w:line="278" w:lineRule="auto"/>
        <w:rPr>
          <w:sz w:val="20"/>
          <w:szCs w:val="20"/>
          <w:color w:val="auto"/>
        </w:rPr>
      </w:pPr>
      <w:r>
        <w:rPr>
          <w:rFonts w:ascii="Arial" w:cs="Arial" w:eastAsia="Arial" w:hAnsi="Arial"/>
          <w:sz w:val="16"/>
          <w:szCs w:val="16"/>
          <w:color w:val="auto"/>
        </w:rPr>
        <w:t>You are cordially invited to attend the 2019 annual meeting of stockholders of Blueprint Medicines Corporation to be held on Tuesday, June 18, 2019 at 3:30 p.m., Eastern Daylight Time, at our offices located at 45 Sidney Street, Cambridge, Massachusetts 02139. At the annual meeting, stockholders will consider and vote on the following matters:</w:t>
      </w:r>
    </w:p>
    <w:p>
      <w:pPr>
        <w:spacing w:after="0" w:line="63" w:lineRule="exact"/>
        <w:rPr>
          <w:sz w:val="20"/>
          <w:szCs w:val="20"/>
          <w:color w:val="auto"/>
        </w:rPr>
      </w:pPr>
    </w:p>
    <w:p>
      <w:pPr>
        <w:ind w:left="1300" w:right="39" w:hanging="325"/>
        <w:spacing w:after="0" w:line="369" w:lineRule="auto"/>
        <w:tabs>
          <w:tab w:leader="none" w:pos="1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election of three Class I directors nominated by our board of directors, each to serve for a three-year term expiring at the 2022 annual meeting of stockholders or until his or her successor has been duly elected and qualified;</w:t>
      </w:r>
    </w:p>
    <w:p>
      <w:pPr>
        <w:spacing w:after="0" w:line="4" w:lineRule="exact"/>
        <w:rPr>
          <w:rFonts w:ascii="Arial" w:cs="Arial" w:eastAsia="Arial" w:hAnsi="Arial"/>
          <w:sz w:val="14"/>
          <w:szCs w:val="14"/>
          <w:color w:val="auto"/>
        </w:rPr>
      </w:pPr>
    </w:p>
    <w:p>
      <w:pPr>
        <w:ind w:left="1300" w:hanging="325"/>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 non-binding, advisory vote on the compensation paid to our named executive officers;</w:t>
      </w:r>
    </w:p>
    <w:p>
      <w:pPr>
        <w:spacing w:after="0" w:line="113" w:lineRule="exact"/>
        <w:rPr>
          <w:rFonts w:ascii="Arial" w:cs="Arial" w:eastAsia="Arial" w:hAnsi="Arial"/>
          <w:sz w:val="16"/>
          <w:szCs w:val="16"/>
          <w:color w:val="auto"/>
        </w:rPr>
      </w:pPr>
    </w:p>
    <w:p>
      <w:pPr>
        <w:ind w:left="1300" w:right="19" w:hanging="325"/>
        <w:spacing w:after="0" w:line="293"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ratification of the appointment of Ernst &amp; Young LLP as our independent registered public accounting firm for the fiscal year ended December 31, 2019; and</w:t>
      </w:r>
    </w:p>
    <w:p>
      <w:pPr>
        <w:spacing w:after="0" w:line="50" w:lineRule="exact"/>
        <w:rPr>
          <w:rFonts w:ascii="Arial" w:cs="Arial" w:eastAsia="Arial" w:hAnsi="Arial"/>
          <w:sz w:val="16"/>
          <w:szCs w:val="16"/>
          <w:color w:val="auto"/>
        </w:rPr>
      </w:pPr>
    </w:p>
    <w:p>
      <w:pPr>
        <w:ind w:left="1300" w:right="519" w:hanging="325"/>
        <w:spacing w:after="0" w:line="293"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transaction of any other business that may properly come before the annual meeting or any adjournment or postponement thereof.</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113" w:lineRule="exact"/>
        <w:rPr>
          <w:sz w:val="20"/>
          <w:szCs w:val="20"/>
          <w:color w:val="auto"/>
        </w:rPr>
      </w:pPr>
    </w:p>
    <w:p>
      <w:pPr>
        <w:ind w:right="19" w:firstLine="648"/>
        <w:spacing w:after="0" w:line="293" w:lineRule="auto"/>
        <w:rPr>
          <w:sz w:val="20"/>
          <w:szCs w:val="20"/>
          <w:color w:val="auto"/>
        </w:rPr>
      </w:pPr>
      <w:r>
        <w:rPr>
          <w:rFonts w:ascii="Arial" w:cs="Arial" w:eastAsia="Arial" w:hAnsi="Arial"/>
          <w:sz w:val="16"/>
          <w:szCs w:val="16"/>
          <w:color w:val="auto"/>
        </w:rPr>
        <w:t>Stockholders of record at the close of business on April 22, 2019 will be entitled to notice of and to vote at the annual meeting or any adjournment or postponement thereof.</w:t>
      </w:r>
    </w:p>
    <w:p>
      <w:pPr>
        <w:spacing w:after="0" w:line="37" w:lineRule="exact"/>
        <w:rPr>
          <w:sz w:val="20"/>
          <w:szCs w:val="20"/>
          <w:color w:val="auto"/>
        </w:rPr>
      </w:pPr>
    </w:p>
    <w:p>
      <w:pPr>
        <w:ind w:right="339" w:firstLine="648"/>
        <w:spacing w:after="0" w:line="278" w:lineRule="auto"/>
        <w:rPr>
          <w:sz w:val="20"/>
          <w:szCs w:val="20"/>
          <w:color w:val="auto"/>
        </w:rPr>
      </w:pPr>
      <w:r>
        <w:rPr>
          <w:rFonts w:ascii="Arial" w:cs="Arial" w:eastAsia="Arial" w:hAnsi="Arial"/>
          <w:sz w:val="16"/>
          <w:szCs w:val="16"/>
          <w:color w:val="auto"/>
        </w:rPr>
        <w:t>We have elected to provide access to our proxy materials over the Internet under the Securities and Exchange Commission’s “notice and access” rules. We believe that providing our proxy materials over the Internet expedites stockholders’ receipt of proxy materials, lowers costs and reduces the environmental impact of our annual meeting.</w:t>
      </w:r>
    </w:p>
    <w:p>
      <w:pPr>
        <w:spacing w:after="0" w:line="63" w:lineRule="exact"/>
        <w:rPr>
          <w:sz w:val="20"/>
          <w:szCs w:val="20"/>
          <w:color w:val="auto"/>
        </w:rPr>
      </w:pPr>
    </w:p>
    <w:p>
      <w:pPr>
        <w:ind w:right="79" w:firstLine="648"/>
        <w:spacing w:after="0" w:line="278" w:lineRule="auto"/>
        <w:rPr>
          <w:sz w:val="20"/>
          <w:szCs w:val="20"/>
          <w:color w:val="auto"/>
        </w:rPr>
      </w:pPr>
      <w:r>
        <w:rPr>
          <w:rFonts w:ascii="Arial" w:cs="Arial" w:eastAsia="Arial" w:hAnsi="Arial"/>
          <w:sz w:val="16"/>
          <w:szCs w:val="16"/>
          <w:color w:val="auto"/>
        </w:rPr>
        <w:t>We encourage all stockholders to attend the annual meeting in person. However, whether or not you plan to attend the annual meeting in person, we encourage you to read this proxy statement and submit your proxy or voting instructions as soon as possible. Please review the instructions on each of your voting options described in the proxy statement.</w:t>
      </w:r>
    </w:p>
    <w:p>
      <w:pPr>
        <w:spacing w:after="0" w:line="63" w:lineRule="exact"/>
        <w:rPr>
          <w:sz w:val="20"/>
          <w:szCs w:val="20"/>
          <w:color w:val="auto"/>
        </w:rPr>
      </w:pPr>
    </w:p>
    <w:p>
      <w:pPr>
        <w:jc w:val="right"/>
        <w:ind w:left="660" w:right="2159"/>
        <w:spacing w:after="0" w:line="416" w:lineRule="auto"/>
        <w:rPr>
          <w:sz w:val="20"/>
          <w:szCs w:val="20"/>
          <w:color w:val="auto"/>
        </w:rPr>
      </w:pPr>
      <w:r>
        <w:rPr>
          <w:rFonts w:ascii="Arial" w:cs="Arial" w:eastAsia="Arial" w:hAnsi="Arial"/>
          <w:sz w:val="16"/>
          <w:szCs w:val="16"/>
          <w:color w:val="auto"/>
        </w:rPr>
        <w:t>Thank you for your ongoing support and continued interest in Blueprint Medicines Corporation.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46990</wp:posOffset>
            </wp:positionV>
            <wp:extent cx="1903730"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7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Jeffrey W. Albers</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Cambridge,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April 29, 2019</w:t>
      </w:r>
    </w:p>
    <w:p>
      <w:pPr>
        <w:spacing w:after="0" w:line="119" w:lineRule="exact"/>
        <w:rPr>
          <w:sz w:val="20"/>
          <w:szCs w:val="20"/>
          <w:color w:val="auto"/>
        </w:rPr>
      </w:pPr>
    </w:p>
    <w:p>
      <w:pPr>
        <w:ind w:right="219" w:firstLine="648"/>
        <w:spacing w:after="0" w:line="204" w:lineRule="exact"/>
        <w:rPr>
          <w:sz w:val="20"/>
          <w:szCs w:val="20"/>
          <w:color w:val="auto"/>
        </w:rPr>
      </w:pPr>
      <w:r>
        <w:rPr>
          <w:rFonts w:ascii="Arial" w:cs="Arial" w:eastAsia="Arial" w:hAnsi="Arial"/>
          <w:sz w:val="16"/>
          <w:szCs w:val="16"/>
          <w:b w:val="1"/>
          <w:bCs w:val="1"/>
          <w:color w:val="auto"/>
        </w:rPr>
        <w:t xml:space="preserve">Important Notice Regarding Internet Availability of Proxy Materials: </w:t>
      </w:r>
      <w:r>
        <w:rPr>
          <w:rFonts w:ascii="Arial" w:cs="Arial" w:eastAsia="Arial" w:hAnsi="Arial"/>
          <w:sz w:val="16"/>
          <w:szCs w:val="16"/>
          <w:color w:val="auto"/>
        </w:rPr>
        <w:t>This proxy statement and our 2018 annual report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stockholders are available at </w:t>
      </w:r>
      <w:r>
        <w:rPr>
          <w:rFonts w:ascii="Arial" w:cs="Arial" w:eastAsia="Arial" w:hAnsi="Arial"/>
          <w:sz w:val="16"/>
          <w:szCs w:val="16"/>
          <w:i w:val="1"/>
          <w:iCs w:val="1"/>
          <w:color w:val="auto"/>
        </w:rPr>
        <w:t>www.proxyvote.com</w:t>
      </w:r>
      <w:r>
        <w:rPr>
          <w:rFonts w:ascii="Arial" w:cs="Arial" w:eastAsia="Arial" w:hAnsi="Arial"/>
          <w:sz w:val="16"/>
          <w:szCs w:val="16"/>
          <w:color w:val="auto"/>
        </w:rPr>
        <w:t>. These documents are also available to any stockholder who wishes to receive a paper copy by calling 1</w:t>
      </w:r>
      <w:r>
        <w:rPr>
          <w:rFonts w:ascii="MS PGothic" w:cs="MS PGothic" w:eastAsia="MS PGothic" w:hAnsi="MS PGothic"/>
          <w:sz w:val="16"/>
          <w:szCs w:val="16"/>
          <w:color w:val="auto"/>
        </w:rPr>
        <w:t>‑</w:t>
      </w:r>
      <w:r>
        <w:rPr>
          <w:rFonts w:ascii="Arial" w:cs="Arial" w:eastAsia="Arial" w:hAnsi="Arial"/>
          <w:sz w:val="16"/>
          <w:szCs w:val="16"/>
          <w:color w:val="auto"/>
        </w:rPr>
        <w:t>800</w:t>
      </w:r>
      <w:r>
        <w:rPr>
          <w:rFonts w:ascii="MS PGothic" w:cs="MS PGothic" w:eastAsia="MS PGothic" w:hAnsi="MS PGothic"/>
          <w:sz w:val="16"/>
          <w:szCs w:val="16"/>
          <w:color w:val="auto"/>
        </w:rPr>
        <w:t>‑</w:t>
      </w:r>
      <w:r>
        <w:rPr>
          <w:rFonts w:ascii="Arial" w:cs="Arial" w:eastAsia="Arial" w:hAnsi="Arial"/>
          <w:sz w:val="16"/>
          <w:szCs w:val="16"/>
          <w:color w:val="auto"/>
        </w:rPr>
        <w:t>579</w:t>
      </w:r>
      <w:r>
        <w:rPr>
          <w:rFonts w:ascii="MS PGothic" w:cs="MS PGothic" w:eastAsia="MS PGothic" w:hAnsi="MS PGothic"/>
          <w:sz w:val="16"/>
          <w:szCs w:val="16"/>
          <w:color w:val="auto"/>
        </w:rPr>
        <w:t>‑</w:t>
      </w:r>
      <w:r>
        <w:rPr>
          <w:rFonts w:ascii="Arial" w:cs="Arial" w:eastAsia="Arial" w:hAnsi="Arial"/>
          <w:sz w:val="16"/>
          <w:szCs w:val="16"/>
          <w:color w:val="auto"/>
        </w:rPr>
        <w:t>1639, by emailing sendmaterial@proxyvote.com or by submitting a request over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391160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0" w:right="1440" w:bottom="1440" w:gutter="0" w:footer="0" w:header="0"/>
        </w:sectPr>
      </w:pPr>
    </w:p>
    <w:bookmarkStart w:id="2" w:name="page3"/>
    <w:bookmarkEnd w:id="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20" w:type="dxa"/>
            <w:vAlign w:val="bottom"/>
            <w:gridSpan w:val="41"/>
          </w:tcPr>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7"/>
        </w:trPr>
        <w:tc>
          <w:tcPr>
            <w:tcW w:w="20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15"/>
          </w:tcPr>
          <w:p>
            <w:pPr>
              <w:ind w:left="260"/>
              <w:spacing w:after="0"/>
              <w:rPr>
                <w:sz w:val="20"/>
                <w:szCs w:val="20"/>
                <w:color w:val="auto"/>
              </w:rPr>
            </w:pPr>
            <w:r>
              <w:rPr>
                <w:rFonts w:ascii="Arial" w:cs="Arial" w:eastAsia="Arial" w:hAnsi="Arial"/>
                <w:sz w:val="16"/>
                <w:szCs w:val="16"/>
                <w:b w:val="1"/>
                <w:bCs w:val="1"/>
                <w:color w:val="auto"/>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420" w:type="dxa"/>
            <w:vAlign w:val="bottom"/>
            <w:tcBorders>
              <w:bottom w:val="single" w:sz="8" w:color="0000EE"/>
            </w:tcBorders>
            <w:gridSpan w:val="30"/>
          </w:tcPr>
          <w:p>
            <w:pPr>
              <w:spacing w:after="0"/>
              <w:rPr>
                <w:rFonts w:ascii="Arial" w:cs="Arial" w:eastAsia="Arial" w:hAnsi="Arial"/>
                <w:sz w:val="16"/>
                <w:szCs w:val="16"/>
                <w:color w:val="0000EE"/>
                <w:w w:val="98"/>
              </w:rPr>
            </w:pPr>
            <w:hyperlink w:anchor="page5">
              <w:r>
                <w:rPr>
                  <w:rFonts w:ascii="Arial" w:cs="Arial" w:eastAsia="Arial" w:hAnsi="Arial"/>
                  <w:sz w:val="16"/>
                  <w:szCs w:val="16"/>
                  <w:color w:val="0000EE"/>
                  <w:w w:val="98"/>
                </w:rPr>
                <w:t>INFORMATION CONCERNING SOLICITATION AND VOTING</w:t>
              </w:r>
            </w:hyperlink>
          </w:p>
        </w:tc>
        <w:tc>
          <w:tcPr>
            <w:tcW w:w="4200" w:type="dxa"/>
            <w:vAlign w:val="bottom"/>
            <w:gridSpan w:val="11"/>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2"/>
        </w:trPr>
        <w:tc>
          <w:tcPr>
            <w:tcW w:w="8620" w:type="dxa"/>
            <w:vAlign w:val="bottom"/>
            <w:gridSpan w:val="41"/>
            <w:vMerge w:val="restart"/>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IMPORTANT INFORMATION ABOUT THE ANNUAL MEETING AND VOTING</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20" w:type="dxa"/>
            <w:vAlign w:val="bottom"/>
            <w:gridSpan w:val="41"/>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82"/>
        </w:trPr>
        <w:tc>
          <w:tcPr>
            <w:tcW w:w="3100" w:type="dxa"/>
            <w:vAlign w:val="bottom"/>
            <w:tcBorders>
              <w:top w:val="single" w:sz="8" w:color="0000EE"/>
            </w:tcBorders>
            <w:gridSpan w:val="23"/>
            <w:vMerge w:val="restart"/>
          </w:tcPr>
          <w:p>
            <w:pPr>
              <w:spacing w:after="0"/>
              <w:rPr>
                <w:rFonts w:ascii="Arial" w:cs="Arial" w:eastAsia="Arial" w:hAnsi="Arial"/>
                <w:sz w:val="16"/>
                <w:szCs w:val="16"/>
                <w:color w:val="0000EE"/>
                <w:w w:val="94"/>
              </w:rPr>
            </w:pPr>
            <w:hyperlink w:anchor="page10">
              <w:r>
                <w:rPr>
                  <w:rFonts w:ascii="Arial" w:cs="Arial" w:eastAsia="Arial" w:hAnsi="Arial"/>
                  <w:sz w:val="16"/>
                  <w:szCs w:val="16"/>
                  <w:color w:val="0000EE"/>
                  <w:w w:val="94"/>
                </w:rPr>
                <w:t>PROPOSAL 1—ELECTION OF DIRECTORS</w:t>
              </w:r>
            </w:hyperlink>
          </w:p>
        </w:tc>
        <w:tc>
          <w:tcPr>
            <w:tcW w:w="2480" w:type="dxa"/>
            <w:vAlign w:val="bottom"/>
            <w:tcBorders>
              <w:top w:val="single" w:sz="8" w:color="0000EE"/>
            </w:tcBorders>
            <w:gridSpan w:val="14"/>
            <w:vMerge w:val="restart"/>
          </w:tcPr>
          <w:p>
            <w:pPr>
              <w:spacing w:after="0"/>
              <w:rPr>
                <w:sz w:val="7"/>
                <w:szCs w:val="7"/>
                <w:color w:val="auto"/>
              </w:rPr>
            </w:pPr>
          </w:p>
        </w:tc>
        <w:tc>
          <w:tcPr>
            <w:tcW w:w="3040" w:type="dxa"/>
            <w:vAlign w:val="bottom"/>
            <w:gridSpan w:val="4"/>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100" w:type="dxa"/>
            <w:vAlign w:val="bottom"/>
            <w:tcBorders>
              <w:bottom w:val="single" w:sz="8" w:color="0000EE"/>
            </w:tcBorders>
            <w:gridSpan w:val="23"/>
            <w:vMerge w:val="continue"/>
          </w:tcPr>
          <w:p>
            <w:pPr>
              <w:spacing w:after="0"/>
              <w:rPr>
                <w:sz w:val="14"/>
                <w:szCs w:val="14"/>
                <w:color w:val="auto"/>
              </w:rPr>
            </w:pPr>
          </w:p>
        </w:tc>
        <w:tc>
          <w:tcPr>
            <w:tcW w:w="2480" w:type="dxa"/>
            <w:vAlign w:val="bottom"/>
            <w:gridSpan w:val="14"/>
            <w:vMerge w:val="continue"/>
          </w:tcPr>
          <w:p>
            <w:pPr>
              <w:spacing w:after="0"/>
              <w:rPr>
                <w:sz w:val="14"/>
                <w:szCs w:val="14"/>
                <w:color w:val="auto"/>
              </w:rPr>
            </w:pPr>
          </w:p>
        </w:tc>
        <w:tc>
          <w:tcPr>
            <w:tcW w:w="3040" w:type="dxa"/>
            <w:vAlign w:val="bottom"/>
            <w:gridSpan w:val="4"/>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140" w:type="dxa"/>
            <w:vAlign w:val="bottom"/>
            <w:gridSpan w:val="15"/>
            <w:vMerge w:val="restart"/>
          </w:tcPr>
          <w:p>
            <w:pPr>
              <w:spacing w:after="0"/>
              <w:rPr>
                <w:rFonts w:ascii="Arial" w:cs="Arial" w:eastAsia="Arial" w:hAnsi="Arial"/>
                <w:sz w:val="16"/>
                <w:szCs w:val="16"/>
                <w:color w:val="0000EE"/>
                <w:w w:val="93"/>
              </w:rPr>
            </w:pPr>
            <w:hyperlink w:anchor="page10">
              <w:r>
                <w:rPr>
                  <w:rFonts w:ascii="Arial" w:cs="Arial" w:eastAsia="Arial" w:hAnsi="Arial"/>
                  <w:sz w:val="16"/>
                  <w:szCs w:val="16"/>
                  <w:color w:val="0000EE"/>
                  <w:w w:val="93"/>
                </w:rPr>
                <w:t>Information Regarding Directors</w:t>
              </w:r>
            </w:hyperlink>
          </w:p>
        </w:tc>
        <w:tc>
          <w:tcPr>
            <w:tcW w:w="6280" w:type="dxa"/>
            <w:vAlign w:val="bottom"/>
            <w:gridSpan w:val="25"/>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140" w:type="dxa"/>
            <w:vAlign w:val="bottom"/>
            <w:tcBorders>
              <w:bottom w:val="single" w:sz="8" w:color="0000EE"/>
            </w:tcBorders>
            <w:gridSpan w:val="15"/>
            <w:vMerge w:val="continue"/>
          </w:tcPr>
          <w:p>
            <w:pPr>
              <w:spacing w:after="0"/>
              <w:rPr>
                <w:sz w:val="14"/>
                <w:szCs w:val="14"/>
                <w:color w:val="auto"/>
              </w:rPr>
            </w:pPr>
          </w:p>
        </w:tc>
        <w:tc>
          <w:tcPr>
            <w:tcW w:w="6280" w:type="dxa"/>
            <w:vAlign w:val="bottom"/>
            <w:gridSpan w:val="25"/>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900" w:type="dxa"/>
            <w:vAlign w:val="bottom"/>
            <w:gridSpan w:val="38"/>
            <w:vMerge w:val="restart"/>
          </w:tcPr>
          <w:p>
            <w:pPr>
              <w:spacing w:after="0"/>
              <w:rPr>
                <w:rFonts w:ascii="Arial" w:cs="Arial" w:eastAsia="Arial" w:hAnsi="Arial"/>
                <w:sz w:val="16"/>
                <w:szCs w:val="16"/>
                <w:color w:val="0000EE"/>
                <w:w w:val="92"/>
              </w:rPr>
            </w:pPr>
            <w:hyperlink w:anchor="page10">
              <w:r>
                <w:rPr>
                  <w:rFonts w:ascii="Arial" w:cs="Arial" w:eastAsia="Arial" w:hAnsi="Arial"/>
                  <w:sz w:val="16"/>
                  <w:szCs w:val="16"/>
                  <w:color w:val="0000EE"/>
                  <w:w w:val="92"/>
                </w:rPr>
                <w:t>Class I Director Nominees—For a Three-Year Term Expiring at the 2022 Annual Meeting of Stockholders</w:t>
              </w:r>
            </w:hyperlink>
          </w:p>
        </w:tc>
        <w:tc>
          <w:tcPr>
            <w:tcW w:w="1320" w:type="dxa"/>
            <w:vAlign w:val="bottom"/>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900" w:type="dxa"/>
            <w:vAlign w:val="bottom"/>
            <w:tcBorders>
              <w:bottom w:val="single" w:sz="8" w:color="0000EE"/>
            </w:tcBorders>
            <w:gridSpan w:val="38"/>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20" w:type="dxa"/>
            <w:vAlign w:val="bottom"/>
            <w:gridSpan w:val="39"/>
            <w:vMerge w:val="restart"/>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Class II Directors—Term Expiring at the 2020 Annual Meeting of Stockholders</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20" w:type="dxa"/>
            <w:vAlign w:val="bottom"/>
            <w:gridSpan w:val="39"/>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20" w:type="dxa"/>
            <w:vAlign w:val="bottom"/>
            <w:gridSpan w:val="36"/>
            <w:vMerge w:val="restart"/>
          </w:tcPr>
          <w:p>
            <w:pPr>
              <w:spacing w:after="0"/>
              <w:rPr>
                <w:rFonts w:ascii="Arial" w:cs="Arial" w:eastAsia="Arial" w:hAnsi="Arial"/>
                <w:sz w:val="16"/>
                <w:szCs w:val="16"/>
                <w:color w:val="0000EE"/>
                <w:w w:val="93"/>
              </w:rPr>
            </w:pPr>
            <w:hyperlink w:anchor="page12">
              <w:r>
                <w:rPr>
                  <w:rFonts w:ascii="Arial" w:cs="Arial" w:eastAsia="Arial" w:hAnsi="Arial"/>
                  <w:sz w:val="16"/>
                  <w:szCs w:val="16"/>
                  <w:color w:val="0000EE"/>
                  <w:w w:val="93"/>
                </w:rPr>
                <w:t>Class III Directors—Term Expiring at the 2021 Annual Meeting of Stockholders</w:t>
              </w:r>
            </w:hyperlink>
          </w:p>
        </w:tc>
        <w:tc>
          <w:tcPr>
            <w:tcW w:w="3000" w:type="dxa"/>
            <w:vAlign w:val="bottom"/>
            <w:gridSpan w:val="3"/>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20" w:type="dxa"/>
            <w:vAlign w:val="bottom"/>
            <w:tcBorders>
              <w:bottom w:val="single" w:sz="8" w:color="0000EE"/>
            </w:tcBorders>
            <w:gridSpan w:val="36"/>
            <w:vMerge w:val="continue"/>
          </w:tcPr>
          <w:p>
            <w:pPr>
              <w:spacing w:after="0"/>
              <w:rPr>
                <w:sz w:val="14"/>
                <w:szCs w:val="14"/>
                <w:color w:val="auto"/>
              </w:rPr>
            </w:pPr>
          </w:p>
        </w:tc>
        <w:tc>
          <w:tcPr>
            <w:tcW w:w="3000" w:type="dxa"/>
            <w:vAlign w:val="bottom"/>
            <w:gridSpan w:val="3"/>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840" w:type="dxa"/>
            <w:vAlign w:val="bottom"/>
            <w:gridSpan w:val="21"/>
            <w:vMerge w:val="restart"/>
          </w:tcPr>
          <w:p>
            <w:pPr>
              <w:spacing w:after="0"/>
              <w:rPr>
                <w:rFonts w:ascii="Arial" w:cs="Arial" w:eastAsia="Arial" w:hAnsi="Arial"/>
                <w:sz w:val="16"/>
                <w:szCs w:val="16"/>
                <w:color w:val="0000EE"/>
                <w:w w:val="92"/>
              </w:rPr>
            </w:pPr>
            <w:hyperlink w:anchor="page13">
              <w:r>
                <w:rPr>
                  <w:rFonts w:ascii="Arial" w:cs="Arial" w:eastAsia="Arial" w:hAnsi="Arial"/>
                  <w:sz w:val="16"/>
                  <w:szCs w:val="16"/>
                  <w:color w:val="0000EE"/>
                  <w:w w:val="92"/>
                </w:rPr>
                <w:t>Recommendation of the Board of Directors</w:t>
              </w:r>
            </w:hyperlink>
          </w:p>
        </w:tc>
        <w:tc>
          <w:tcPr>
            <w:tcW w:w="5580" w:type="dxa"/>
            <w:vAlign w:val="bottom"/>
            <w:gridSpan w:val="19"/>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840" w:type="dxa"/>
            <w:vAlign w:val="bottom"/>
            <w:tcBorders>
              <w:bottom w:val="single" w:sz="8" w:color="0000EE"/>
            </w:tcBorders>
            <w:gridSpan w:val="21"/>
            <w:vMerge w:val="continue"/>
          </w:tcPr>
          <w:p>
            <w:pPr>
              <w:spacing w:after="0"/>
              <w:rPr>
                <w:sz w:val="14"/>
                <w:szCs w:val="14"/>
                <w:color w:val="auto"/>
              </w:rPr>
            </w:pPr>
          </w:p>
        </w:tc>
        <w:tc>
          <w:tcPr>
            <w:tcW w:w="5580" w:type="dxa"/>
            <w:vAlign w:val="bottom"/>
            <w:gridSpan w:val="19"/>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82"/>
        </w:trPr>
        <w:tc>
          <w:tcPr>
            <w:tcW w:w="8620" w:type="dxa"/>
            <w:vAlign w:val="bottom"/>
            <w:gridSpan w:val="41"/>
            <w:vMerge w:val="restart"/>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CORPORATE GOVERNANCE</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20" w:type="dxa"/>
            <w:vAlign w:val="bottom"/>
            <w:gridSpan w:val="41"/>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82"/>
        </w:trPr>
        <w:tc>
          <w:tcPr>
            <w:tcW w:w="20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gridSpan w:val="2"/>
            <w:vMerge w:val="restart"/>
          </w:tcPr>
          <w:p>
            <w:pPr>
              <w:spacing w:after="0"/>
              <w:rPr>
                <w:rFonts w:ascii="Arial" w:cs="Arial" w:eastAsia="Arial" w:hAnsi="Arial"/>
                <w:sz w:val="16"/>
                <w:szCs w:val="16"/>
                <w:color w:val="0000EE"/>
                <w:w w:val="87"/>
              </w:rPr>
            </w:pPr>
            <w:hyperlink w:anchor="page14">
              <w:r>
                <w:rPr>
                  <w:rFonts w:ascii="Arial" w:cs="Arial" w:eastAsia="Arial" w:hAnsi="Arial"/>
                  <w:sz w:val="16"/>
                  <w:szCs w:val="16"/>
                  <w:color w:val="0000EE"/>
                  <w:w w:val="87"/>
                </w:rPr>
                <w:t>General</w:t>
              </w:r>
            </w:hyperlink>
          </w:p>
        </w:tc>
        <w:tc>
          <w:tcPr>
            <w:tcW w:w="1360" w:type="dxa"/>
            <w:vAlign w:val="bottom"/>
            <w:tcBorders>
              <w:top w:val="single" w:sz="8" w:color="0000EE"/>
            </w:tcBorders>
            <w:gridSpan w:val="10"/>
            <w:vMerge w:val="restart"/>
          </w:tcPr>
          <w:p>
            <w:pPr>
              <w:spacing w:after="0"/>
              <w:rPr>
                <w:sz w:val="7"/>
                <w:szCs w:val="7"/>
                <w:color w:val="auto"/>
              </w:rPr>
            </w:pPr>
          </w:p>
        </w:tc>
        <w:tc>
          <w:tcPr>
            <w:tcW w:w="6540" w:type="dxa"/>
            <w:vAlign w:val="bottom"/>
            <w:gridSpan w:val="28"/>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520" w:type="dxa"/>
            <w:vAlign w:val="bottom"/>
            <w:tcBorders>
              <w:bottom w:val="single" w:sz="8" w:color="0000EE"/>
            </w:tcBorders>
            <w:gridSpan w:val="2"/>
            <w:vMerge w:val="continue"/>
          </w:tcPr>
          <w:p>
            <w:pPr>
              <w:spacing w:after="0"/>
              <w:rPr>
                <w:sz w:val="14"/>
                <w:szCs w:val="14"/>
                <w:color w:val="auto"/>
              </w:rPr>
            </w:pPr>
          </w:p>
        </w:tc>
        <w:tc>
          <w:tcPr>
            <w:tcW w:w="1360" w:type="dxa"/>
            <w:vAlign w:val="bottom"/>
            <w:gridSpan w:val="10"/>
            <w:vMerge w:val="continue"/>
          </w:tcPr>
          <w:p>
            <w:pPr>
              <w:spacing w:after="0"/>
              <w:rPr>
                <w:sz w:val="14"/>
                <w:szCs w:val="14"/>
                <w:color w:val="auto"/>
              </w:rPr>
            </w:pPr>
          </w:p>
        </w:tc>
        <w:tc>
          <w:tcPr>
            <w:tcW w:w="6540" w:type="dxa"/>
            <w:vAlign w:val="bottom"/>
            <w:gridSpan w:val="28"/>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4980" w:type="dxa"/>
            <w:vAlign w:val="bottom"/>
            <w:gridSpan w:val="34"/>
            <w:vMerge w:val="restart"/>
          </w:tcPr>
          <w:p>
            <w:pPr>
              <w:spacing w:after="0"/>
              <w:rPr>
                <w:rFonts w:ascii="Arial" w:cs="Arial" w:eastAsia="Arial" w:hAnsi="Arial"/>
                <w:sz w:val="16"/>
                <w:szCs w:val="16"/>
                <w:color w:val="0000EE"/>
                <w:w w:val="90"/>
              </w:rPr>
            </w:pPr>
            <w:hyperlink w:anchor="page14">
              <w:r>
                <w:rPr>
                  <w:rFonts w:ascii="Arial" w:cs="Arial" w:eastAsia="Arial" w:hAnsi="Arial"/>
                  <w:sz w:val="16"/>
                  <w:szCs w:val="16"/>
                  <w:color w:val="0000EE"/>
                  <w:w w:val="90"/>
                </w:rPr>
                <w:t>Code of Business Conduct and Ethics and Corporate Governance Guidelines</w:t>
              </w:r>
            </w:hyperlink>
          </w:p>
        </w:tc>
        <w:tc>
          <w:tcPr>
            <w:tcW w:w="3440" w:type="dxa"/>
            <w:vAlign w:val="bottom"/>
            <w:gridSpan w:val="6"/>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4980" w:type="dxa"/>
            <w:vAlign w:val="bottom"/>
            <w:tcBorders>
              <w:bottom w:val="single" w:sz="8" w:color="0000EE"/>
            </w:tcBorders>
            <w:gridSpan w:val="34"/>
            <w:vMerge w:val="continue"/>
          </w:tcPr>
          <w:p>
            <w:pPr>
              <w:spacing w:after="0"/>
              <w:rPr>
                <w:sz w:val="14"/>
                <w:szCs w:val="14"/>
                <w:color w:val="auto"/>
              </w:rPr>
            </w:pPr>
          </w:p>
        </w:tc>
        <w:tc>
          <w:tcPr>
            <w:tcW w:w="3440" w:type="dxa"/>
            <w:vAlign w:val="bottom"/>
            <w:gridSpan w:val="6"/>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8420" w:type="dxa"/>
            <w:vAlign w:val="bottom"/>
            <w:gridSpan w:val="40"/>
            <w:vMerge w:val="restart"/>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Board Leadership Structure and Risk Oversight</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8420" w:type="dxa"/>
            <w:vAlign w:val="bottom"/>
            <w:gridSpan w:val="4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2880" w:type="dxa"/>
            <w:vAlign w:val="bottom"/>
            <w:tcBorders>
              <w:top w:val="single" w:sz="8" w:color="0000EE"/>
            </w:tcBorders>
            <w:gridSpan w:val="23"/>
            <w:vMerge w:val="restart"/>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Board Leadership Structure</w:t>
              </w:r>
            </w:hyperlink>
          </w:p>
        </w:tc>
        <w:tc>
          <w:tcPr>
            <w:tcW w:w="5340" w:type="dxa"/>
            <w:vAlign w:val="bottom"/>
            <w:gridSpan w:val="16"/>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23"/>
            <w:vMerge w:val="continue"/>
          </w:tcPr>
          <w:p>
            <w:pPr>
              <w:spacing w:after="0"/>
              <w:rPr>
                <w:sz w:val="14"/>
                <w:szCs w:val="14"/>
                <w:color w:val="auto"/>
              </w:rPr>
            </w:pPr>
          </w:p>
        </w:tc>
        <w:tc>
          <w:tcPr>
            <w:tcW w:w="5340" w:type="dxa"/>
            <w:vAlign w:val="bottom"/>
            <w:gridSpan w:val="16"/>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tcBorders>
              <w:top w:val="single" w:sz="8" w:color="0000EE"/>
            </w:tcBorders>
            <w:gridSpan w:val="12"/>
            <w:vMerge w:val="restart"/>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Risk Oversight</w:t>
              </w:r>
            </w:hyperlink>
          </w:p>
        </w:tc>
        <w:tc>
          <w:tcPr>
            <w:tcW w:w="6440" w:type="dxa"/>
            <w:vAlign w:val="bottom"/>
            <w:gridSpan w:val="27"/>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12"/>
            <w:vMerge w:val="continue"/>
          </w:tcPr>
          <w:p>
            <w:pPr>
              <w:spacing w:after="0"/>
              <w:rPr>
                <w:sz w:val="14"/>
                <w:szCs w:val="14"/>
                <w:color w:val="auto"/>
              </w:rPr>
            </w:pPr>
          </w:p>
        </w:tc>
        <w:tc>
          <w:tcPr>
            <w:tcW w:w="6440" w:type="dxa"/>
            <w:vAlign w:val="bottom"/>
            <w:gridSpan w:val="27"/>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8420" w:type="dxa"/>
            <w:vAlign w:val="bottom"/>
            <w:gridSpan w:val="40"/>
            <w:vMerge w:val="restart"/>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Board Determination of Independence</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8420" w:type="dxa"/>
            <w:vAlign w:val="bottom"/>
            <w:gridSpan w:val="4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8420" w:type="dxa"/>
            <w:vAlign w:val="bottom"/>
            <w:gridSpan w:val="40"/>
            <w:vMerge w:val="restart"/>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Board of Director Meetings and Attendance</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8420" w:type="dxa"/>
            <w:vAlign w:val="bottom"/>
            <w:gridSpan w:val="4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8420" w:type="dxa"/>
            <w:vAlign w:val="bottom"/>
            <w:gridSpan w:val="40"/>
            <w:vMerge w:val="restart"/>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Communicating with the Board of Directors</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8420" w:type="dxa"/>
            <w:vAlign w:val="bottom"/>
            <w:gridSpan w:val="4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460" w:type="dxa"/>
            <w:vAlign w:val="bottom"/>
            <w:tcBorders>
              <w:top w:val="single" w:sz="8" w:color="0000EE"/>
            </w:tcBorders>
            <w:gridSpan w:val="18"/>
            <w:vMerge w:val="restart"/>
          </w:tcPr>
          <w:p>
            <w:pPr>
              <w:spacing w:after="0"/>
              <w:rPr>
                <w:rFonts w:ascii="Arial" w:cs="Arial" w:eastAsia="Arial" w:hAnsi="Arial"/>
                <w:sz w:val="16"/>
                <w:szCs w:val="16"/>
                <w:color w:val="0000EE"/>
                <w:w w:val="91"/>
              </w:rPr>
            </w:pPr>
            <w:hyperlink w:anchor="page15">
              <w:r>
                <w:rPr>
                  <w:rFonts w:ascii="Arial" w:cs="Arial" w:eastAsia="Arial" w:hAnsi="Arial"/>
                  <w:sz w:val="16"/>
                  <w:szCs w:val="16"/>
                  <w:color w:val="0000EE"/>
                  <w:w w:val="91"/>
                </w:rPr>
                <w:t>Committees of the Board of Directors</w:t>
              </w:r>
            </w:hyperlink>
          </w:p>
        </w:tc>
        <w:tc>
          <w:tcPr>
            <w:tcW w:w="440" w:type="dxa"/>
            <w:vAlign w:val="bottom"/>
            <w:tcBorders>
              <w:top w:val="single" w:sz="8" w:color="0000EE"/>
            </w:tcBorders>
            <w:gridSpan w:val="4"/>
            <w:vMerge w:val="restart"/>
          </w:tcPr>
          <w:p>
            <w:pPr>
              <w:spacing w:after="0"/>
              <w:rPr>
                <w:sz w:val="7"/>
                <w:szCs w:val="7"/>
                <w:color w:val="auto"/>
              </w:rPr>
            </w:pPr>
          </w:p>
        </w:tc>
        <w:tc>
          <w:tcPr>
            <w:tcW w:w="5520" w:type="dxa"/>
            <w:vAlign w:val="bottom"/>
            <w:gridSpan w:val="18"/>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460" w:type="dxa"/>
            <w:vAlign w:val="bottom"/>
            <w:tcBorders>
              <w:bottom w:val="single" w:sz="8" w:color="0000EE"/>
            </w:tcBorders>
            <w:gridSpan w:val="18"/>
            <w:vMerge w:val="continue"/>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5520" w:type="dxa"/>
            <w:vAlign w:val="bottom"/>
            <w:gridSpan w:val="18"/>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20" w:type="dxa"/>
            <w:vAlign w:val="bottom"/>
            <w:gridSpan w:val="39"/>
            <w:vMerge w:val="restart"/>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Audit Committee</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20" w:type="dxa"/>
            <w:vAlign w:val="bottom"/>
            <w:gridSpan w:val="39"/>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20" w:type="dxa"/>
            <w:vAlign w:val="bottom"/>
            <w:gridSpan w:val="39"/>
            <w:vMerge w:val="restart"/>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Compensation Committee</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20" w:type="dxa"/>
            <w:vAlign w:val="bottom"/>
            <w:gridSpan w:val="39"/>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320" w:type="dxa"/>
            <w:vAlign w:val="bottom"/>
            <w:gridSpan w:val="25"/>
            <w:vMerge w:val="restart"/>
          </w:tcPr>
          <w:p>
            <w:pPr>
              <w:spacing w:after="0"/>
              <w:rPr>
                <w:rFonts w:ascii="Arial" w:cs="Arial" w:eastAsia="Arial" w:hAnsi="Arial"/>
                <w:sz w:val="16"/>
                <w:szCs w:val="16"/>
                <w:color w:val="0000EE"/>
                <w:w w:val="91"/>
              </w:rPr>
            </w:pPr>
            <w:hyperlink w:anchor="page17">
              <w:r>
                <w:rPr>
                  <w:rFonts w:ascii="Arial" w:cs="Arial" w:eastAsia="Arial" w:hAnsi="Arial"/>
                  <w:sz w:val="16"/>
                  <w:szCs w:val="16"/>
                  <w:color w:val="0000EE"/>
                  <w:w w:val="91"/>
                </w:rPr>
                <w:t>Nominating and Corporate Governance Committee</w:t>
              </w:r>
            </w:hyperlink>
          </w:p>
        </w:tc>
        <w:tc>
          <w:tcPr>
            <w:tcW w:w="4900" w:type="dxa"/>
            <w:vAlign w:val="bottom"/>
            <w:gridSpan w:val="14"/>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tcBorders>
              <w:bottom w:val="single" w:sz="8" w:color="0000EE"/>
            </w:tcBorders>
            <w:gridSpan w:val="25"/>
            <w:vMerge w:val="continue"/>
          </w:tcPr>
          <w:p>
            <w:pPr>
              <w:spacing w:after="0"/>
              <w:rPr>
                <w:sz w:val="14"/>
                <w:szCs w:val="14"/>
                <w:color w:val="auto"/>
              </w:rPr>
            </w:pPr>
          </w:p>
        </w:tc>
        <w:tc>
          <w:tcPr>
            <w:tcW w:w="4900" w:type="dxa"/>
            <w:vAlign w:val="bottom"/>
            <w:gridSpan w:val="14"/>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0" w:type="dxa"/>
            <w:vAlign w:val="bottom"/>
            <w:gridSpan w:val="19"/>
            <w:vMerge w:val="restart"/>
          </w:tcPr>
          <w:p>
            <w:pPr>
              <w:spacing w:after="0"/>
              <w:rPr>
                <w:rFonts w:ascii="Arial" w:cs="Arial" w:eastAsia="Arial" w:hAnsi="Arial"/>
                <w:sz w:val="16"/>
                <w:szCs w:val="16"/>
                <w:color w:val="0000EE"/>
                <w:w w:val="91"/>
              </w:rPr>
            </w:pPr>
            <w:hyperlink w:anchor="page17">
              <w:r>
                <w:rPr>
                  <w:rFonts w:ascii="Arial" w:cs="Arial" w:eastAsia="Arial" w:hAnsi="Arial"/>
                  <w:sz w:val="16"/>
                  <w:szCs w:val="16"/>
                  <w:color w:val="0000EE"/>
                  <w:w w:val="91"/>
                </w:rPr>
                <w:t>Research and Development Committee</w:t>
              </w:r>
            </w:hyperlink>
          </w:p>
        </w:tc>
        <w:tc>
          <w:tcPr>
            <w:tcW w:w="5620" w:type="dxa"/>
            <w:vAlign w:val="bottom"/>
            <w:gridSpan w:val="20"/>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Borders>
              <w:bottom w:val="single" w:sz="8" w:color="0000EE"/>
            </w:tcBorders>
            <w:gridSpan w:val="19"/>
            <w:vMerge w:val="continue"/>
          </w:tcPr>
          <w:p>
            <w:pPr>
              <w:spacing w:after="0"/>
              <w:rPr>
                <w:sz w:val="14"/>
                <w:szCs w:val="14"/>
                <w:color w:val="auto"/>
              </w:rPr>
            </w:pPr>
          </w:p>
        </w:tc>
        <w:tc>
          <w:tcPr>
            <w:tcW w:w="5620" w:type="dxa"/>
            <w:vAlign w:val="bottom"/>
            <w:gridSpan w:val="2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8420" w:type="dxa"/>
            <w:vAlign w:val="bottom"/>
            <w:gridSpan w:val="40"/>
            <w:vMerge w:val="restart"/>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Director Nomination Process</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8420" w:type="dxa"/>
            <w:vAlign w:val="bottom"/>
            <w:gridSpan w:val="4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680" w:type="dxa"/>
            <w:vAlign w:val="bottom"/>
            <w:tcBorders>
              <w:top w:val="single" w:sz="8" w:color="0000EE"/>
            </w:tcBorders>
            <w:gridSpan w:val="11"/>
            <w:vMerge w:val="restart"/>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Criteria and Diversity</w:t>
              </w:r>
            </w:hyperlink>
          </w:p>
        </w:tc>
        <w:tc>
          <w:tcPr>
            <w:tcW w:w="6540" w:type="dxa"/>
            <w:vAlign w:val="bottom"/>
            <w:gridSpan w:val="28"/>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11"/>
            <w:vMerge w:val="continue"/>
          </w:tcPr>
          <w:p>
            <w:pPr>
              <w:spacing w:after="0"/>
              <w:rPr>
                <w:sz w:val="14"/>
                <w:szCs w:val="14"/>
                <w:color w:val="auto"/>
              </w:rPr>
            </w:pPr>
          </w:p>
        </w:tc>
        <w:tc>
          <w:tcPr>
            <w:tcW w:w="6540" w:type="dxa"/>
            <w:vAlign w:val="bottom"/>
            <w:gridSpan w:val="28"/>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80" w:type="dxa"/>
            <w:vAlign w:val="bottom"/>
            <w:gridSpan w:val="11"/>
            <w:vMerge w:val="restart"/>
          </w:tcPr>
          <w:p>
            <w:pPr>
              <w:spacing w:after="0"/>
              <w:rPr>
                <w:rFonts w:ascii="Arial" w:cs="Arial" w:eastAsia="Arial" w:hAnsi="Arial"/>
                <w:sz w:val="16"/>
                <w:szCs w:val="16"/>
                <w:color w:val="0000EE"/>
                <w:w w:val="92"/>
              </w:rPr>
            </w:pPr>
            <w:hyperlink w:anchor="page18">
              <w:r>
                <w:rPr>
                  <w:rFonts w:ascii="Arial" w:cs="Arial" w:eastAsia="Arial" w:hAnsi="Arial"/>
                  <w:sz w:val="16"/>
                  <w:szCs w:val="16"/>
                  <w:color w:val="0000EE"/>
                  <w:w w:val="92"/>
                </w:rPr>
                <w:t>Stockholder Nominations</w:t>
              </w:r>
            </w:hyperlink>
          </w:p>
        </w:tc>
        <w:tc>
          <w:tcPr>
            <w:tcW w:w="6540" w:type="dxa"/>
            <w:vAlign w:val="bottom"/>
            <w:gridSpan w:val="28"/>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Borders>
              <w:bottom w:val="single" w:sz="8" w:color="0000EE"/>
            </w:tcBorders>
            <w:gridSpan w:val="11"/>
            <w:vMerge w:val="continue"/>
          </w:tcPr>
          <w:p>
            <w:pPr>
              <w:spacing w:after="0"/>
              <w:rPr>
                <w:sz w:val="14"/>
                <w:szCs w:val="14"/>
                <w:color w:val="auto"/>
              </w:rPr>
            </w:pPr>
          </w:p>
        </w:tc>
        <w:tc>
          <w:tcPr>
            <w:tcW w:w="6540" w:type="dxa"/>
            <w:vAlign w:val="bottom"/>
            <w:gridSpan w:val="28"/>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82"/>
        </w:trPr>
        <w:tc>
          <w:tcPr>
            <w:tcW w:w="8620" w:type="dxa"/>
            <w:vAlign w:val="bottom"/>
            <w:gridSpan w:val="41"/>
            <w:vMerge w:val="restart"/>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EXECUTIVE OFFICERS</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20" w:type="dxa"/>
            <w:vAlign w:val="bottom"/>
            <w:gridSpan w:val="41"/>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8620" w:type="dxa"/>
            <w:vAlign w:val="bottom"/>
            <w:gridSpan w:val="41"/>
            <w:vMerge w:val="restart"/>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EXECUTIVE COMPENSATION</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20" w:type="dxa"/>
            <w:vAlign w:val="bottom"/>
            <w:gridSpan w:val="41"/>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8420" w:type="dxa"/>
            <w:vAlign w:val="bottom"/>
            <w:gridSpan w:val="40"/>
            <w:vMerge w:val="restart"/>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Compensation Discussion and Analysis</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8420" w:type="dxa"/>
            <w:vAlign w:val="bottom"/>
            <w:gridSpan w:val="4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320" w:type="dxa"/>
            <w:vAlign w:val="bottom"/>
            <w:tcBorders>
              <w:top w:val="single" w:sz="8" w:color="0000EE"/>
            </w:tcBorders>
            <w:gridSpan w:val="9"/>
            <w:vMerge w:val="restart"/>
          </w:tcPr>
          <w:p>
            <w:pPr>
              <w:spacing w:after="0"/>
              <w:rPr>
                <w:rFonts w:ascii="Arial" w:cs="Arial" w:eastAsia="Arial" w:hAnsi="Arial"/>
                <w:sz w:val="16"/>
                <w:szCs w:val="16"/>
                <w:color w:val="0000EE"/>
                <w:w w:val="91"/>
              </w:rPr>
            </w:pPr>
            <w:hyperlink w:anchor="page21">
              <w:r>
                <w:rPr>
                  <w:rFonts w:ascii="Arial" w:cs="Arial" w:eastAsia="Arial" w:hAnsi="Arial"/>
                  <w:sz w:val="16"/>
                  <w:szCs w:val="16"/>
                  <w:color w:val="0000EE"/>
                  <w:w w:val="91"/>
                </w:rPr>
                <w:t>Executive Summary</w:t>
              </w:r>
            </w:hyperlink>
          </w:p>
        </w:tc>
        <w:tc>
          <w:tcPr>
            <w:tcW w:w="1040" w:type="dxa"/>
            <w:vAlign w:val="bottom"/>
            <w:tcBorders>
              <w:top w:val="single" w:sz="8" w:color="0000EE"/>
            </w:tcBorders>
            <w:gridSpan w:val="9"/>
            <w:vMerge w:val="restart"/>
          </w:tcPr>
          <w:p>
            <w:pPr>
              <w:spacing w:after="0"/>
              <w:rPr>
                <w:sz w:val="7"/>
                <w:szCs w:val="7"/>
                <w:color w:val="auto"/>
              </w:rPr>
            </w:pPr>
          </w:p>
        </w:tc>
        <w:tc>
          <w:tcPr>
            <w:tcW w:w="5860" w:type="dxa"/>
            <w:vAlign w:val="bottom"/>
            <w:gridSpan w:val="21"/>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Borders>
              <w:bottom w:val="single" w:sz="8" w:color="0000EE"/>
            </w:tcBorders>
            <w:gridSpan w:val="9"/>
            <w:vMerge w:val="continue"/>
          </w:tcPr>
          <w:p>
            <w:pPr>
              <w:spacing w:after="0"/>
              <w:rPr>
                <w:sz w:val="14"/>
                <w:szCs w:val="14"/>
                <w:color w:val="auto"/>
              </w:rPr>
            </w:pPr>
          </w:p>
        </w:tc>
        <w:tc>
          <w:tcPr>
            <w:tcW w:w="1040" w:type="dxa"/>
            <w:vAlign w:val="bottom"/>
            <w:gridSpan w:val="9"/>
            <w:vMerge w:val="continue"/>
          </w:tcPr>
          <w:p>
            <w:pPr>
              <w:spacing w:after="0"/>
              <w:rPr>
                <w:sz w:val="14"/>
                <w:szCs w:val="14"/>
                <w:color w:val="auto"/>
              </w:rPr>
            </w:pPr>
          </w:p>
        </w:tc>
        <w:tc>
          <w:tcPr>
            <w:tcW w:w="5860" w:type="dxa"/>
            <w:vAlign w:val="bottom"/>
            <w:gridSpan w:val="21"/>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20" w:type="dxa"/>
            <w:vAlign w:val="bottom"/>
            <w:gridSpan w:val="39"/>
            <w:vMerge w:val="restart"/>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Compensation Objectives and Philosophy</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20" w:type="dxa"/>
            <w:vAlign w:val="bottom"/>
            <w:gridSpan w:val="39"/>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20" w:type="dxa"/>
            <w:vAlign w:val="bottom"/>
            <w:gridSpan w:val="39"/>
            <w:vMerge w:val="restart"/>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Overview of Executive Compensation Process</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20" w:type="dxa"/>
            <w:vAlign w:val="bottom"/>
            <w:gridSpan w:val="39"/>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120" w:type="dxa"/>
            <w:vAlign w:val="bottom"/>
            <w:gridSpan w:val="29"/>
            <w:vMerge w:val="restart"/>
          </w:tcPr>
          <w:p>
            <w:pPr>
              <w:spacing w:after="0"/>
              <w:rPr>
                <w:rFonts w:ascii="Arial" w:cs="Arial" w:eastAsia="Arial" w:hAnsi="Arial"/>
                <w:sz w:val="16"/>
                <w:szCs w:val="16"/>
                <w:color w:val="0000EE"/>
                <w:w w:val="92"/>
              </w:rPr>
            </w:pPr>
            <w:hyperlink w:anchor="page26">
              <w:r>
                <w:rPr>
                  <w:rFonts w:ascii="Arial" w:cs="Arial" w:eastAsia="Arial" w:hAnsi="Arial"/>
                  <w:sz w:val="16"/>
                  <w:szCs w:val="16"/>
                  <w:color w:val="0000EE"/>
                  <w:w w:val="92"/>
                </w:rPr>
                <w:t>Defining and Comparing Compensation to Market Benchmarks</w:t>
              </w:r>
            </w:hyperlink>
          </w:p>
        </w:tc>
        <w:tc>
          <w:tcPr>
            <w:tcW w:w="4100" w:type="dxa"/>
            <w:vAlign w:val="bottom"/>
            <w:gridSpan w:val="10"/>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20" w:type="dxa"/>
            <w:vAlign w:val="bottom"/>
            <w:tcBorders>
              <w:bottom w:val="single" w:sz="8" w:color="0000EE"/>
            </w:tcBorders>
            <w:gridSpan w:val="29"/>
            <w:vMerge w:val="continue"/>
          </w:tcPr>
          <w:p>
            <w:pPr>
              <w:spacing w:after="0"/>
              <w:rPr>
                <w:sz w:val="14"/>
                <w:szCs w:val="14"/>
                <w:color w:val="auto"/>
              </w:rPr>
            </w:pPr>
          </w:p>
        </w:tc>
        <w:tc>
          <w:tcPr>
            <w:tcW w:w="4100" w:type="dxa"/>
            <w:vAlign w:val="bottom"/>
            <w:gridSpan w:val="1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20" w:type="dxa"/>
            <w:vAlign w:val="bottom"/>
            <w:gridSpan w:val="39"/>
            <w:vMerge w:val="restart"/>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Executive Compensation Elements</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20" w:type="dxa"/>
            <w:vAlign w:val="bottom"/>
            <w:gridSpan w:val="39"/>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8420" w:type="dxa"/>
            <w:vAlign w:val="bottom"/>
            <w:gridSpan w:val="40"/>
            <w:vMerge w:val="restart"/>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2019 Executive Compensation</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8420" w:type="dxa"/>
            <w:vAlign w:val="bottom"/>
            <w:gridSpan w:val="4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560" w:type="dxa"/>
            <w:vAlign w:val="bottom"/>
            <w:gridSpan w:val="31"/>
            <w:vMerge w:val="restart"/>
          </w:tcPr>
          <w:p>
            <w:pPr>
              <w:spacing w:after="0"/>
              <w:rPr>
                <w:rFonts w:ascii="Arial" w:cs="Arial" w:eastAsia="Arial" w:hAnsi="Arial"/>
                <w:sz w:val="16"/>
                <w:szCs w:val="16"/>
                <w:color w:val="0000EE"/>
                <w:w w:val="91"/>
              </w:rPr>
            </w:pPr>
            <w:hyperlink w:anchor="page32">
              <w:r>
                <w:rPr>
                  <w:rFonts w:ascii="Arial" w:cs="Arial" w:eastAsia="Arial" w:hAnsi="Arial"/>
                  <w:sz w:val="16"/>
                  <w:szCs w:val="16"/>
                  <w:color w:val="0000EE"/>
                  <w:w w:val="91"/>
                </w:rPr>
                <w:t>Base Salary Compensation for Our Named Executive Officers in 2019</w:t>
              </w:r>
            </w:hyperlink>
          </w:p>
        </w:tc>
        <w:tc>
          <w:tcPr>
            <w:tcW w:w="3660" w:type="dxa"/>
            <w:vAlign w:val="bottom"/>
            <w:gridSpan w:val="8"/>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60" w:type="dxa"/>
            <w:vAlign w:val="bottom"/>
            <w:tcBorders>
              <w:bottom w:val="single" w:sz="8" w:color="0000EE"/>
            </w:tcBorders>
            <w:gridSpan w:val="31"/>
            <w:vMerge w:val="continue"/>
          </w:tcPr>
          <w:p>
            <w:pPr>
              <w:spacing w:after="0"/>
              <w:rPr>
                <w:sz w:val="14"/>
                <w:szCs w:val="14"/>
                <w:color w:val="auto"/>
              </w:rPr>
            </w:pPr>
          </w:p>
        </w:tc>
        <w:tc>
          <w:tcPr>
            <w:tcW w:w="3660" w:type="dxa"/>
            <w:vAlign w:val="bottom"/>
            <w:gridSpan w:val="8"/>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760" w:type="dxa"/>
            <w:vAlign w:val="bottom"/>
            <w:gridSpan w:val="32"/>
            <w:vMerge w:val="restart"/>
          </w:tcPr>
          <w:p>
            <w:pPr>
              <w:spacing w:after="0"/>
              <w:rPr>
                <w:rFonts w:ascii="Arial" w:cs="Arial" w:eastAsia="Arial" w:hAnsi="Arial"/>
                <w:sz w:val="16"/>
                <w:szCs w:val="16"/>
                <w:color w:val="0000EE"/>
                <w:w w:val="92"/>
              </w:rPr>
            </w:pPr>
            <w:hyperlink w:anchor="page32">
              <w:r>
                <w:rPr>
                  <w:rFonts w:ascii="Arial" w:cs="Arial" w:eastAsia="Arial" w:hAnsi="Arial"/>
                  <w:sz w:val="16"/>
                  <w:szCs w:val="16"/>
                  <w:color w:val="0000EE"/>
                  <w:w w:val="92"/>
                </w:rPr>
                <w:t>Cash Incentive Compensation for Our Named Executive Officers in 2019</w:t>
              </w:r>
            </w:hyperlink>
          </w:p>
        </w:tc>
        <w:tc>
          <w:tcPr>
            <w:tcW w:w="3460" w:type="dxa"/>
            <w:vAlign w:val="bottom"/>
            <w:gridSpan w:val="7"/>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60" w:type="dxa"/>
            <w:vAlign w:val="bottom"/>
            <w:tcBorders>
              <w:bottom w:val="single" w:sz="8" w:color="0000EE"/>
            </w:tcBorders>
            <w:gridSpan w:val="32"/>
            <w:vMerge w:val="continue"/>
          </w:tcPr>
          <w:p>
            <w:pPr>
              <w:spacing w:after="0"/>
              <w:rPr>
                <w:sz w:val="14"/>
                <w:szCs w:val="14"/>
                <w:color w:val="auto"/>
              </w:rPr>
            </w:pPr>
          </w:p>
        </w:tc>
        <w:tc>
          <w:tcPr>
            <w:tcW w:w="3460" w:type="dxa"/>
            <w:vAlign w:val="bottom"/>
            <w:gridSpan w:val="7"/>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8420" w:type="dxa"/>
            <w:vAlign w:val="bottom"/>
            <w:gridSpan w:val="40"/>
            <w:vMerge w:val="restart"/>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Summary Compensation Table</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8420" w:type="dxa"/>
            <w:vAlign w:val="bottom"/>
            <w:gridSpan w:val="4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1980" w:type="dxa"/>
            <w:vAlign w:val="bottom"/>
            <w:tcBorders>
              <w:top w:val="single" w:sz="8" w:color="0000EE"/>
            </w:tcBorders>
            <w:gridSpan w:val="13"/>
            <w:vMerge w:val="restart"/>
          </w:tcPr>
          <w:p>
            <w:pPr>
              <w:spacing w:after="0"/>
              <w:rPr>
                <w:rFonts w:ascii="Arial" w:cs="Arial" w:eastAsia="Arial" w:hAnsi="Arial"/>
                <w:sz w:val="16"/>
                <w:szCs w:val="16"/>
                <w:color w:val="0000EE"/>
                <w:w w:val="92"/>
              </w:rPr>
            </w:pPr>
            <w:hyperlink w:anchor="page34">
              <w:r>
                <w:rPr>
                  <w:rFonts w:ascii="Arial" w:cs="Arial" w:eastAsia="Arial" w:hAnsi="Arial"/>
                  <w:sz w:val="16"/>
                  <w:szCs w:val="16"/>
                  <w:color w:val="0000EE"/>
                  <w:w w:val="92"/>
                </w:rPr>
                <w:t>Grants of Plan-Based Awards</w:t>
              </w:r>
            </w:hyperlink>
          </w:p>
        </w:tc>
        <w:tc>
          <w:tcPr>
            <w:tcW w:w="6440" w:type="dxa"/>
            <w:vAlign w:val="bottom"/>
            <w:gridSpan w:val="27"/>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1980" w:type="dxa"/>
            <w:vAlign w:val="bottom"/>
            <w:tcBorders>
              <w:bottom w:val="single" w:sz="8" w:color="0000EE"/>
            </w:tcBorders>
            <w:gridSpan w:val="13"/>
            <w:vMerge w:val="continue"/>
          </w:tcPr>
          <w:p>
            <w:pPr>
              <w:spacing w:after="0"/>
              <w:rPr>
                <w:sz w:val="14"/>
                <w:szCs w:val="14"/>
                <w:color w:val="auto"/>
              </w:rPr>
            </w:pPr>
          </w:p>
        </w:tc>
        <w:tc>
          <w:tcPr>
            <w:tcW w:w="6440" w:type="dxa"/>
            <w:vAlign w:val="bottom"/>
            <w:gridSpan w:val="27"/>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8420" w:type="dxa"/>
            <w:vAlign w:val="bottom"/>
            <w:gridSpan w:val="40"/>
            <w:vMerge w:val="restart"/>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Outstanding Equity Awards at Fiscal Year-End</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8420" w:type="dxa"/>
            <w:vAlign w:val="bottom"/>
            <w:gridSpan w:val="4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3020" w:type="dxa"/>
            <w:vAlign w:val="bottom"/>
            <w:tcBorders>
              <w:top w:val="single" w:sz="8" w:color="0000EE"/>
            </w:tcBorders>
            <w:gridSpan w:val="23"/>
            <w:vMerge w:val="restart"/>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Option Exercises and Stock Vested</w:t>
              </w:r>
            </w:hyperlink>
          </w:p>
        </w:tc>
        <w:tc>
          <w:tcPr>
            <w:tcW w:w="5400" w:type="dxa"/>
            <w:vAlign w:val="bottom"/>
            <w:gridSpan w:val="17"/>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3020" w:type="dxa"/>
            <w:vAlign w:val="bottom"/>
            <w:gridSpan w:val="23"/>
            <w:vMerge w:val="continue"/>
          </w:tcPr>
          <w:p>
            <w:pPr>
              <w:spacing w:after="0"/>
              <w:rPr>
                <w:sz w:val="14"/>
                <w:szCs w:val="14"/>
                <w:color w:val="auto"/>
              </w:rPr>
            </w:pPr>
          </w:p>
        </w:tc>
        <w:tc>
          <w:tcPr>
            <w:tcW w:w="5400" w:type="dxa"/>
            <w:vAlign w:val="bottom"/>
            <w:gridSpan w:val="17"/>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4100" w:type="dxa"/>
            <w:vAlign w:val="bottom"/>
            <w:gridSpan w:val="28"/>
            <w:vMerge w:val="restart"/>
          </w:tcPr>
          <w:p>
            <w:pPr>
              <w:spacing w:after="0"/>
              <w:rPr>
                <w:rFonts w:ascii="Arial" w:cs="Arial" w:eastAsia="Arial" w:hAnsi="Arial"/>
                <w:sz w:val="16"/>
                <w:szCs w:val="16"/>
                <w:color w:val="0000EE"/>
                <w:w w:val="91"/>
              </w:rPr>
            </w:pPr>
            <w:hyperlink w:anchor="page36">
              <w:r>
                <w:rPr>
                  <w:rFonts w:ascii="Arial" w:cs="Arial" w:eastAsia="Arial" w:hAnsi="Arial"/>
                  <w:sz w:val="16"/>
                  <w:szCs w:val="16"/>
                  <w:color w:val="0000EE"/>
                  <w:w w:val="91"/>
                </w:rPr>
                <w:t>Employment, Severance and Change-in-Control Arrangements</w:t>
              </w:r>
            </w:hyperlink>
          </w:p>
        </w:tc>
        <w:tc>
          <w:tcPr>
            <w:tcW w:w="4320" w:type="dxa"/>
            <w:vAlign w:val="bottom"/>
            <w:gridSpan w:val="12"/>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4100" w:type="dxa"/>
            <w:vAlign w:val="bottom"/>
            <w:tcBorders>
              <w:bottom w:val="single" w:sz="8" w:color="0000EE"/>
            </w:tcBorders>
            <w:gridSpan w:val="28"/>
            <w:vMerge w:val="continue"/>
          </w:tcPr>
          <w:p>
            <w:pPr>
              <w:spacing w:after="0"/>
              <w:rPr>
                <w:sz w:val="14"/>
                <w:szCs w:val="14"/>
                <w:color w:val="auto"/>
              </w:rPr>
            </w:pPr>
          </w:p>
        </w:tc>
        <w:tc>
          <w:tcPr>
            <w:tcW w:w="4320" w:type="dxa"/>
            <w:vAlign w:val="bottom"/>
            <w:gridSpan w:val="12"/>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20" w:type="dxa"/>
            <w:vAlign w:val="bottom"/>
            <w:gridSpan w:val="39"/>
            <w:vMerge w:val="restart"/>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Potential Payments Upon Termination or Change-in-Control</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20" w:type="dxa"/>
            <w:vAlign w:val="bottom"/>
            <w:gridSpan w:val="39"/>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1200" w:type="dxa"/>
            <w:vAlign w:val="bottom"/>
            <w:gridSpan w:val="6"/>
            <w:vMerge w:val="restart"/>
          </w:tcPr>
          <w:p>
            <w:pPr>
              <w:spacing w:after="0"/>
              <w:rPr>
                <w:rFonts w:ascii="Arial" w:cs="Arial" w:eastAsia="Arial" w:hAnsi="Arial"/>
                <w:sz w:val="16"/>
                <w:szCs w:val="16"/>
                <w:color w:val="0000EE"/>
                <w:w w:val="90"/>
              </w:rPr>
            </w:pPr>
            <w:hyperlink w:anchor="page38">
              <w:r>
                <w:rPr>
                  <w:rFonts w:ascii="Arial" w:cs="Arial" w:eastAsia="Arial" w:hAnsi="Arial"/>
                  <w:sz w:val="16"/>
                  <w:szCs w:val="16"/>
                  <w:color w:val="0000EE"/>
                  <w:w w:val="90"/>
                </w:rPr>
                <w:t>Other Agreements</w:t>
              </w:r>
            </w:hyperlink>
          </w:p>
        </w:tc>
        <w:tc>
          <w:tcPr>
            <w:tcW w:w="7220" w:type="dxa"/>
            <w:vAlign w:val="bottom"/>
            <w:gridSpan w:val="34"/>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200" w:type="dxa"/>
            <w:vAlign w:val="bottom"/>
          </w:tcPr>
          <w:p>
            <w:pPr>
              <w:spacing w:after="0"/>
              <w:rPr>
                <w:sz w:val="24"/>
                <w:szCs w:val="24"/>
                <w:color w:val="auto"/>
              </w:rPr>
            </w:pPr>
          </w:p>
        </w:tc>
        <w:tc>
          <w:tcPr>
            <w:tcW w:w="1200" w:type="dxa"/>
            <w:vAlign w:val="bottom"/>
            <w:tcBorders>
              <w:bottom w:val="single" w:sz="8" w:color="0000EE"/>
            </w:tcBorders>
            <w:gridSpan w:val="6"/>
            <w:vMerge w:val="continue"/>
          </w:tcPr>
          <w:p>
            <w:pPr>
              <w:spacing w:after="0"/>
              <w:rPr>
                <w:sz w:val="24"/>
                <w:szCs w:val="24"/>
                <w:color w:val="auto"/>
              </w:rPr>
            </w:pPr>
          </w:p>
        </w:tc>
        <w:tc>
          <w:tcPr>
            <w:tcW w:w="7220" w:type="dxa"/>
            <w:vAlign w:val="bottom"/>
            <w:gridSpan w:val="34"/>
            <w:vMerge w:val="continue"/>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8420" w:type="dxa"/>
            <w:vAlign w:val="bottom"/>
            <w:gridSpan w:val="40"/>
            <w:vMerge w:val="restart"/>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Limitation of Liability and Indemnification</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8420" w:type="dxa"/>
            <w:vAlign w:val="bottom"/>
            <w:gridSpan w:val="4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4020" w:type="dxa"/>
            <w:vAlign w:val="bottom"/>
            <w:gridSpan w:val="27"/>
            <w:vMerge w:val="restart"/>
          </w:tcPr>
          <w:p>
            <w:pPr>
              <w:spacing w:after="0"/>
              <w:rPr>
                <w:rFonts w:ascii="Arial" w:cs="Arial" w:eastAsia="Arial" w:hAnsi="Arial"/>
                <w:sz w:val="16"/>
                <w:szCs w:val="16"/>
                <w:color w:val="0000EE"/>
                <w:w w:val="92"/>
              </w:rPr>
            </w:pPr>
            <w:hyperlink w:anchor="page38">
              <w:r>
                <w:rPr>
                  <w:rFonts w:ascii="Arial" w:cs="Arial" w:eastAsia="Arial" w:hAnsi="Arial"/>
                  <w:sz w:val="16"/>
                  <w:szCs w:val="16"/>
                  <w:color w:val="0000EE"/>
                  <w:w w:val="92"/>
                </w:rPr>
                <w:t>Compensation Committee Interlocks and Insider Participation</w:t>
              </w:r>
            </w:hyperlink>
          </w:p>
        </w:tc>
        <w:tc>
          <w:tcPr>
            <w:tcW w:w="4400" w:type="dxa"/>
            <w:vAlign w:val="bottom"/>
            <w:gridSpan w:val="13"/>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4020" w:type="dxa"/>
            <w:vAlign w:val="bottom"/>
            <w:tcBorders>
              <w:bottom w:val="single" w:sz="8" w:color="0000EE"/>
            </w:tcBorders>
            <w:gridSpan w:val="27"/>
            <w:vMerge w:val="continue"/>
          </w:tcPr>
          <w:p>
            <w:pPr>
              <w:spacing w:after="0"/>
              <w:rPr>
                <w:sz w:val="14"/>
                <w:szCs w:val="14"/>
                <w:color w:val="auto"/>
              </w:rPr>
            </w:pPr>
          </w:p>
        </w:tc>
        <w:tc>
          <w:tcPr>
            <w:tcW w:w="4400" w:type="dxa"/>
            <w:vAlign w:val="bottom"/>
            <w:gridSpan w:val="13"/>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180" w:type="dxa"/>
            <w:vAlign w:val="bottom"/>
            <w:gridSpan w:val="16"/>
            <w:vMerge w:val="restart"/>
          </w:tcPr>
          <w:p>
            <w:pPr>
              <w:spacing w:after="0"/>
              <w:rPr>
                <w:rFonts w:ascii="Arial" w:cs="Arial" w:eastAsia="Arial" w:hAnsi="Arial"/>
                <w:sz w:val="16"/>
                <w:szCs w:val="16"/>
                <w:color w:val="0000EE"/>
                <w:w w:val="90"/>
              </w:rPr>
            </w:pPr>
            <w:hyperlink w:anchor="page39">
              <w:r>
                <w:rPr>
                  <w:rFonts w:ascii="Arial" w:cs="Arial" w:eastAsia="Arial" w:hAnsi="Arial"/>
                  <w:sz w:val="16"/>
                  <w:szCs w:val="16"/>
                  <w:color w:val="0000EE"/>
                  <w:w w:val="90"/>
                </w:rPr>
                <w:t>Compensation Committee Report</w:t>
              </w:r>
            </w:hyperlink>
          </w:p>
        </w:tc>
        <w:tc>
          <w:tcPr>
            <w:tcW w:w="6240" w:type="dxa"/>
            <w:vAlign w:val="bottom"/>
            <w:gridSpan w:val="24"/>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180" w:type="dxa"/>
            <w:vAlign w:val="bottom"/>
            <w:tcBorders>
              <w:bottom w:val="single" w:sz="8" w:color="0000EE"/>
            </w:tcBorders>
            <w:gridSpan w:val="16"/>
            <w:vMerge w:val="continue"/>
          </w:tcPr>
          <w:p>
            <w:pPr>
              <w:spacing w:after="0"/>
              <w:rPr>
                <w:sz w:val="14"/>
                <w:szCs w:val="14"/>
                <w:color w:val="auto"/>
              </w:rPr>
            </w:pPr>
          </w:p>
        </w:tc>
        <w:tc>
          <w:tcPr>
            <w:tcW w:w="6240" w:type="dxa"/>
            <w:vAlign w:val="bottom"/>
            <w:gridSpan w:val="24"/>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82"/>
        </w:trPr>
        <w:tc>
          <w:tcPr>
            <w:tcW w:w="2220" w:type="dxa"/>
            <w:vAlign w:val="bottom"/>
            <w:gridSpan w:val="15"/>
            <w:vMerge w:val="restart"/>
          </w:tcPr>
          <w:p>
            <w:pPr>
              <w:spacing w:after="0"/>
              <w:rPr>
                <w:rFonts w:ascii="Arial" w:cs="Arial" w:eastAsia="Arial" w:hAnsi="Arial"/>
                <w:sz w:val="16"/>
                <w:szCs w:val="16"/>
                <w:color w:val="0000EE"/>
                <w:w w:val="94"/>
              </w:rPr>
            </w:pPr>
            <w:hyperlink w:anchor="page40">
              <w:r>
                <w:rPr>
                  <w:rFonts w:ascii="Arial" w:cs="Arial" w:eastAsia="Arial" w:hAnsi="Arial"/>
                  <w:sz w:val="16"/>
                  <w:szCs w:val="16"/>
                  <w:color w:val="0000EE"/>
                  <w:w w:val="94"/>
                </w:rPr>
                <w:t>CEO PAY RATIO DISCLOSURE</w:t>
              </w:r>
            </w:hyperlink>
          </w:p>
        </w:tc>
        <w:tc>
          <w:tcPr>
            <w:tcW w:w="6400" w:type="dxa"/>
            <w:vAlign w:val="bottom"/>
            <w:gridSpan w:val="26"/>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220" w:type="dxa"/>
            <w:vAlign w:val="bottom"/>
            <w:tcBorders>
              <w:bottom w:val="single" w:sz="8" w:color="0000EE"/>
            </w:tcBorders>
            <w:gridSpan w:val="15"/>
            <w:vMerge w:val="continue"/>
          </w:tcPr>
          <w:p>
            <w:pPr>
              <w:spacing w:after="0"/>
              <w:rPr>
                <w:sz w:val="14"/>
                <w:szCs w:val="14"/>
                <w:color w:val="auto"/>
              </w:rPr>
            </w:pPr>
          </w:p>
        </w:tc>
        <w:tc>
          <w:tcPr>
            <w:tcW w:w="6400" w:type="dxa"/>
            <w:vAlign w:val="bottom"/>
            <w:gridSpan w:val="26"/>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8420" w:type="dxa"/>
            <w:vAlign w:val="bottom"/>
            <w:gridSpan w:val="40"/>
            <w:vMerge w:val="restart"/>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Pay Ratio Disclosure</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8420" w:type="dxa"/>
            <w:vAlign w:val="bottom"/>
            <w:gridSpan w:val="4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880" w:type="dxa"/>
            <w:vAlign w:val="bottom"/>
            <w:tcBorders>
              <w:top w:val="single" w:sz="8" w:color="0000EE"/>
            </w:tcBorders>
            <w:gridSpan w:val="3"/>
            <w:vMerge w:val="restart"/>
          </w:tcPr>
          <w:p>
            <w:pPr>
              <w:spacing w:after="0"/>
              <w:rPr>
                <w:rFonts w:ascii="Arial" w:cs="Arial" w:eastAsia="Arial" w:hAnsi="Arial"/>
                <w:sz w:val="16"/>
                <w:szCs w:val="16"/>
                <w:color w:val="0000EE"/>
                <w:w w:val="93"/>
              </w:rPr>
            </w:pPr>
            <w:hyperlink w:anchor="page40">
              <w:r>
                <w:rPr>
                  <w:rFonts w:ascii="Arial" w:cs="Arial" w:eastAsia="Arial" w:hAnsi="Arial"/>
                  <w:sz w:val="16"/>
                  <w:szCs w:val="16"/>
                  <w:color w:val="0000EE"/>
                  <w:w w:val="93"/>
                </w:rPr>
                <w:t>Methodology</w:t>
              </w:r>
            </w:hyperlink>
          </w:p>
        </w:tc>
        <w:tc>
          <w:tcPr>
            <w:tcW w:w="480" w:type="dxa"/>
            <w:vAlign w:val="bottom"/>
            <w:tcBorders>
              <w:top w:val="single" w:sz="8" w:color="0000EE"/>
            </w:tcBorders>
            <w:gridSpan w:val="5"/>
            <w:vMerge w:val="restart"/>
          </w:tcPr>
          <w:p>
            <w:pPr>
              <w:spacing w:after="0"/>
              <w:rPr>
                <w:sz w:val="7"/>
                <w:szCs w:val="7"/>
                <w:color w:val="auto"/>
              </w:rPr>
            </w:pPr>
          </w:p>
        </w:tc>
        <w:tc>
          <w:tcPr>
            <w:tcW w:w="7060" w:type="dxa"/>
            <w:vAlign w:val="bottom"/>
            <w:gridSpan w:val="32"/>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880" w:type="dxa"/>
            <w:vAlign w:val="bottom"/>
            <w:tcBorders>
              <w:bottom w:val="single" w:sz="8" w:color="0000EE"/>
            </w:tcBorders>
            <w:gridSpan w:val="3"/>
            <w:vMerge w:val="continue"/>
          </w:tcPr>
          <w:p>
            <w:pPr>
              <w:spacing w:after="0"/>
              <w:rPr>
                <w:sz w:val="14"/>
                <w:szCs w:val="14"/>
                <w:color w:val="auto"/>
              </w:rPr>
            </w:pPr>
          </w:p>
        </w:tc>
        <w:tc>
          <w:tcPr>
            <w:tcW w:w="480" w:type="dxa"/>
            <w:vAlign w:val="bottom"/>
            <w:gridSpan w:val="5"/>
            <w:vMerge w:val="continue"/>
          </w:tcPr>
          <w:p>
            <w:pPr>
              <w:spacing w:after="0"/>
              <w:rPr>
                <w:sz w:val="14"/>
                <w:szCs w:val="14"/>
                <w:color w:val="auto"/>
              </w:rPr>
            </w:pPr>
          </w:p>
        </w:tc>
        <w:tc>
          <w:tcPr>
            <w:tcW w:w="7060" w:type="dxa"/>
            <w:vAlign w:val="bottom"/>
            <w:gridSpan w:val="32"/>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82"/>
        </w:trPr>
        <w:tc>
          <w:tcPr>
            <w:tcW w:w="8620" w:type="dxa"/>
            <w:vAlign w:val="bottom"/>
            <w:gridSpan w:val="41"/>
            <w:vMerge w:val="restart"/>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DIRECTOR COMPENSATION</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20" w:type="dxa"/>
            <w:vAlign w:val="bottom"/>
            <w:gridSpan w:val="41"/>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8620" w:type="dxa"/>
            <w:vAlign w:val="bottom"/>
            <w:gridSpan w:val="41"/>
            <w:vMerge w:val="restart"/>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SECURITIES AUTHORIZED FOR ISSUANCE UNDER EQUITY COMPENSATION PLANS</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620" w:type="dxa"/>
            <w:vAlign w:val="bottom"/>
            <w:gridSpan w:val="41"/>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82"/>
        </w:trPr>
        <w:tc>
          <w:tcPr>
            <w:tcW w:w="6280" w:type="dxa"/>
            <w:vAlign w:val="bottom"/>
            <w:tcBorders>
              <w:top w:val="single" w:sz="8" w:color="0000EE"/>
            </w:tcBorders>
            <w:gridSpan w:val="39"/>
            <w:vMerge w:val="restart"/>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REPORT OF THE AUDIT COMMITTEE OF THE BOARD OF DIRECTORS</w:t>
              </w:r>
            </w:hyperlink>
          </w:p>
        </w:tc>
        <w:tc>
          <w:tcPr>
            <w:tcW w:w="2340" w:type="dxa"/>
            <w:vAlign w:val="bottom"/>
            <w:gridSpan w:val="2"/>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280" w:type="dxa"/>
            <w:vAlign w:val="bottom"/>
            <w:gridSpan w:val="39"/>
            <w:vMerge w:val="continue"/>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82"/>
        </w:trPr>
        <w:tc>
          <w:tcPr>
            <w:tcW w:w="4940" w:type="dxa"/>
            <w:vAlign w:val="bottom"/>
            <w:tcBorders>
              <w:top w:val="single" w:sz="8" w:color="0000EE"/>
            </w:tcBorders>
            <w:gridSpan w:val="32"/>
            <w:vMerge w:val="restart"/>
          </w:tcPr>
          <w:p>
            <w:pPr>
              <w:spacing w:after="0"/>
              <w:rPr>
                <w:rFonts w:ascii="Arial" w:cs="Arial" w:eastAsia="Arial" w:hAnsi="Arial"/>
                <w:sz w:val="16"/>
                <w:szCs w:val="16"/>
                <w:color w:val="0000EE"/>
                <w:w w:val="97"/>
              </w:rPr>
            </w:pPr>
            <w:hyperlink w:anchor="page45">
              <w:r>
                <w:rPr>
                  <w:rFonts w:ascii="Arial" w:cs="Arial" w:eastAsia="Arial" w:hAnsi="Arial"/>
                  <w:sz w:val="16"/>
                  <w:szCs w:val="16"/>
                  <w:color w:val="0000EE"/>
                  <w:w w:val="97"/>
                </w:rPr>
                <w:t>PROPOSAL 2—ADVISORY VOTE ON EXECUTIVE COMPENSATION</w:t>
              </w:r>
            </w:hyperlink>
          </w:p>
        </w:tc>
        <w:tc>
          <w:tcPr>
            <w:tcW w:w="220" w:type="dxa"/>
            <w:vAlign w:val="bottom"/>
            <w:tcBorders>
              <w:top w:val="single" w:sz="8" w:color="0000EE"/>
            </w:tcBorders>
            <w:gridSpan w:val="2"/>
            <w:vMerge w:val="restart"/>
          </w:tcPr>
          <w:p>
            <w:pPr>
              <w:spacing w:after="0"/>
              <w:rPr>
                <w:sz w:val="7"/>
                <w:szCs w:val="7"/>
                <w:color w:val="auto"/>
              </w:rPr>
            </w:pPr>
          </w:p>
        </w:tc>
        <w:tc>
          <w:tcPr>
            <w:tcW w:w="3460" w:type="dxa"/>
            <w:vAlign w:val="bottom"/>
            <w:gridSpan w:val="7"/>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4940" w:type="dxa"/>
            <w:vAlign w:val="bottom"/>
            <w:tcBorders>
              <w:bottom w:val="single" w:sz="8" w:color="0000EE"/>
            </w:tcBorders>
            <w:gridSpan w:val="3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3460" w:type="dxa"/>
            <w:vAlign w:val="bottom"/>
            <w:gridSpan w:val="7"/>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840" w:type="dxa"/>
            <w:vAlign w:val="bottom"/>
            <w:gridSpan w:val="21"/>
            <w:vMerge w:val="restart"/>
          </w:tcPr>
          <w:p>
            <w:pPr>
              <w:spacing w:after="0"/>
              <w:rPr>
                <w:rFonts w:ascii="Arial" w:cs="Arial" w:eastAsia="Arial" w:hAnsi="Arial"/>
                <w:sz w:val="16"/>
                <w:szCs w:val="16"/>
                <w:color w:val="0000EE"/>
                <w:w w:val="92"/>
              </w:rPr>
            </w:pPr>
            <w:hyperlink w:anchor="page45">
              <w:r>
                <w:rPr>
                  <w:rFonts w:ascii="Arial" w:cs="Arial" w:eastAsia="Arial" w:hAnsi="Arial"/>
                  <w:sz w:val="16"/>
                  <w:szCs w:val="16"/>
                  <w:color w:val="0000EE"/>
                  <w:w w:val="92"/>
                </w:rPr>
                <w:t>Recommendation of the Board of Directors</w:t>
              </w:r>
            </w:hyperlink>
          </w:p>
        </w:tc>
        <w:tc>
          <w:tcPr>
            <w:tcW w:w="5580" w:type="dxa"/>
            <w:vAlign w:val="bottom"/>
            <w:gridSpan w:val="19"/>
            <w:vMerge w:val="restart"/>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840" w:type="dxa"/>
            <w:vAlign w:val="bottom"/>
            <w:tcBorders>
              <w:bottom w:val="single" w:sz="8" w:color="0000EE"/>
            </w:tcBorders>
            <w:gridSpan w:val="21"/>
            <w:vMerge w:val="continue"/>
          </w:tcPr>
          <w:p>
            <w:pPr>
              <w:spacing w:after="0"/>
              <w:rPr>
                <w:sz w:val="14"/>
                <w:szCs w:val="14"/>
                <w:color w:val="auto"/>
              </w:rPr>
            </w:pPr>
          </w:p>
        </w:tc>
        <w:tc>
          <w:tcPr>
            <w:tcW w:w="5580" w:type="dxa"/>
            <w:vAlign w:val="bottom"/>
            <w:gridSpan w:val="19"/>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82"/>
        </w:trPr>
        <w:tc>
          <w:tcPr>
            <w:tcW w:w="8620" w:type="dxa"/>
            <w:vAlign w:val="bottom"/>
            <w:gridSpan w:val="41"/>
            <w:vMerge w:val="restart"/>
          </w:tcPr>
          <w:p>
            <w:pPr>
              <w:spacing w:after="0"/>
              <w:rPr>
                <w:rFonts w:ascii="Arial" w:cs="Arial" w:eastAsia="Arial" w:hAnsi="Arial"/>
                <w:sz w:val="16"/>
                <w:szCs w:val="16"/>
                <w:color w:val="0000EE"/>
                <w:w w:val="97"/>
              </w:rPr>
            </w:pPr>
            <w:hyperlink w:anchor="page46">
              <w:r>
                <w:rPr>
                  <w:rFonts w:ascii="Arial" w:cs="Arial" w:eastAsia="Arial" w:hAnsi="Arial"/>
                  <w:sz w:val="16"/>
                  <w:szCs w:val="16"/>
                  <w:color w:val="0000EE"/>
                  <w:w w:val="97"/>
                </w:rPr>
                <w:t>PROPOSAL 3—RATIFICATION OF THE APPOINTMENT OF INDEPENDENT REGISTERED PUBLIC ACCOUNTING FIRM</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8620" w:type="dxa"/>
            <w:vAlign w:val="bottom"/>
            <w:tcBorders>
              <w:bottom w:val="single" w:sz="8" w:color="0000EE"/>
            </w:tcBorders>
            <w:gridSpan w:val="41"/>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8420" w:type="dxa"/>
            <w:vAlign w:val="bottom"/>
            <w:gridSpan w:val="40"/>
            <w:vMerge w:val="restart"/>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Audit Fees and Services</w:t>
              </w:r>
            </w:hyperlink>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8420" w:type="dxa"/>
            <w:vAlign w:val="bottom"/>
            <w:gridSpan w:val="40"/>
            <w:vMerge w:val="continue"/>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78"/>
        </w:trPr>
        <w:tc>
          <w:tcPr>
            <w:tcW w:w="200" w:type="dxa"/>
            <w:vAlign w:val="bottom"/>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8420" w:type="dxa"/>
            <w:vAlign w:val="bottom"/>
            <w:gridSpan w:val="40"/>
          </w:tcPr>
          <w:p>
            <w:pPr>
              <w:spacing w:after="0" w:line="172" w:lineRule="exact"/>
              <w:rPr>
                <w:rFonts w:ascii="Arial" w:cs="Arial" w:eastAsia="Arial" w:hAnsi="Arial"/>
                <w:sz w:val="16"/>
                <w:szCs w:val="16"/>
                <w:color w:val="0000EE"/>
              </w:rPr>
            </w:pPr>
            <w:hyperlink w:anchor="page46">
              <w:r>
                <w:rPr>
                  <w:rFonts w:ascii="Arial" w:cs="Arial" w:eastAsia="Arial" w:hAnsi="Arial"/>
                  <w:sz w:val="16"/>
                  <w:szCs w:val="16"/>
                  <w:color w:val="0000EE"/>
                </w:rPr>
                <w:t>Pre-Approval Policies and Procedures</w:t>
              </w:r>
            </w:hyperlink>
          </w:p>
        </w:tc>
        <w:tc>
          <w:tcPr>
            <w:tcW w:w="440" w:type="dxa"/>
            <w:vAlign w:val="bottom"/>
          </w:tcPr>
          <w:p>
            <w:pPr>
              <w:jc w:val="right"/>
              <w:spacing w:after="0" w:line="172"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9060"/>
          </w:cols>
          <w:pgMar w:left="1420" w:top="118" w:right="141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2820" w:type="dxa"/>
            <w:vAlign w:val="bottom"/>
            <w:tcBorders>
              <w:bottom w:val="single" w:sz="8" w:color="0000EE"/>
            </w:tcBorders>
            <w:gridSpan w:val="6"/>
          </w:tcPr>
          <w:p>
            <w:pPr>
              <w:spacing w:after="0"/>
              <w:rPr>
                <w:rFonts w:ascii="Arial" w:cs="Arial" w:eastAsia="Arial" w:hAnsi="Arial"/>
                <w:sz w:val="16"/>
                <w:szCs w:val="16"/>
                <w:color w:val="0000EE"/>
                <w:w w:val="92"/>
              </w:rPr>
            </w:pPr>
            <w:hyperlink w:anchor="page46">
              <w:r>
                <w:rPr>
                  <w:rFonts w:ascii="Arial" w:cs="Arial" w:eastAsia="Arial" w:hAnsi="Arial"/>
                  <w:sz w:val="16"/>
                  <w:szCs w:val="16"/>
                  <w:color w:val="0000EE"/>
                  <w:w w:val="92"/>
                </w:rPr>
                <w:t>Recommendation of the Board of Directors</w:t>
              </w:r>
            </w:hyperlink>
          </w:p>
        </w:tc>
        <w:tc>
          <w:tcPr>
            <w:tcW w:w="2020" w:type="dxa"/>
            <w:vAlign w:val="bottom"/>
            <w:gridSpan w:val="8"/>
          </w:tcPr>
          <w:p>
            <w:pPr>
              <w:spacing w:after="0"/>
              <w:rPr>
                <w:sz w:val="16"/>
                <w:szCs w:val="16"/>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82"/>
        </w:trPr>
        <w:tc>
          <w:tcPr>
            <w:tcW w:w="5040" w:type="dxa"/>
            <w:vAlign w:val="bottom"/>
            <w:gridSpan w:val="15"/>
            <w:vMerge w:val="restart"/>
          </w:tcPr>
          <w:p>
            <w:pPr>
              <w:spacing w:after="0"/>
              <w:rPr>
                <w:rFonts w:ascii="Arial" w:cs="Arial" w:eastAsia="Arial" w:hAnsi="Arial"/>
                <w:sz w:val="16"/>
                <w:szCs w:val="16"/>
                <w:color w:val="0000EE"/>
                <w:w w:val="96"/>
              </w:rPr>
            </w:pPr>
            <w:hyperlink w:anchor="page47">
              <w:r>
                <w:rPr>
                  <w:rFonts w:ascii="Arial" w:cs="Arial" w:eastAsia="Arial" w:hAnsi="Arial"/>
                  <w:sz w:val="16"/>
                  <w:szCs w:val="16"/>
                  <w:color w:val="0000EE"/>
                  <w:w w:val="96"/>
                </w:rPr>
                <w:t>CERTAIN RELATIONSHIPS AND RELATED PERSON TRANSACTIONS</w:t>
              </w:r>
            </w:hyperlink>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5040" w:type="dxa"/>
            <w:vAlign w:val="bottom"/>
            <w:tcBorders>
              <w:bottom w:val="single" w:sz="8" w:color="0000EE"/>
            </w:tcBorders>
            <w:gridSpan w:val="15"/>
            <w:vMerge w:val="continue"/>
          </w:tcPr>
          <w:p>
            <w:pPr>
              <w:spacing w:after="0"/>
              <w:rPr>
                <w:sz w:val="14"/>
                <w:szCs w:val="14"/>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3660" w:type="dxa"/>
            <w:vAlign w:val="bottom"/>
            <w:gridSpan w:val="11"/>
            <w:vMerge w:val="restart"/>
          </w:tcPr>
          <w:p>
            <w:pPr>
              <w:spacing w:after="0"/>
              <w:rPr>
                <w:rFonts w:ascii="Arial" w:cs="Arial" w:eastAsia="Arial" w:hAnsi="Arial"/>
                <w:sz w:val="16"/>
                <w:szCs w:val="16"/>
                <w:color w:val="0000EE"/>
                <w:w w:val="89"/>
              </w:rPr>
            </w:pPr>
            <w:hyperlink w:anchor="page47">
              <w:r>
                <w:rPr>
                  <w:rFonts w:ascii="Arial" w:cs="Arial" w:eastAsia="Arial" w:hAnsi="Arial"/>
                  <w:sz w:val="16"/>
                  <w:szCs w:val="16"/>
                  <w:color w:val="0000EE"/>
                  <w:w w:val="89"/>
                </w:rPr>
                <w:t>Policies and Procedures for Related Person Transactions</w:t>
              </w:r>
            </w:hyperlink>
          </w:p>
        </w:tc>
        <w:tc>
          <w:tcPr>
            <w:tcW w:w="1180" w:type="dxa"/>
            <w:vAlign w:val="bottom"/>
            <w:gridSpan w:val="3"/>
            <w:vMerge w:val="restart"/>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3660" w:type="dxa"/>
            <w:vAlign w:val="bottom"/>
            <w:tcBorders>
              <w:bottom w:val="single" w:sz="8" w:color="0000EE"/>
            </w:tcBorders>
            <w:gridSpan w:val="11"/>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1840" w:type="dxa"/>
            <w:vAlign w:val="bottom"/>
            <w:gridSpan w:val="3"/>
            <w:vMerge w:val="restart"/>
          </w:tcPr>
          <w:p>
            <w:pPr>
              <w:spacing w:after="0"/>
              <w:rPr>
                <w:rFonts w:ascii="Arial" w:cs="Arial" w:eastAsia="Arial" w:hAnsi="Arial"/>
                <w:sz w:val="16"/>
                <w:szCs w:val="16"/>
                <w:color w:val="0000EE"/>
                <w:w w:val="88"/>
              </w:rPr>
            </w:pPr>
            <w:hyperlink w:anchor="page47">
              <w:r>
                <w:rPr>
                  <w:rFonts w:ascii="Arial" w:cs="Arial" w:eastAsia="Arial" w:hAnsi="Arial"/>
                  <w:sz w:val="16"/>
                  <w:szCs w:val="16"/>
                  <w:color w:val="0000EE"/>
                  <w:w w:val="88"/>
                </w:rPr>
                <w:t>Related Person Transactions</w:t>
              </w:r>
            </w:hyperlink>
          </w:p>
        </w:tc>
        <w:tc>
          <w:tcPr>
            <w:tcW w:w="3000" w:type="dxa"/>
            <w:vAlign w:val="bottom"/>
            <w:gridSpan w:val="11"/>
            <w:vMerge w:val="restart"/>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1840" w:type="dxa"/>
            <w:vAlign w:val="bottom"/>
            <w:tcBorders>
              <w:bottom w:val="single" w:sz="8" w:color="0000EE"/>
            </w:tcBorders>
            <w:gridSpan w:val="3"/>
            <w:vMerge w:val="continue"/>
          </w:tcPr>
          <w:p>
            <w:pPr>
              <w:spacing w:after="0"/>
              <w:rPr>
                <w:sz w:val="14"/>
                <w:szCs w:val="14"/>
                <w:color w:val="auto"/>
              </w:rPr>
            </w:pPr>
          </w:p>
        </w:tc>
        <w:tc>
          <w:tcPr>
            <w:tcW w:w="3000" w:type="dxa"/>
            <w:vAlign w:val="bottom"/>
            <w:gridSpan w:val="11"/>
            <w:vMerge w:val="continue"/>
          </w:tcPr>
          <w:p>
            <w:pPr>
              <w:spacing w:after="0"/>
              <w:rPr>
                <w:sz w:val="14"/>
                <w:szCs w:val="14"/>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60" w:type="dxa"/>
            <w:vAlign w:val="bottom"/>
            <w:gridSpan w:val="6"/>
            <w:vMerge w:val="restart"/>
          </w:tcPr>
          <w:p>
            <w:pPr>
              <w:spacing w:after="0"/>
              <w:rPr>
                <w:rFonts w:ascii="Arial" w:cs="Arial" w:eastAsia="Arial" w:hAnsi="Arial"/>
                <w:sz w:val="16"/>
                <w:szCs w:val="16"/>
                <w:color w:val="0000EE"/>
                <w:w w:val="94"/>
              </w:rPr>
            </w:pPr>
            <w:hyperlink w:anchor="page47">
              <w:r>
                <w:rPr>
                  <w:rFonts w:ascii="Arial" w:cs="Arial" w:eastAsia="Arial" w:hAnsi="Arial"/>
                  <w:sz w:val="16"/>
                  <w:szCs w:val="16"/>
                  <w:color w:val="0000EE"/>
                  <w:w w:val="94"/>
                </w:rPr>
                <w:t>Participation in Follow-On Public Offerings</w:t>
              </w:r>
            </w:hyperlink>
          </w:p>
        </w:tc>
        <w:tc>
          <w:tcPr>
            <w:tcW w:w="1780" w:type="dxa"/>
            <w:vAlign w:val="bottom"/>
            <w:gridSpan w:val="7"/>
            <w:vMerge w:val="restart"/>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Borders>
              <w:bottom w:val="single" w:sz="8" w:color="0000EE"/>
            </w:tcBorders>
            <w:gridSpan w:val="6"/>
            <w:vMerge w:val="continue"/>
          </w:tcPr>
          <w:p>
            <w:pPr>
              <w:spacing w:after="0"/>
              <w:rPr>
                <w:sz w:val="14"/>
                <w:szCs w:val="14"/>
                <w:color w:val="auto"/>
              </w:rPr>
            </w:pPr>
          </w:p>
        </w:tc>
        <w:tc>
          <w:tcPr>
            <w:tcW w:w="1780" w:type="dxa"/>
            <w:vAlign w:val="bottom"/>
            <w:gridSpan w:val="7"/>
            <w:vMerge w:val="continue"/>
          </w:tcPr>
          <w:p>
            <w:pPr>
              <w:spacing w:after="0"/>
              <w:rPr>
                <w:sz w:val="14"/>
                <w:szCs w:val="14"/>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82"/>
        </w:trPr>
        <w:tc>
          <w:tcPr>
            <w:tcW w:w="5040" w:type="dxa"/>
            <w:vAlign w:val="bottom"/>
            <w:gridSpan w:val="15"/>
            <w:vMerge w:val="restart"/>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STOCK OWNERSHIP AND REPORTING</w:t>
              </w:r>
            </w:hyperlink>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040" w:type="dxa"/>
            <w:vAlign w:val="bottom"/>
            <w:gridSpan w:val="15"/>
            <w:vMerge w:val="continue"/>
          </w:tcPr>
          <w:p>
            <w:pPr>
              <w:spacing w:after="0"/>
              <w:rPr>
                <w:sz w:val="14"/>
                <w:szCs w:val="14"/>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4400" w:type="dxa"/>
            <w:vAlign w:val="bottom"/>
            <w:gridSpan w:val="13"/>
            <w:vMerge w:val="restart"/>
          </w:tcPr>
          <w:p>
            <w:pPr>
              <w:spacing w:after="0"/>
              <w:rPr>
                <w:rFonts w:ascii="Arial" w:cs="Arial" w:eastAsia="Arial" w:hAnsi="Arial"/>
                <w:sz w:val="16"/>
                <w:szCs w:val="16"/>
                <w:color w:val="0000EE"/>
                <w:w w:val="92"/>
              </w:rPr>
            </w:pPr>
            <w:hyperlink w:anchor="page48">
              <w:r>
                <w:rPr>
                  <w:rFonts w:ascii="Arial" w:cs="Arial" w:eastAsia="Arial" w:hAnsi="Arial"/>
                  <w:sz w:val="16"/>
                  <w:szCs w:val="16"/>
                  <w:color w:val="0000EE"/>
                  <w:w w:val="92"/>
                </w:rPr>
                <w:t>Security Ownership of Certain Beneficial Owners and Management</w:t>
              </w:r>
            </w:hyperlink>
          </w:p>
        </w:tc>
        <w:tc>
          <w:tcPr>
            <w:tcW w:w="440" w:type="dxa"/>
            <w:vAlign w:val="bottom"/>
            <w:vMerge w:val="restart"/>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4400" w:type="dxa"/>
            <w:vAlign w:val="bottom"/>
            <w:tcBorders>
              <w:bottom w:val="single" w:sz="8" w:color="0000EE"/>
            </w:tcBorders>
            <w:gridSpan w:val="13"/>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3840" w:type="dxa"/>
            <w:vAlign w:val="bottom"/>
            <w:gridSpan w:val="12"/>
            <w:vMerge w:val="restart"/>
          </w:tcPr>
          <w:p>
            <w:pPr>
              <w:spacing w:after="0"/>
              <w:rPr>
                <w:rFonts w:ascii="Arial" w:cs="Arial" w:eastAsia="Arial" w:hAnsi="Arial"/>
                <w:sz w:val="16"/>
                <w:szCs w:val="16"/>
                <w:color w:val="0000EE"/>
                <w:w w:val="92"/>
              </w:rPr>
            </w:pPr>
            <w:hyperlink w:anchor="page49">
              <w:r>
                <w:rPr>
                  <w:rFonts w:ascii="Arial" w:cs="Arial" w:eastAsia="Arial" w:hAnsi="Arial"/>
                  <w:sz w:val="16"/>
                  <w:szCs w:val="16"/>
                  <w:color w:val="0000EE"/>
                  <w:w w:val="92"/>
                </w:rPr>
                <w:t>Section 16(a) Beneficial Ownership Reporting Compliance</w:t>
              </w:r>
            </w:hyperlink>
          </w:p>
        </w:tc>
        <w:tc>
          <w:tcPr>
            <w:tcW w:w="1000" w:type="dxa"/>
            <w:vAlign w:val="bottom"/>
            <w:gridSpan w:val="2"/>
            <w:vMerge w:val="restart"/>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4"/>
                <w:szCs w:val="14"/>
                <w:color w:val="auto"/>
              </w:rPr>
            </w:pPr>
          </w:p>
        </w:tc>
        <w:tc>
          <w:tcPr>
            <w:tcW w:w="3840" w:type="dxa"/>
            <w:vAlign w:val="bottom"/>
            <w:tcBorders>
              <w:bottom w:val="single" w:sz="8" w:color="0000EE"/>
            </w:tcBorders>
            <w:gridSpan w:val="1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82"/>
        </w:trPr>
        <w:tc>
          <w:tcPr>
            <w:tcW w:w="5040" w:type="dxa"/>
            <w:vAlign w:val="bottom"/>
            <w:gridSpan w:val="15"/>
            <w:vMerge w:val="restart"/>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STOCKHOLDER PROPOSALS</w:t>
              </w:r>
            </w:hyperlink>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040" w:type="dxa"/>
            <w:vAlign w:val="bottom"/>
            <w:gridSpan w:val="15"/>
            <w:vMerge w:val="continue"/>
          </w:tcPr>
          <w:p>
            <w:pPr>
              <w:spacing w:after="0"/>
              <w:rPr>
                <w:sz w:val="14"/>
                <w:szCs w:val="14"/>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4840" w:type="dxa"/>
            <w:vAlign w:val="bottom"/>
            <w:gridSpan w:val="14"/>
            <w:vMerge w:val="restart"/>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Stockholder Proposals Included in Proxy Statement</w:t>
              </w:r>
            </w:hyperlink>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4840" w:type="dxa"/>
            <w:vAlign w:val="bottom"/>
            <w:gridSpan w:val="14"/>
            <w:vMerge w:val="continue"/>
          </w:tcPr>
          <w:p>
            <w:pPr>
              <w:spacing w:after="0"/>
              <w:rPr>
                <w:sz w:val="14"/>
                <w:szCs w:val="14"/>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0" w:type="dxa"/>
            <w:vAlign w:val="bottom"/>
          </w:tcPr>
          <w:p>
            <w:pPr>
              <w:spacing w:after="0"/>
              <w:rPr>
                <w:sz w:val="7"/>
                <w:szCs w:val="7"/>
                <w:color w:val="auto"/>
              </w:rPr>
            </w:pPr>
          </w:p>
        </w:tc>
        <w:tc>
          <w:tcPr>
            <w:tcW w:w="4840" w:type="dxa"/>
            <w:vAlign w:val="bottom"/>
            <w:gridSpan w:val="14"/>
            <w:vMerge w:val="restart"/>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Stockholder Proposals Not Included in Proxy Statement</w:t>
              </w:r>
            </w:hyperlink>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4840" w:type="dxa"/>
            <w:vAlign w:val="bottom"/>
            <w:gridSpan w:val="14"/>
            <w:vMerge w:val="continue"/>
          </w:tcPr>
          <w:p>
            <w:pPr>
              <w:spacing w:after="0"/>
              <w:rPr>
                <w:sz w:val="14"/>
                <w:szCs w:val="14"/>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5040" w:type="dxa"/>
            <w:vAlign w:val="bottom"/>
            <w:gridSpan w:val="15"/>
            <w:vMerge w:val="restart"/>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STOCKHOLDERS SHARING THE SAME ADDRESS</w:t>
              </w:r>
            </w:hyperlink>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040" w:type="dxa"/>
            <w:vAlign w:val="bottom"/>
            <w:gridSpan w:val="15"/>
            <w:vMerge w:val="continue"/>
          </w:tcPr>
          <w:p>
            <w:pPr>
              <w:spacing w:after="0"/>
              <w:rPr>
                <w:sz w:val="14"/>
                <w:szCs w:val="14"/>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82"/>
        </w:trPr>
        <w:tc>
          <w:tcPr>
            <w:tcW w:w="3660" w:type="dxa"/>
            <w:vAlign w:val="bottom"/>
            <w:tcBorders>
              <w:top w:val="single" w:sz="8" w:color="0000EE"/>
            </w:tcBorders>
            <w:gridSpan w:val="10"/>
            <w:vMerge w:val="restart"/>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OTHER MATTERS</w:t>
              </w:r>
            </w:hyperlink>
          </w:p>
        </w:tc>
        <w:tc>
          <w:tcPr>
            <w:tcW w:w="1380" w:type="dxa"/>
            <w:vAlign w:val="bottom"/>
            <w:gridSpan w:val="5"/>
            <w:vMerge w:val="restart"/>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660" w:type="dxa"/>
            <w:vAlign w:val="bottom"/>
            <w:gridSpan w:val="10"/>
            <w:vMerge w:val="continue"/>
          </w:tcPr>
          <w:p>
            <w:pPr>
              <w:spacing w:after="0"/>
              <w:rPr>
                <w:sz w:val="14"/>
                <w:szCs w:val="14"/>
                <w:color w:val="auto"/>
              </w:rPr>
            </w:pPr>
          </w:p>
        </w:tc>
        <w:tc>
          <w:tcPr>
            <w:tcW w:w="1380" w:type="dxa"/>
            <w:vAlign w:val="bottom"/>
            <w:gridSpan w:val="5"/>
            <w:vMerge w:val="continue"/>
          </w:tcPr>
          <w:p>
            <w:pPr>
              <w:spacing w:after="0"/>
              <w:rPr>
                <w:sz w:val="14"/>
                <w:szCs w:val="14"/>
                <w:color w:val="auto"/>
              </w:rPr>
            </w:pPr>
          </w:p>
        </w:tc>
        <w:tc>
          <w:tcPr>
            <w:tcW w:w="402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82"/>
        </w:trPr>
        <w:tc>
          <w:tcPr>
            <w:tcW w:w="20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920" w:type="dxa"/>
            <w:vAlign w:val="bottom"/>
            <w:tcBorders>
              <w:top w:val="single" w:sz="8" w:color="0000EE"/>
            </w:tcBorders>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58" w:right="1419" w:bottom="1440" w:gutter="0" w:footer="0" w:header="0"/>
        </w:sectPr>
      </w:pPr>
    </w:p>
    <w:bookmarkStart w:id="4" w:name="page5"/>
    <w:bookmarkEnd w:id="4"/>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361315</wp:posOffset>
            </wp:positionV>
            <wp:extent cx="1672590"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25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45 Sidney Street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Cambridge, Massachusetts 02139</w:t>
      </w:r>
    </w:p>
    <w:p>
      <w:pPr>
        <w:spacing w:after="0" w:line="19" w:lineRule="exact"/>
        <w:rPr>
          <w:sz w:val="20"/>
          <w:szCs w:val="20"/>
          <w:color w:val="auto"/>
        </w:rPr>
      </w:pPr>
    </w:p>
    <w:p>
      <w:pPr>
        <w:ind w:left="4420" w:hanging="392"/>
        <w:spacing w:after="0" w:line="184" w:lineRule="exact"/>
        <w:tabs>
          <w:tab w:leader="none" w:pos="44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374</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7580</w:t>
      </w:r>
    </w:p>
    <w:p>
      <w:pPr>
        <w:spacing w:after="0" w:line="240" w:lineRule="exact"/>
        <w:rPr>
          <w:rFonts w:ascii="Arial" w:cs="Arial" w:eastAsia="Arial" w:hAnsi="Arial"/>
          <w:sz w:val="16"/>
          <w:szCs w:val="16"/>
          <w:b w:val="1"/>
          <w:bCs w:val="1"/>
          <w:color w:val="auto"/>
        </w:rPr>
      </w:pPr>
    </w:p>
    <w:p>
      <w:pPr>
        <w:ind w:left="37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-184785</wp:posOffset>
            </wp:positionV>
            <wp:extent cx="14319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88900</wp:posOffset>
            </wp:positionV>
            <wp:extent cx="14319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ANNUAL MEETING OF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ON JUNE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88900</wp:posOffset>
            </wp:positionV>
            <wp:extent cx="14319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CONCERNING SOLICITATION AND VOTING</w:t>
      </w:r>
    </w:p>
    <w:p>
      <w:pPr>
        <w:spacing w:after="0" w:line="13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6"/>
          <w:szCs w:val="16"/>
          <w:color w:val="auto"/>
        </w:rPr>
        <w:t>This proxy statement and the enclosed proxy card are being furnished in connection with the solicitation of proxies by the board of directors of Blueprint Medicines Corporation for use at the annual meeting of stockholders to be held on Tuesday, June 18, 2019 at 3:30 p.m., Eastern Daylight Time, at our offices located at 45 Sidney Street, Cambridge, Massachusetts 02139, and at any adjournment thereof.</w:t>
      </w:r>
    </w:p>
    <w:p>
      <w:pPr>
        <w:spacing w:after="0" w:line="81" w:lineRule="exact"/>
        <w:rPr>
          <w:sz w:val="20"/>
          <w:szCs w:val="20"/>
          <w:color w:val="auto"/>
        </w:rPr>
      </w:pPr>
    </w:p>
    <w:p>
      <w:pPr>
        <w:ind w:right="220" w:firstLine="648"/>
        <w:spacing w:after="0" w:line="273" w:lineRule="auto"/>
        <w:rPr>
          <w:sz w:val="20"/>
          <w:szCs w:val="20"/>
          <w:color w:val="auto"/>
        </w:rPr>
      </w:pPr>
      <w:r>
        <w:rPr>
          <w:rFonts w:ascii="Arial" w:cs="Arial" w:eastAsia="Arial" w:hAnsi="Arial"/>
          <w:sz w:val="16"/>
          <w:szCs w:val="16"/>
          <w:color w:val="auto"/>
        </w:rPr>
        <w:t>Unless otherwise stated, all references to “us,” “our,” “Blueprint,” “Blueprint Medicines,” “we,” the “Company” and similar designations refer to Blueprint Medicines Corporation and its consolidated subsidiary, Blueprint Medicines Security Corporation. References to our website are inactive textual references only, and the contents of our website are not incorporated by reference into this proxy statement.</w:t>
      </w:r>
    </w:p>
    <w:p>
      <w:pPr>
        <w:spacing w:after="0" w:line="81" w:lineRule="exact"/>
        <w:rPr>
          <w:sz w:val="20"/>
          <w:szCs w:val="20"/>
          <w:color w:val="auto"/>
        </w:rPr>
      </w:pPr>
    </w:p>
    <w:p>
      <w:pPr>
        <w:ind w:firstLine="648"/>
        <w:spacing w:after="0" w:line="273" w:lineRule="auto"/>
        <w:rPr>
          <w:sz w:val="20"/>
          <w:szCs w:val="20"/>
          <w:color w:val="auto"/>
        </w:rPr>
      </w:pPr>
      <w:r>
        <w:rPr>
          <w:rFonts w:ascii="Arial" w:cs="Arial" w:eastAsia="Arial" w:hAnsi="Arial"/>
          <w:sz w:val="16"/>
          <w:szCs w:val="16"/>
          <w:color w:val="auto"/>
        </w:rPr>
        <w:t>This proxy statement summarizes information about the proposals to be considered at the meeting and other information you may find useful in determining how to vote. The proxy card is the means by which you actually authorize another person to vote your shares in accordance with your instructions. We are making this proxy statement, the related proxy card and our 2018 annual report to stockholders available to stockholders for the first time on or about April 29, 2019.</w:t>
      </w:r>
    </w:p>
    <w:p>
      <w:pPr>
        <w:spacing w:after="0" w:line="77" w:lineRule="exact"/>
        <w:rPr>
          <w:sz w:val="20"/>
          <w:szCs w:val="20"/>
          <w:color w:val="auto"/>
        </w:rPr>
      </w:pPr>
    </w:p>
    <w:p>
      <w:pPr>
        <w:ind w:right="20" w:firstLine="648"/>
        <w:spacing w:after="0" w:line="204" w:lineRule="exact"/>
        <w:rPr>
          <w:sz w:val="20"/>
          <w:szCs w:val="20"/>
          <w:color w:val="auto"/>
        </w:rPr>
      </w:pPr>
      <w:r>
        <w:rPr>
          <w:rFonts w:ascii="Arial" w:cs="Arial" w:eastAsia="Arial" w:hAnsi="Arial"/>
          <w:sz w:val="14"/>
          <w:szCs w:val="14"/>
          <w:b w:val="1"/>
          <w:bCs w:val="1"/>
          <w:color w:val="auto"/>
        </w:rPr>
        <w:t>A copy of our Annual Report on Form 10</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K for the fiscal year ended December 31, 2018, as filed with the Securities and Exchange Commission, or SEC, except for exhibits, will be furnished without charge to any stockholder upon written or oral request to Blueprint Medicines Corporation, 45 Sidney Street, Cambridge, Massachusetts 02139 or by calling 1</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800</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579</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1639, by emailing </w:t>
      </w:r>
      <w:r>
        <w:rPr>
          <w:rFonts w:ascii="Arial" w:cs="Arial" w:eastAsia="Arial" w:hAnsi="Arial"/>
          <w:sz w:val="14"/>
          <w:szCs w:val="14"/>
          <w:b w:val="1"/>
          <w:bCs w:val="1"/>
          <w:i w:val="1"/>
          <w:iCs w:val="1"/>
          <w:color w:val="auto"/>
        </w:rPr>
        <w:t>sendmaterial@proxyvote.com</w:t>
      </w:r>
      <w:r>
        <w:rPr>
          <w:rFonts w:ascii="Arial" w:cs="Arial" w:eastAsia="Arial" w:hAnsi="Arial"/>
          <w:sz w:val="14"/>
          <w:szCs w:val="14"/>
          <w:b w:val="1"/>
          <w:bCs w:val="1"/>
          <w:color w:val="auto"/>
        </w:rPr>
        <w:t xml:space="preserve"> or by submitting a request over the Internet at </w:t>
      </w:r>
      <w:r>
        <w:rPr>
          <w:rFonts w:ascii="Arial" w:cs="Arial" w:eastAsia="Arial" w:hAnsi="Arial"/>
          <w:sz w:val="14"/>
          <w:szCs w:val="14"/>
          <w:b w:val="1"/>
          <w:bCs w:val="1"/>
          <w:i w:val="1"/>
          <w:iCs w:val="1"/>
          <w:color w:val="auto"/>
        </w:rPr>
        <w:t>www.proxyvote.com</w:t>
      </w:r>
      <w:r>
        <w:rPr>
          <w:rFonts w:ascii="Arial" w:cs="Arial" w:eastAsia="Arial" w:hAnsi="Arial"/>
          <w:sz w:val="14"/>
          <w:szCs w:val="14"/>
          <w:b w:val="1"/>
          <w:bCs w:val="1"/>
          <w:color w:val="auto"/>
        </w:rPr>
        <w:t>. This proxy statement and our Annual Report on Form 10</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K for the fiscal year ended December 31, 2018 are also available on the SEC’s website at </w:t>
      </w:r>
      <w:r>
        <w:rPr>
          <w:rFonts w:ascii="Arial" w:cs="Arial" w:eastAsia="Arial" w:hAnsi="Arial"/>
          <w:sz w:val="14"/>
          <w:szCs w:val="14"/>
          <w:b w:val="1"/>
          <w:bCs w:val="1"/>
          <w:i w:val="1"/>
          <w:iCs w:val="1"/>
          <w:color w:val="auto"/>
        </w:rPr>
        <w:t xml:space="preserve">www.sec.gov </w:t>
      </w:r>
      <w:r>
        <w:rPr>
          <w:rFonts w:ascii="Arial" w:cs="Arial" w:eastAsia="Arial" w:hAnsi="Arial"/>
          <w:sz w:val="14"/>
          <w:szCs w:val="14"/>
          <w:b w:val="1"/>
          <w:bCs w:val="1"/>
          <w:color w:val="auto"/>
        </w:rPr>
        <w:t>and the “Investors &amp; Media —SEC Filings” section of our website, which is located at</w:t>
      </w:r>
      <w:r>
        <w:rPr>
          <w:rFonts w:ascii="Arial" w:cs="Arial" w:eastAsia="Arial" w:hAnsi="Arial"/>
          <w:sz w:val="14"/>
          <w:szCs w:val="14"/>
          <w:b w:val="1"/>
          <w:bCs w:val="1"/>
          <w:i w:val="1"/>
          <w:iCs w:val="1"/>
          <w:color w:val="auto"/>
        </w:rPr>
        <w:t xml:space="preserve"> http://ir.blueprintmedicines.com</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5" w:name="page6"/>
    <w:bookmarkEnd w:id="5"/>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IMPORTANT INFORMATION ABOUT THE ANNUAL MEETING AND VOTING</w:t>
      </w:r>
    </w:p>
    <w:p>
      <w:pPr>
        <w:spacing w:after="0" w:line="140" w:lineRule="exact"/>
        <w:rPr>
          <w:sz w:val="20"/>
          <w:szCs w:val="20"/>
          <w:color w:val="auto"/>
        </w:rPr>
      </w:pPr>
    </w:p>
    <w:p>
      <w:pPr>
        <w:ind w:left="640" w:hanging="520"/>
        <w:spacing w:after="0"/>
        <w:tabs>
          <w:tab w:leader="none" w:pos="6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Why did I receive these proxy materials?</w:t>
      </w:r>
    </w:p>
    <w:p>
      <w:pPr>
        <w:spacing w:after="0" w:line="130" w:lineRule="exact"/>
        <w:rPr>
          <w:rFonts w:ascii="Arial" w:cs="Arial" w:eastAsia="Arial" w:hAnsi="Arial"/>
          <w:sz w:val="16"/>
          <w:szCs w:val="16"/>
          <w:b w:val="1"/>
          <w:bCs w:val="1"/>
          <w:color w:val="auto"/>
        </w:rPr>
      </w:pPr>
    </w:p>
    <w:p>
      <w:pPr>
        <w:ind w:left="640" w:right="219" w:hanging="520"/>
        <w:spacing w:after="0" w:line="270"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board of directors has made these materials available to you on the Internet in connection with the solicitation of proxies for use at our 2019 annual meeting of stockholders to be held at our offices located at 45 Sidney Street, Cambridge, Massachusetts 02139, on Tuesday, June 18, 2019 at 3:30 p.m., Eastern Daylight Time. As a holder of common stock, you are invited to attend the annual meeting and are requested to vote on the items of business described in this proxy statement. This proxy statement includes information that we are required to provide to you under SEC rules and that is designed to assist you in voting your shares.</w:t>
      </w:r>
    </w:p>
    <w:p>
      <w:pPr>
        <w:spacing w:after="0" w:line="77" w:lineRule="exact"/>
        <w:rPr>
          <w:rFonts w:ascii="Arial" w:cs="Arial" w:eastAsia="Arial" w:hAnsi="Arial"/>
          <w:sz w:val="16"/>
          <w:szCs w:val="16"/>
          <w:color w:val="auto"/>
        </w:rPr>
      </w:pPr>
    </w:p>
    <w:p>
      <w:pPr>
        <w:ind w:left="640" w:right="139" w:hanging="520"/>
        <w:spacing w:after="0" w:line="298" w:lineRule="auto"/>
        <w:tabs>
          <w:tab w:leader="none" w:pos="64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Why did I receive a notice in the mail regarding the Internet availability of proxy materials instead of a full set of proxy materials?</w:t>
      </w:r>
    </w:p>
    <w:p>
      <w:pPr>
        <w:spacing w:after="0" w:line="60" w:lineRule="exact"/>
        <w:rPr>
          <w:rFonts w:ascii="Arial" w:cs="Arial" w:eastAsia="Arial" w:hAnsi="Arial"/>
          <w:sz w:val="16"/>
          <w:szCs w:val="16"/>
          <w:b w:val="1"/>
          <w:bCs w:val="1"/>
          <w:color w:val="auto"/>
        </w:rPr>
      </w:pPr>
    </w:p>
    <w:p>
      <w:pPr>
        <w:ind w:left="640" w:right="139" w:hanging="520"/>
        <w:spacing w:after="0" w:line="305" w:lineRule="auto"/>
        <w:tabs>
          <w:tab w:leader="none" w:pos="6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 accordance with the SEC rules, we may furnish proxy materials, including this proxy statement and our annual report, to our stockholders by providing access to such documents on the Internet instead of mailing printed copies. If you would like to receive a paper copy of our proxy materials, you should follow the instructions for requesting such materials in the notice.</w:t>
      </w:r>
    </w:p>
    <w:p>
      <w:pPr>
        <w:spacing w:after="0" w:line="54" w:lineRule="exact"/>
        <w:rPr>
          <w:rFonts w:ascii="Arial" w:cs="Arial" w:eastAsia="Arial" w:hAnsi="Arial"/>
          <w:sz w:val="15"/>
          <w:szCs w:val="15"/>
          <w:color w:val="auto"/>
        </w:rPr>
      </w:pPr>
    </w:p>
    <w:p>
      <w:pPr>
        <w:ind w:left="640" w:hanging="520"/>
        <w:spacing w:after="0"/>
        <w:tabs>
          <w:tab w:leader="none" w:pos="64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purpose of the annual meeting?</w:t>
      </w:r>
    </w:p>
    <w:p>
      <w:pPr>
        <w:spacing w:after="0" w:line="130" w:lineRule="exact"/>
        <w:rPr>
          <w:rFonts w:ascii="Arial" w:cs="Arial" w:eastAsia="Arial" w:hAnsi="Arial"/>
          <w:sz w:val="16"/>
          <w:szCs w:val="16"/>
          <w:b w:val="1"/>
          <w:bCs w:val="1"/>
          <w:color w:val="auto"/>
        </w:rPr>
      </w:pPr>
    </w:p>
    <w:p>
      <w:pPr>
        <w:ind w:left="640" w:hanging="520"/>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the annual meeting, stockholders will consider and vote on the following matters:</w:t>
      </w:r>
    </w:p>
    <w:p>
      <w:pPr>
        <w:spacing w:after="0" w:line="126" w:lineRule="exact"/>
        <w:rPr>
          <w:rFonts w:ascii="Arial" w:cs="Arial" w:eastAsia="Arial" w:hAnsi="Arial"/>
          <w:sz w:val="16"/>
          <w:szCs w:val="16"/>
          <w:color w:val="auto"/>
        </w:rPr>
      </w:pPr>
    </w:p>
    <w:p>
      <w:pPr>
        <w:ind w:left="1300" w:right="219" w:hanging="329"/>
        <w:spacing w:after="0" w:line="278" w:lineRule="auto"/>
        <w:tabs>
          <w:tab w:leader="none" w:pos="12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election of three Class I directors nominated by our board of directors, each to serve for a three-year term expiring at the 2022 annual meeting of stockholders or until his or her successor has been duly elected and qualified (Proposal 1);</w:t>
      </w:r>
    </w:p>
    <w:p>
      <w:pPr>
        <w:spacing w:after="0" w:line="76" w:lineRule="exact"/>
        <w:rPr>
          <w:rFonts w:ascii="Arial" w:cs="Arial" w:eastAsia="Arial" w:hAnsi="Arial"/>
          <w:sz w:val="16"/>
          <w:szCs w:val="16"/>
          <w:color w:val="auto"/>
        </w:rPr>
      </w:pPr>
    </w:p>
    <w:p>
      <w:pPr>
        <w:ind w:left="1240" w:hanging="269"/>
        <w:spacing w:after="0"/>
        <w:tabs>
          <w:tab w:leader="none" w:pos="12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non-binding, advisory vote on the compensation paid to our named executive officers (Proposal 2);</w:t>
      </w:r>
    </w:p>
    <w:p>
      <w:pPr>
        <w:spacing w:after="0" w:line="127" w:lineRule="exact"/>
        <w:rPr>
          <w:sz w:val="20"/>
          <w:szCs w:val="20"/>
          <w:color w:val="auto"/>
        </w:rPr>
      </w:pPr>
    </w:p>
    <w:p>
      <w:pPr>
        <w:ind w:left="1300" w:right="119" w:hanging="329"/>
        <w:spacing w:after="0" w:line="293" w:lineRule="auto"/>
        <w:tabs>
          <w:tab w:leader="none" w:pos="1216"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ratification of the appointment of Ernst &amp; Young LLP as our independent registered public accounting firm for the fiscal year ended December 31, 2019 (Proposal 3); and</w:t>
      </w:r>
    </w:p>
    <w:p>
      <w:pPr>
        <w:spacing w:after="0" w:line="63" w:lineRule="exact"/>
        <w:rPr>
          <w:rFonts w:ascii="Arial" w:cs="Arial" w:eastAsia="Arial" w:hAnsi="Arial"/>
          <w:sz w:val="16"/>
          <w:szCs w:val="16"/>
          <w:color w:val="auto"/>
        </w:rPr>
      </w:pPr>
    </w:p>
    <w:p>
      <w:pPr>
        <w:ind w:left="1300" w:right="619" w:hanging="329"/>
        <w:spacing w:after="0" w:line="293" w:lineRule="auto"/>
        <w:tabs>
          <w:tab w:leader="none" w:pos="1216"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transaction of any other business that may properly come before the annual meeting or any adjournment or postponement thereof.</w:t>
      </w:r>
    </w:p>
    <w:p>
      <w:pPr>
        <w:spacing w:after="0" w:line="59" w:lineRule="exact"/>
        <w:rPr>
          <w:rFonts w:ascii="Arial" w:cs="Arial" w:eastAsia="Arial" w:hAnsi="Arial"/>
          <w:sz w:val="16"/>
          <w:szCs w:val="16"/>
          <w:color w:val="auto"/>
        </w:rPr>
      </w:pPr>
    </w:p>
    <w:p>
      <w:pPr>
        <w:ind w:left="640" w:hanging="520"/>
        <w:spacing w:after="0"/>
        <w:tabs>
          <w:tab w:leader="none" w:pos="64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Who can vote at the annual meeting?</w:t>
      </w:r>
    </w:p>
    <w:p>
      <w:pPr>
        <w:spacing w:after="0" w:line="130" w:lineRule="exact"/>
        <w:rPr>
          <w:rFonts w:ascii="Arial" w:cs="Arial" w:eastAsia="Arial" w:hAnsi="Arial"/>
          <w:sz w:val="16"/>
          <w:szCs w:val="16"/>
          <w:b w:val="1"/>
          <w:bCs w:val="1"/>
          <w:color w:val="auto"/>
        </w:rPr>
      </w:pPr>
    </w:p>
    <w:p>
      <w:pPr>
        <w:ind w:left="640" w:right="99" w:hanging="520"/>
        <w:spacing w:after="0" w:line="278"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be entitled to vote, you must have been a stockholder of record at the close of business on April 22, 2019, the record date for our annual meeting. As of the record date, there were 48,849,020 shares of our common stock outstanding and entitled to vote at the annual meeting.</w:t>
      </w:r>
    </w:p>
    <w:p>
      <w:pPr>
        <w:spacing w:after="0" w:line="72" w:lineRule="exact"/>
        <w:rPr>
          <w:rFonts w:ascii="Arial" w:cs="Arial" w:eastAsia="Arial" w:hAnsi="Arial"/>
          <w:sz w:val="16"/>
          <w:szCs w:val="16"/>
          <w:color w:val="auto"/>
        </w:rPr>
      </w:pPr>
    </w:p>
    <w:p>
      <w:pPr>
        <w:ind w:left="640" w:hanging="520"/>
        <w:spacing w:after="0"/>
        <w:tabs>
          <w:tab w:leader="none" w:pos="64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How many votes do I have?</w:t>
      </w:r>
    </w:p>
    <w:p>
      <w:pPr>
        <w:spacing w:after="0" w:line="130" w:lineRule="exact"/>
        <w:rPr>
          <w:rFonts w:ascii="Arial" w:cs="Arial" w:eastAsia="Arial" w:hAnsi="Arial"/>
          <w:sz w:val="16"/>
          <w:szCs w:val="16"/>
          <w:b w:val="1"/>
          <w:bCs w:val="1"/>
          <w:color w:val="auto"/>
        </w:rPr>
      </w:pPr>
    </w:p>
    <w:p>
      <w:pPr>
        <w:ind w:left="640" w:right="99" w:hanging="520"/>
        <w:spacing w:after="0" w:line="293"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share of our common stock that you own as of the record date will entitle you to one vote on each matter considered at the annual meeting.</w:t>
      </w:r>
    </w:p>
    <w:p>
      <w:pPr>
        <w:spacing w:after="0" w:line="59" w:lineRule="exact"/>
        <w:rPr>
          <w:rFonts w:ascii="Arial" w:cs="Arial" w:eastAsia="Arial" w:hAnsi="Arial"/>
          <w:sz w:val="16"/>
          <w:szCs w:val="16"/>
          <w:color w:val="auto"/>
        </w:rPr>
      </w:pPr>
    </w:p>
    <w:p>
      <w:pPr>
        <w:ind w:left="640" w:hanging="520"/>
        <w:spacing w:after="0"/>
        <w:tabs>
          <w:tab w:leader="none" w:pos="64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How do I vote?</w:t>
      </w:r>
    </w:p>
    <w:p>
      <w:pPr>
        <w:spacing w:after="0" w:line="126" w:lineRule="exact"/>
        <w:rPr>
          <w:rFonts w:ascii="Arial" w:cs="Arial" w:eastAsia="Arial" w:hAnsi="Arial"/>
          <w:sz w:val="16"/>
          <w:szCs w:val="16"/>
          <w:b w:val="1"/>
          <w:bCs w:val="1"/>
          <w:color w:val="auto"/>
        </w:rPr>
      </w:pPr>
    </w:p>
    <w:p>
      <w:pPr>
        <w:ind w:left="640" w:right="159" w:hanging="520"/>
        <w:spacing w:after="0" w:line="281"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If you are the “record holder” of your shares, </w:t>
      </w:r>
      <w:r>
        <w:rPr>
          <w:rFonts w:ascii="Arial" w:cs="Arial" w:eastAsia="Arial" w:hAnsi="Arial"/>
          <w:sz w:val="16"/>
          <w:szCs w:val="16"/>
          <w:color w:val="auto"/>
        </w:rPr>
        <w:t>meaning that your shares are registered in your name in the records of our</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agent, Computershare Trust Company, N.A., and not in the name of a bank, brokerage firm or other nominee, you may vote your shares at the meeting in person or by proxy as follows:</w:t>
      </w:r>
    </w:p>
    <w:p>
      <w:pPr>
        <w:spacing w:after="0" w:line="70" w:lineRule="exact"/>
        <w:rPr>
          <w:sz w:val="20"/>
          <w:szCs w:val="20"/>
          <w:color w:val="auto"/>
        </w:rPr>
      </w:pPr>
    </w:p>
    <w:p>
      <w:pPr>
        <w:ind w:left="1300" w:right="139" w:hanging="323"/>
        <w:spacing w:after="0" w:line="271" w:lineRule="auto"/>
        <w:tabs>
          <w:tab w:leader="none" w:pos="1280" w:val="left"/>
        </w:tabs>
        <w:rPr>
          <w:sz w:val="20"/>
          <w:szCs w:val="20"/>
          <w:color w:val="auto"/>
        </w:rPr>
      </w:pPr>
      <w:r>
        <w:rPr>
          <w:rFonts w:ascii="Arial" w:cs="Arial" w:eastAsia="Arial" w:hAnsi="Arial"/>
          <w:sz w:val="16"/>
          <w:szCs w:val="16"/>
          <w:color w:val="auto"/>
        </w:rPr>
        <w:t>1</w:t>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 xml:space="preserve">Over the Internet: </w:t>
      </w:r>
      <w:r>
        <w:rPr>
          <w:rFonts w:ascii="Arial" w:cs="Arial" w:eastAsia="Arial" w:hAnsi="Arial"/>
          <w:sz w:val="16"/>
          <w:szCs w:val="16"/>
          <w:color w:val="auto"/>
        </w:rPr>
        <w:t>To vote over the Internet, please go to the following website: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and follow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on that website for submitting your proxy electronically. If you vote over the Internet, you do not need to complete and mail your proxy card or vote your proxy by telephone. You must specify how you want your shares voted, or your Internet vote cannot be completed, and you will receive an error message. You must submit your Internet proxy before 11:59 p.m., Eastern Daylight Time, on June 17, 2019, the day before the annual meeting, for your proxy to be valid and your vote to count.</w:t>
      </w:r>
    </w:p>
    <w:p>
      <w:pPr>
        <w:spacing w:after="0" w:line="77" w:lineRule="exact"/>
        <w:rPr>
          <w:sz w:val="20"/>
          <w:szCs w:val="20"/>
          <w:color w:val="auto"/>
        </w:rPr>
      </w:pPr>
    </w:p>
    <w:p>
      <w:pPr>
        <w:ind w:left="1300" w:right="239" w:hanging="329"/>
        <w:spacing w:after="0" w:line="204" w:lineRule="exact"/>
        <w:tabs>
          <w:tab w:leader="none" w:pos="1260" w:val="left"/>
        </w:tabs>
        <w:numPr>
          <w:ilvl w:val="0"/>
          <w:numId w:val="21"/>
        </w:numPr>
        <w:rPr>
          <w:rFonts w:ascii="Arial" w:cs="Arial" w:eastAsia="Arial" w:hAnsi="Arial"/>
          <w:sz w:val="14"/>
          <w:szCs w:val="14"/>
          <w:color w:val="auto"/>
        </w:rPr>
      </w:pPr>
      <w:r>
        <w:rPr>
          <w:rFonts w:ascii="Arial" w:cs="Arial" w:eastAsia="Arial" w:hAnsi="Arial"/>
          <w:sz w:val="14"/>
          <w:szCs w:val="14"/>
          <w:b w:val="1"/>
          <w:bCs w:val="1"/>
          <w:color w:val="auto"/>
        </w:rPr>
        <w:t xml:space="preserve">By Telephone: </w:t>
      </w:r>
      <w:r>
        <w:rPr>
          <w:rFonts w:ascii="Arial" w:cs="Arial" w:eastAsia="Arial" w:hAnsi="Arial"/>
          <w:sz w:val="14"/>
          <w:szCs w:val="14"/>
          <w:color w:val="auto"/>
        </w:rPr>
        <w:t>To vote by telephone, please call 1</w:t>
      </w:r>
      <w:r>
        <w:rPr>
          <w:rFonts w:ascii="MS PGothic" w:cs="MS PGothic" w:eastAsia="MS PGothic" w:hAnsi="MS PGothic"/>
          <w:sz w:val="14"/>
          <w:szCs w:val="14"/>
          <w:color w:val="auto"/>
        </w:rPr>
        <w:t>‑</w:t>
      </w:r>
      <w:r>
        <w:rPr>
          <w:rFonts w:ascii="Arial" w:cs="Arial" w:eastAsia="Arial" w:hAnsi="Arial"/>
          <w:sz w:val="14"/>
          <w:szCs w:val="14"/>
          <w:color w:val="auto"/>
        </w:rPr>
        <w:t>800</w:t>
      </w:r>
      <w:r>
        <w:rPr>
          <w:rFonts w:ascii="MS PGothic" w:cs="MS PGothic" w:eastAsia="MS PGothic" w:hAnsi="MS PGothic"/>
          <w:sz w:val="14"/>
          <w:szCs w:val="14"/>
          <w:color w:val="auto"/>
        </w:rPr>
        <w:t>‑</w:t>
      </w:r>
      <w:r>
        <w:rPr>
          <w:rFonts w:ascii="Arial" w:cs="Arial" w:eastAsia="Arial" w:hAnsi="Arial"/>
          <w:sz w:val="14"/>
          <w:szCs w:val="14"/>
          <w:color w:val="auto"/>
        </w:rPr>
        <w:t>579</w:t>
      </w:r>
      <w:r>
        <w:rPr>
          <w:rFonts w:ascii="MS PGothic" w:cs="MS PGothic" w:eastAsia="MS PGothic" w:hAnsi="MS PGothic"/>
          <w:sz w:val="14"/>
          <w:szCs w:val="14"/>
          <w:color w:val="auto"/>
        </w:rPr>
        <w:t>‑</w:t>
      </w:r>
      <w:r>
        <w:rPr>
          <w:rFonts w:ascii="Arial" w:cs="Arial" w:eastAsia="Arial" w:hAnsi="Arial"/>
          <w:sz w:val="14"/>
          <w:szCs w:val="14"/>
          <w:color w:val="auto"/>
        </w:rPr>
        <w:t>1639, and follow the instructions provided on the proxy</w:t>
      </w:r>
      <w:r>
        <w:rPr>
          <w:rFonts w:ascii="Arial" w:cs="Arial" w:eastAsia="Arial" w:hAnsi="Arial"/>
          <w:sz w:val="14"/>
          <w:szCs w:val="14"/>
          <w:b w:val="1"/>
          <w:bCs w:val="1"/>
          <w:color w:val="auto"/>
        </w:rPr>
        <w:t xml:space="preserve"> </w:t>
      </w:r>
      <w:r>
        <w:rPr>
          <w:rFonts w:ascii="Arial" w:cs="Arial" w:eastAsia="Arial" w:hAnsi="Arial"/>
          <w:sz w:val="14"/>
          <w:szCs w:val="14"/>
          <w:color w:val="auto"/>
        </w:rPr>
        <w:t>card. If you vote by telephone, you do not need to complete and mail your proxy card or vote your proxy over the Internet. You must specify how you want your shares voted and confirm your vote at the end of the call, or your telephone vote cannot be completed. You must submit your telephonic proxy before 11:59 p.m., Eastern Daylight Time, on June 17, 2019, the day before the annual meeting, for your proxy to be valid and your vote to count.</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0" w:right="1440" w:bottom="1440" w:gutter="0" w:footer="0" w:header="0"/>
        </w:sectPr>
      </w:pPr>
    </w:p>
    <w:bookmarkStart w:id="6" w:name="page7"/>
    <w:bookmarkEnd w:id="6"/>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ind w:left="1460" w:right="159" w:hanging="327"/>
        <w:spacing w:after="0" w:line="271" w:lineRule="auto"/>
        <w:tabs>
          <w:tab w:leader="none" w:pos="1419"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To vote by mail, you must mark, sign and date the proxy card and then mail the proxy card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instructions on the proxy card. If you vote by mail, you do not need to vote over the Internet or by telephone. Broadridge Financial Solutions, Inc. must receive the proxy card not later than June 17, 2019, the day before the annual meeting, for your proxy to be valid and your vote to count. If you return your proxy card but do not specify how you want your shares voted on any particular matter, they will be voted in accordance with the recommendations of our board of directors.</w:t>
      </w:r>
    </w:p>
    <w:p>
      <w:pPr>
        <w:spacing w:after="0" w:line="77" w:lineRule="exact"/>
        <w:rPr>
          <w:rFonts w:ascii="Arial" w:cs="Arial" w:eastAsia="Arial" w:hAnsi="Arial"/>
          <w:sz w:val="16"/>
          <w:szCs w:val="16"/>
          <w:color w:val="auto"/>
        </w:rPr>
      </w:pPr>
    </w:p>
    <w:p>
      <w:pPr>
        <w:ind w:left="1460" w:right="159" w:hanging="327"/>
        <w:spacing w:after="0" w:line="298" w:lineRule="auto"/>
        <w:tabs>
          <w:tab w:leader="none" w:pos="1419"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In Person at the Meeting: </w:t>
      </w:r>
      <w:r>
        <w:rPr>
          <w:rFonts w:ascii="Arial" w:cs="Arial" w:eastAsia="Arial" w:hAnsi="Arial"/>
          <w:sz w:val="16"/>
          <w:szCs w:val="16"/>
          <w:color w:val="auto"/>
        </w:rPr>
        <w:t>If you attend the annual meeting, you may deliver your completed proxy card in person</w:t>
      </w:r>
      <w:r>
        <w:rPr>
          <w:rFonts w:ascii="Arial" w:cs="Arial" w:eastAsia="Arial" w:hAnsi="Arial"/>
          <w:sz w:val="16"/>
          <w:szCs w:val="16"/>
          <w:b w:val="1"/>
          <w:bCs w:val="1"/>
          <w:color w:val="auto"/>
        </w:rPr>
        <w:t xml:space="preserve"> </w:t>
      </w:r>
      <w:r>
        <w:rPr>
          <w:rFonts w:ascii="Arial" w:cs="Arial" w:eastAsia="Arial" w:hAnsi="Arial"/>
          <w:sz w:val="16"/>
          <w:szCs w:val="16"/>
          <w:color w:val="auto"/>
        </w:rPr>
        <w:t>or you may vote by completing a ballot, which we will provide to you at the meeting.</w:t>
      </w:r>
    </w:p>
    <w:p>
      <w:pPr>
        <w:spacing w:after="0" w:line="56" w:lineRule="exact"/>
        <w:rPr>
          <w:sz w:val="20"/>
          <w:szCs w:val="20"/>
          <w:color w:val="auto"/>
        </w:rPr>
      </w:pPr>
    </w:p>
    <w:p>
      <w:pPr>
        <w:ind w:left="800" w:right="119"/>
        <w:spacing w:after="0" w:line="290" w:lineRule="auto"/>
        <w:rPr>
          <w:sz w:val="20"/>
          <w:szCs w:val="20"/>
          <w:color w:val="auto"/>
        </w:rPr>
      </w:pPr>
      <w:r>
        <w:rPr>
          <w:rFonts w:ascii="Arial" w:cs="Arial" w:eastAsia="Arial" w:hAnsi="Arial"/>
          <w:sz w:val="15"/>
          <w:szCs w:val="15"/>
          <w:b w:val="1"/>
          <w:bCs w:val="1"/>
          <w:color w:val="auto"/>
        </w:rPr>
        <w:t xml:space="preserve">If your shares are held in “street name,” </w:t>
      </w:r>
      <w:r>
        <w:rPr>
          <w:rFonts w:ascii="Arial" w:cs="Arial" w:eastAsia="Arial" w:hAnsi="Arial"/>
          <w:sz w:val="15"/>
          <w:szCs w:val="15"/>
          <w:color w:val="auto"/>
        </w:rPr>
        <w:t>meaning they are held for your account by an intermediary, such as a bank,</w:t>
      </w:r>
      <w:r>
        <w:rPr>
          <w:rFonts w:ascii="Arial" w:cs="Arial" w:eastAsia="Arial" w:hAnsi="Arial"/>
          <w:sz w:val="15"/>
          <w:szCs w:val="15"/>
          <w:b w:val="1"/>
          <w:bCs w:val="1"/>
          <w:color w:val="auto"/>
        </w:rPr>
        <w:t xml:space="preserve"> </w:t>
      </w:r>
      <w:r>
        <w:rPr>
          <w:rFonts w:ascii="Arial" w:cs="Arial" w:eastAsia="Arial" w:hAnsi="Arial"/>
          <w:sz w:val="15"/>
          <w:szCs w:val="15"/>
          <w:color w:val="auto"/>
        </w:rPr>
        <w:t>brokerage firm or other nominee, then you are deemed to be the beneficial owner of your shares, and the bank, brokerage firm or other nominee that actually holds the shares for you is the record holder and is required to vote the shares it holds on your behalf according to your instructions. The proxy materials, as well as voting and revocation instructions, should have been forwarded to you by the bank, brokerage firm or other nominee that holds your shares. In order to vote your shares, you will need to follow the instructions that your bank, brokerage firm or other nominee provides you. Many banks, brokerage firms or other nominees solicit voting instructions over the Internet or by telephone.</w:t>
      </w:r>
    </w:p>
    <w:p>
      <w:pPr>
        <w:spacing w:after="0" w:line="71" w:lineRule="exact"/>
        <w:rPr>
          <w:sz w:val="20"/>
          <w:szCs w:val="20"/>
          <w:color w:val="auto"/>
        </w:rPr>
      </w:pPr>
    </w:p>
    <w:p>
      <w:pPr>
        <w:ind w:left="800" w:right="119"/>
        <w:spacing w:after="0" w:line="271" w:lineRule="auto"/>
        <w:rPr>
          <w:sz w:val="20"/>
          <w:szCs w:val="20"/>
          <w:color w:val="auto"/>
        </w:rPr>
      </w:pPr>
      <w:r>
        <w:rPr>
          <w:rFonts w:ascii="Arial" w:cs="Arial" w:eastAsia="Arial" w:hAnsi="Arial"/>
          <w:sz w:val="16"/>
          <w:szCs w:val="16"/>
          <w:color w:val="auto"/>
        </w:rPr>
        <w:t>If you do not give instructions to your bank, brokerage firm or other nominee, they will still be able to vote your shares with respect to certain “discretionary” items. The ratification of the appointment of Ernst &amp; Young LLP as our independent registered public accounting firm (Proposal 3) is considered a discretionary item. Accordingly, your bank, brokerage firm or other nominee may vote your shares in its discretion with respect to that matter even if you do not give voting instructions on Proposal 3.</w:t>
      </w:r>
    </w:p>
    <w:p>
      <w:pPr>
        <w:spacing w:after="0" w:line="82" w:lineRule="exact"/>
        <w:rPr>
          <w:sz w:val="20"/>
          <w:szCs w:val="20"/>
          <w:color w:val="auto"/>
        </w:rPr>
      </w:pPr>
    </w:p>
    <w:p>
      <w:pPr>
        <w:ind w:left="800" w:right="119"/>
        <w:spacing w:after="0" w:line="288" w:lineRule="auto"/>
        <w:rPr>
          <w:sz w:val="20"/>
          <w:szCs w:val="20"/>
          <w:color w:val="auto"/>
        </w:rPr>
      </w:pPr>
      <w:r>
        <w:rPr>
          <w:rFonts w:ascii="Arial" w:cs="Arial" w:eastAsia="Arial" w:hAnsi="Arial"/>
          <w:sz w:val="15"/>
          <w:szCs w:val="15"/>
          <w:color w:val="auto"/>
        </w:rPr>
        <w:t>However, under applicable stock exchange rules that regulate voting by registered banks, brokerage firms or other nominees, the election of our nominees to serve as Class I directors (Proposal 1) and a non-binding, advisory vote on the compensation paid to our named executive officers (Proposal 2) is not considered to be a discretionary item. Accordingly, if you do not give your bank, brokerage firm or other nominee voting instructions on Proposals 1 or 2 they may not vote your shares with respect to this matter and your shares will be counted as “broker non-votes” with respect to the proposal. A “broker non-vote” occurs when shares held by a bank, brokerage firm or other nominee are not voted with respect to a particular proposal because the bank, brokerage firm or other nominee does not have or did not exercise discretionary authority to vote on the matter and has not received voting instructions from its clients.</w:t>
      </w:r>
    </w:p>
    <w:p>
      <w:pPr>
        <w:spacing w:after="0" w:line="69" w:lineRule="exact"/>
        <w:rPr>
          <w:sz w:val="20"/>
          <w:szCs w:val="20"/>
          <w:color w:val="auto"/>
        </w:rPr>
      </w:pPr>
    </w:p>
    <w:p>
      <w:pPr>
        <w:ind w:left="800" w:right="119"/>
        <w:spacing w:after="0" w:line="271" w:lineRule="auto"/>
        <w:rPr>
          <w:sz w:val="20"/>
          <w:szCs w:val="20"/>
          <w:color w:val="auto"/>
        </w:rPr>
      </w:pPr>
      <w:r>
        <w:rPr>
          <w:rFonts w:ascii="Arial" w:cs="Arial" w:eastAsia="Arial" w:hAnsi="Arial"/>
          <w:sz w:val="16"/>
          <w:szCs w:val="16"/>
          <w:b w:val="1"/>
          <w:bCs w:val="1"/>
          <w:color w:val="auto"/>
        </w:rPr>
        <w:t xml:space="preserve">Regardless of whether your shares are held in street name, you are welcome to attend the meeting. You may not vote shares held in street name in person at the meeting, however, unless you obtain a legal proxy, executed in your favor, from the holder of record (i.e., your bank, brokerage firm or other nominee). A legal proxy is </w:t>
      </w:r>
      <w:r>
        <w:rPr>
          <w:rFonts w:ascii="Arial" w:cs="Arial" w:eastAsia="Arial" w:hAnsi="Arial"/>
          <w:sz w:val="16"/>
          <w:szCs w:val="16"/>
          <w:b w:val="1"/>
          <w:bCs w:val="1"/>
          <w:i w:val="1"/>
          <w:iCs w:val="1"/>
          <w:color w:val="auto"/>
        </w:rPr>
        <w:t>not</w:t>
      </w:r>
      <w:r>
        <w:rPr>
          <w:rFonts w:ascii="Arial" w:cs="Arial" w:eastAsia="Arial" w:hAnsi="Arial"/>
          <w:sz w:val="16"/>
          <w:szCs w:val="16"/>
          <w:b w:val="1"/>
          <w:bCs w:val="1"/>
          <w:color w:val="auto"/>
        </w:rPr>
        <w:t xml:space="preserve"> the form of proxy included with this proxy statement. You will not be able to vote shares you hold in street name in person at the annual meeting unless you have a legal proxy from your bank, brokerage firm or other nominee issued in your name giving you the right to vote your shares.</w:t>
      </w:r>
    </w:p>
    <w:p>
      <w:pPr>
        <w:spacing w:after="0" w:line="77" w:lineRule="exact"/>
        <w:rPr>
          <w:sz w:val="20"/>
          <w:szCs w:val="20"/>
          <w:color w:val="auto"/>
        </w:rPr>
      </w:pPr>
    </w:p>
    <w:p>
      <w:pPr>
        <w:ind w:left="800" w:hanging="680"/>
        <w:spacing w:after="0"/>
        <w:tabs>
          <w:tab w:leader="none" w:pos="80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Can I change my vote?</w:t>
      </w:r>
    </w:p>
    <w:p>
      <w:pPr>
        <w:spacing w:after="0" w:line="126" w:lineRule="exact"/>
        <w:rPr>
          <w:rFonts w:ascii="Arial" w:cs="Arial" w:eastAsia="Arial" w:hAnsi="Arial"/>
          <w:sz w:val="16"/>
          <w:szCs w:val="16"/>
          <w:b w:val="1"/>
          <w:bCs w:val="1"/>
          <w:color w:val="auto"/>
        </w:rPr>
      </w:pPr>
    </w:p>
    <w:p>
      <w:pPr>
        <w:ind w:left="800" w:right="219" w:hanging="680"/>
        <w:spacing w:after="0" w:line="298"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If your shares are registered directly in your name, </w:t>
      </w:r>
      <w:r>
        <w:rPr>
          <w:rFonts w:ascii="Arial" w:cs="Arial" w:eastAsia="Arial" w:hAnsi="Arial"/>
          <w:sz w:val="16"/>
          <w:szCs w:val="16"/>
          <w:color w:val="auto"/>
        </w:rPr>
        <w:t>you may revoke your proxy and change your vote at any time before</w:t>
      </w:r>
      <w:r>
        <w:rPr>
          <w:rFonts w:ascii="Arial" w:cs="Arial" w:eastAsia="Arial" w:hAnsi="Arial"/>
          <w:sz w:val="16"/>
          <w:szCs w:val="16"/>
          <w:b w:val="1"/>
          <w:bCs w:val="1"/>
          <w:color w:val="auto"/>
        </w:rPr>
        <w:t xml:space="preserve"> </w:t>
      </w:r>
      <w:r>
        <w:rPr>
          <w:rFonts w:ascii="Arial" w:cs="Arial" w:eastAsia="Arial" w:hAnsi="Arial"/>
          <w:sz w:val="16"/>
          <w:szCs w:val="16"/>
          <w:color w:val="auto"/>
        </w:rPr>
        <w:t>the vote is taken at the annual meeting. To do so, you must do one of the following:</w:t>
      </w:r>
    </w:p>
    <w:p>
      <w:pPr>
        <w:spacing w:after="0" w:line="60" w:lineRule="exact"/>
        <w:rPr>
          <w:rFonts w:ascii="Arial" w:cs="Arial" w:eastAsia="Arial" w:hAnsi="Arial"/>
          <w:sz w:val="16"/>
          <w:szCs w:val="16"/>
          <w:color w:val="auto"/>
        </w:rPr>
      </w:pPr>
    </w:p>
    <w:p>
      <w:pPr>
        <w:ind w:left="1420" w:hanging="287"/>
        <w:spacing w:after="0"/>
        <w:tabs>
          <w:tab w:leader="none" w:pos="1420" w:val="left"/>
        </w:tabs>
        <w:numPr>
          <w:ilvl w:val="1"/>
          <w:numId w:val="24"/>
        </w:numPr>
        <w:rPr>
          <w:rFonts w:ascii="Arial" w:cs="Arial" w:eastAsia="Arial" w:hAnsi="Arial"/>
          <w:sz w:val="14"/>
          <w:szCs w:val="14"/>
          <w:color w:val="auto"/>
        </w:rPr>
      </w:pPr>
      <w:r>
        <w:rPr>
          <w:rFonts w:ascii="Arial" w:cs="Arial" w:eastAsia="Arial" w:hAnsi="Arial"/>
          <w:sz w:val="14"/>
          <w:szCs w:val="14"/>
          <w:color w:val="auto"/>
        </w:rPr>
        <w:t>Vote over the Internet or by telephone as instructed above. Only your latest Internet or telephone vote is counted.</w:t>
      </w:r>
    </w:p>
    <w:p>
      <w:pPr>
        <w:spacing w:after="0" w:line="149" w:lineRule="exact"/>
        <w:rPr>
          <w:rFonts w:ascii="Arial" w:cs="Arial" w:eastAsia="Arial" w:hAnsi="Arial"/>
          <w:sz w:val="14"/>
          <w:szCs w:val="14"/>
          <w:color w:val="auto"/>
        </w:rPr>
      </w:pPr>
    </w:p>
    <w:p>
      <w:pPr>
        <w:ind w:left="1420" w:hanging="287"/>
        <w:spacing w:after="0"/>
        <w:tabs>
          <w:tab w:leader="none" w:pos="14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Sign and return a new proxy card. Only your latest dated and timely received proxy card will be counted.</w:t>
      </w:r>
    </w:p>
    <w:p>
      <w:pPr>
        <w:spacing w:after="0" w:line="126" w:lineRule="exact"/>
        <w:rPr>
          <w:rFonts w:ascii="Arial" w:cs="Arial" w:eastAsia="Arial" w:hAnsi="Arial"/>
          <w:sz w:val="16"/>
          <w:szCs w:val="16"/>
          <w:color w:val="auto"/>
        </w:rPr>
      </w:pPr>
    </w:p>
    <w:p>
      <w:pPr>
        <w:ind w:left="1440" w:right="459" w:hanging="307"/>
        <w:spacing w:after="0" w:line="329" w:lineRule="auto"/>
        <w:tabs>
          <w:tab w:leader="none" w:pos="1400" w:val="left"/>
        </w:tabs>
        <w:numPr>
          <w:ilvl w:val="1"/>
          <w:numId w:val="24"/>
        </w:numPr>
        <w:rPr>
          <w:rFonts w:ascii="Arial" w:cs="Arial" w:eastAsia="Arial" w:hAnsi="Arial"/>
          <w:sz w:val="15"/>
          <w:szCs w:val="15"/>
          <w:color w:val="auto"/>
        </w:rPr>
      </w:pPr>
      <w:r>
        <w:rPr>
          <w:rFonts w:ascii="Arial" w:cs="Arial" w:eastAsia="Arial" w:hAnsi="Arial"/>
          <w:sz w:val="15"/>
          <w:szCs w:val="15"/>
          <w:color w:val="auto"/>
        </w:rPr>
        <w:t>Attend the annual meeting and vote in person as instructed above. Attending the annual meeting will not alone revoke your Internet vote, telephone vote or proxy card submitted by mail, as the case may be.</w:t>
      </w:r>
    </w:p>
    <w:p>
      <w:pPr>
        <w:spacing w:after="0" w:line="40" w:lineRule="exact"/>
        <w:rPr>
          <w:rFonts w:ascii="Arial" w:cs="Arial" w:eastAsia="Arial" w:hAnsi="Arial"/>
          <w:sz w:val="15"/>
          <w:szCs w:val="15"/>
          <w:color w:val="auto"/>
        </w:rPr>
      </w:pPr>
    </w:p>
    <w:p>
      <w:pPr>
        <w:ind w:left="1420" w:hanging="287"/>
        <w:spacing w:after="0"/>
        <w:tabs>
          <w:tab w:leader="none" w:pos="14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Give our corporate secretary written notice before or at the meeting that you want to revoke your proxy.</w:t>
      </w:r>
    </w:p>
    <w:p>
      <w:pPr>
        <w:spacing w:after="0" w:line="123" w:lineRule="exact"/>
        <w:rPr>
          <w:sz w:val="20"/>
          <w:szCs w:val="20"/>
          <w:color w:val="auto"/>
        </w:rPr>
      </w:pPr>
    </w:p>
    <w:p>
      <w:pPr>
        <w:ind w:left="800" w:right="119"/>
        <w:spacing w:after="0" w:line="281" w:lineRule="auto"/>
        <w:rPr>
          <w:sz w:val="20"/>
          <w:szCs w:val="20"/>
          <w:color w:val="auto"/>
        </w:rPr>
      </w:pPr>
      <w:r>
        <w:rPr>
          <w:rFonts w:ascii="Arial" w:cs="Arial" w:eastAsia="Arial" w:hAnsi="Arial"/>
          <w:sz w:val="16"/>
          <w:szCs w:val="16"/>
          <w:b w:val="1"/>
          <w:bCs w:val="1"/>
          <w:color w:val="auto"/>
        </w:rPr>
        <w:t xml:space="preserve">If your shares are held in street name, </w:t>
      </w:r>
      <w:r>
        <w:rPr>
          <w:rFonts w:ascii="Arial" w:cs="Arial" w:eastAsia="Arial" w:hAnsi="Arial"/>
          <w:sz w:val="16"/>
          <w:szCs w:val="16"/>
          <w:color w:val="auto"/>
        </w:rPr>
        <w:t>you may submit new voting instructions by contacting your bank, brokerage firm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nominee. You may also vote in person at the annual meeting if you obtain a legal proxy as described in the answer above.</w:t>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0" w:right="1440" w:bottom="1440" w:gutter="0" w:footer="0" w:header="0"/>
        </w:sectPr>
      </w:pPr>
    </w:p>
    <w:bookmarkStart w:id="7" w:name="page8"/>
    <w:bookmarkEnd w:id="7"/>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ind w:left="640" w:hanging="520"/>
        <w:spacing w:after="0"/>
        <w:tabs>
          <w:tab w:leader="none" w:pos="64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must be represented to have a quorum and hold the annual meeting?</w:t>
      </w:r>
    </w:p>
    <w:p>
      <w:pPr>
        <w:spacing w:after="0" w:line="130" w:lineRule="exact"/>
        <w:rPr>
          <w:rFonts w:ascii="Arial" w:cs="Arial" w:eastAsia="Arial" w:hAnsi="Arial"/>
          <w:sz w:val="16"/>
          <w:szCs w:val="16"/>
          <w:b w:val="1"/>
          <w:bCs w:val="1"/>
          <w:color w:val="auto"/>
        </w:rPr>
      </w:pPr>
    </w:p>
    <w:p>
      <w:pPr>
        <w:ind w:left="640" w:right="99" w:hanging="520"/>
        <w:spacing w:after="0" w:line="313"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majority of our shares of common stock outstanding at the record date must be present in person or represented by proxy to hold the annual meeting. This is called a quorum. For purposes of determining whether a quorum exists, we count as present any shares that are voted over the Internet, by telephone, by completing and submitting a proxy by mail or that are represented in person at the meeting. Further, for purposes of establishing a quorum, we will count as present shares that a stockholder holds even if the stockholder votes to abstain or only votes on one of the proposals. In addition, we will count as present shares held in street name by banks, brokerage firms or other nominees who indicate on their proxies that they do not have authority to vote those shares. If a quorum is not present, we expect to adjourn the annual meeting until we obtain a quorum.</w:t>
      </w:r>
    </w:p>
    <w:p>
      <w:pPr>
        <w:spacing w:after="0" w:line="56" w:lineRule="exact"/>
        <w:rPr>
          <w:rFonts w:ascii="Arial" w:cs="Arial" w:eastAsia="Arial" w:hAnsi="Arial"/>
          <w:sz w:val="14"/>
          <w:szCs w:val="14"/>
          <w:color w:val="auto"/>
        </w:rPr>
      </w:pPr>
    </w:p>
    <w:p>
      <w:pPr>
        <w:jc w:val="both"/>
        <w:ind w:left="640" w:right="99"/>
        <w:spacing w:after="0" w:line="278" w:lineRule="auto"/>
        <w:rPr>
          <w:rFonts w:ascii="Arial" w:cs="Arial" w:eastAsia="Arial" w:hAnsi="Arial"/>
          <w:sz w:val="14"/>
          <w:szCs w:val="14"/>
          <w:color w:val="auto"/>
        </w:rPr>
      </w:pPr>
      <w:r>
        <w:rPr>
          <w:rFonts w:ascii="Arial" w:cs="Arial" w:eastAsia="Arial" w:hAnsi="Arial"/>
          <w:sz w:val="16"/>
          <w:szCs w:val="16"/>
          <w:color w:val="auto"/>
        </w:rPr>
        <w:t>The presence at the annual meeting, in person or by proxy, of holders representing a majority of our outstanding common stock as of the record date, April 22, 2019, or approximately 24,424,511 shares, constitutes a quorum at the meeting and permits us to conduct the business of the meeting.</w:t>
      </w:r>
    </w:p>
    <w:p>
      <w:pPr>
        <w:spacing w:after="0" w:line="72" w:lineRule="exact"/>
        <w:rPr>
          <w:rFonts w:ascii="Arial" w:cs="Arial" w:eastAsia="Arial" w:hAnsi="Arial"/>
          <w:sz w:val="14"/>
          <w:szCs w:val="14"/>
          <w:color w:val="auto"/>
        </w:rPr>
      </w:pPr>
    </w:p>
    <w:p>
      <w:pPr>
        <w:ind w:left="640" w:hanging="520"/>
        <w:spacing w:after="0"/>
        <w:tabs>
          <w:tab w:leader="none" w:pos="6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What vote is required to approve each matter and how are votes counted?</w:t>
      </w:r>
    </w:p>
    <w:p>
      <w:pPr>
        <w:spacing w:after="0" w:line="126" w:lineRule="exact"/>
        <w:rPr>
          <w:rFonts w:ascii="Arial" w:cs="Arial" w:eastAsia="Arial" w:hAnsi="Arial"/>
          <w:sz w:val="16"/>
          <w:szCs w:val="16"/>
          <w:b w:val="1"/>
          <w:bCs w:val="1"/>
          <w:color w:val="auto"/>
        </w:rPr>
      </w:pPr>
    </w:p>
    <w:p>
      <w:pPr>
        <w:ind w:left="640" w:hanging="520"/>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Proposal 1—Election of Class I Directors</w:t>
      </w:r>
    </w:p>
    <w:p>
      <w:pPr>
        <w:spacing w:after="0" w:line="130" w:lineRule="exact"/>
        <w:rPr>
          <w:rFonts w:ascii="Arial" w:cs="Arial" w:eastAsia="Arial" w:hAnsi="Arial"/>
          <w:sz w:val="16"/>
          <w:szCs w:val="16"/>
          <w:color w:val="auto"/>
        </w:rPr>
      </w:pPr>
    </w:p>
    <w:p>
      <w:pPr>
        <w:ind w:left="640" w:right="159"/>
        <w:spacing w:after="0" w:line="291" w:lineRule="auto"/>
        <w:rPr>
          <w:rFonts w:ascii="Arial" w:cs="Arial" w:eastAsia="Arial" w:hAnsi="Arial"/>
          <w:sz w:val="16"/>
          <w:szCs w:val="16"/>
          <w:color w:val="auto"/>
        </w:rPr>
      </w:pPr>
      <w:r>
        <w:rPr>
          <w:rFonts w:ascii="Arial" w:cs="Arial" w:eastAsia="Arial" w:hAnsi="Arial"/>
          <w:sz w:val="15"/>
          <w:szCs w:val="15"/>
          <w:color w:val="auto"/>
        </w:rPr>
        <w:t xml:space="preserve">The three nominees for director to receive the highest number of votes FOR election will be elected as directors. This is called a plurality. </w:t>
      </w:r>
      <w:r>
        <w:rPr>
          <w:rFonts w:ascii="Arial" w:cs="Arial" w:eastAsia="Arial" w:hAnsi="Arial"/>
          <w:sz w:val="15"/>
          <w:szCs w:val="15"/>
          <w:b w:val="1"/>
          <w:bCs w:val="1"/>
          <w:color w:val="auto"/>
        </w:rPr>
        <w:t>Proposal 1 is a non-discretionary matter.</w:t>
      </w:r>
      <w:r>
        <w:rPr>
          <w:rFonts w:ascii="Arial" w:cs="Arial" w:eastAsia="Arial" w:hAnsi="Arial"/>
          <w:sz w:val="15"/>
          <w:szCs w:val="15"/>
          <w:color w:val="auto"/>
        </w:rPr>
        <w:t xml:space="preserve"> Therefore, if your shares are held by your brokerage firm in street name and you do not timely provide voting instructions with respect to your shares, your brokerage firm cannot vote your shares on Proposal 1. Shares held in street name by banks, brokerage firms or other nominees who indicate on their proxies that they do not have authority to vote the shares on Proposal 1 will not be counted as votes FOR or WITHHELD from any nominee. As a result, such “broker non-votes” will have no effect on the voting on Proposal 1. You may:</w:t>
      </w:r>
    </w:p>
    <w:p>
      <w:pPr>
        <w:spacing w:after="0" w:line="68" w:lineRule="exact"/>
        <w:rPr>
          <w:rFonts w:ascii="Arial" w:cs="Arial" w:eastAsia="Arial" w:hAnsi="Arial"/>
          <w:sz w:val="16"/>
          <w:szCs w:val="16"/>
          <w:color w:val="auto"/>
        </w:rPr>
      </w:pPr>
    </w:p>
    <w:p>
      <w:pPr>
        <w:ind w:left="1320" w:hanging="349"/>
        <w:spacing w:after="0"/>
        <w:tabs>
          <w:tab w:leader="none" w:pos="1320" w:val="left"/>
        </w:tabs>
        <w:numPr>
          <w:ilvl w:val="1"/>
          <w:numId w:val="28"/>
        </w:numPr>
        <w:rPr>
          <w:rFonts w:ascii="MS PGothic" w:cs="MS PGothic" w:eastAsia="MS PGothic" w:hAnsi="MS PGothic"/>
          <w:sz w:val="16"/>
          <w:szCs w:val="16"/>
          <w:color w:val="auto"/>
        </w:rPr>
      </w:pPr>
      <w:r>
        <w:rPr>
          <w:rFonts w:ascii="Arial" w:cs="Arial" w:eastAsia="Arial" w:hAnsi="Arial"/>
          <w:sz w:val="16"/>
          <w:szCs w:val="16"/>
          <w:color w:val="auto"/>
        </w:rPr>
        <w:t>vote FOR all nominees;</w:t>
      </w:r>
    </w:p>
    <w:p>
      <w:pPr>
        <w:spacing w:after="0" w:line="126" w:lineRule="exact"/>
        <w:rPr>
          <w:rFonts w:ascii="MS PGothic" w:cs="MS PGothic" w:eastAsia="MS PGothic" w:hAnsi="MS PGothic"/>
          <w:sz w:val="16"/>
          <w:szCs w:val="16"/>
          <w:color w:val="auto"/>
        </w:rPr>
      </w:pPr>
    </w:p>
    <w:p>
      <w:pPr>
        <w:ind w:left="1320" w:hanging="349"/>
        <w:spacing w:after="0"/>
        <w:tabs>
          <w:tab w:leader="none" w:pos="1320" w:val="left"/>
        </w:tabs>
        <w:numPr>
          <w:ilvl w:val="1"/>
          <w:numId w:val="28"/>
        </w:numPr>
        <w:rPr>
          <w:rFonts w:ascii="MS PGothic" w:cs="MS PGothic" w:eastAsia="MS PGothic" w:hAnsi="MS PGothic"/>
          <w:sz w:val="16"/>
          <w:szCs w:val="16"/>
          <w:color w:val="auto"/>
        </w:rPr>
      </w:pPr>
      <w:r>
        <w:rPr>
          <w:rFonts w:ascii="Arial" w:cs="Arial" w:eastAsia="Arial" w:hAnsi="Arial"/>
          <w:sz w:val="16"/>
          <w:szCs w:val="16"/>
          <w:color w:val="auto"/>
        </w:rPr>
        <w:t>vote FOR one or more nominees and WITHHOLD your vote from the other nominees; or</w:t>
      </w:r>
    </w:p>
    <w:p>
      <w:pPr>
        <w:spacing w:after="0" w:line="126" w:lineRule="exact"/>
        <w:rPr>
          <w:rFonts w:ascii="MS PGothic" w:cs="MS PGothic" w:eastAsia="MS PGothic" w:hAnsi="MS PGothic"/>
          <w:sz w:val="16"/>
          <w:szCs w:val="16"/>
          <w:color w:val="auto"/>
        </w:rPr>
      </w:pPr>
    </w:p>
    <w:p>
      <w:pPr>
        <w:ind w:left="1320" w:hanging="349"/>
        <w:spacing w:after="0"/>
        <w:tabs>
          <w:tab w:leader="none" w:pos="1320" w:val="left"/>
        </w:tabs>
        <w:numPr>
          <w:ilvl w:val="1"/>
          <w:numId w:val="28"/>
        </w:numPr>
        <w:rPr>
          <w:rFonts w:ascii="MS PGothic" w:cs="MS PGothic" w:eastAsia="MS PGothic" w:hAnsi="MS PGothic"/>
          <w:sz w:val="16"/>
          <w:szCs w:val="16"/>
          <w:color w:val="auto"/>
        </w:rPr>
      </w:pPr>
      <w:r>
        <w:rPr>
          <w:rFonts w:ascii="Arial" w:cs="Arial" w:eastAsia="Arial" w:hAnsi="Arial"/>
          <w:sz w:val="16"/>
          <w:szCs w:val="16"/>
          <w:color w:val="auto"/>
        </w:rPr>
        <w:t>WITHHOLD your vote from all nominees.</w:t>
      </w:r>
    </w:p>
    <w:p>
      <w:pPr>
        <w:spacing w:after="0" w:line="127" w:lineRule="exact"/>
        <w:rPr>
          <w:sz w:val="20"/>
          <w:szCs w:val="20"/>
          <w:color w:val="auto"/>
        </w:rPr>
      </w:pPr>
    </w:p>
    <w:p>
      <w:pPr>
        <w:ind w:left="640" w:right="379"/>
        <w:spacing w:after="0" w:line="293" w:lineRule="auto"/>
        <w:rPr>
          <w:sz w:val="20"/>
          <w:szCs w:val="20"/>
          <w:color w:val="auto"/>
        </w:rPr>
      </w:pPr>
      <w:r>
        <w:rPr>
          <w:rFonts w:ascii="Arial" w:cs="Arial" w:eastAsia="Arial" w:hAnsi="Arial"/>
          <w:sz w:val="16"/>
          <w:szCs w:val="16"/>
          <w:color w:val="auto"/>
        </w:rPr>
        <w:t>Votes that are withheld will not be included in the vote tally for the election of directors and will not affect the results of the vote.</w:t>
      </w:r>
    </w:p>
    <w:p>
      <w:pPr>
        <w:spacing w:after="0" w:line="6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Proposal 2—Advisory Vote on the Compensation Paid to Named Executive Officers</w:t>
      </w:r>
    </w:p>
    <w:p>
      <w:pPr>
        <w:spacing w:after="0" w:line="127" w:lineRule="exact"/>
        <w:rPr>
          <w:sz w:val="20"/>
          <w:szCs w:val="20"/>
          <w:color w:val="auto"/>
        </w:rPr>
      </w:pPr>
    </w:p>
    <w:p>
      <w:pPr>
        <w:ind w:left="640" w:right="199"/>
        <w:spacing w:after="0" w:line="289" w:lineRule="auto"/>
        <w:rPr>
          <w:sz w:val="20"/>
          <w:szCs w:val="20"/>
          <w:color w:val="auto"/>
        </w:rPr>
      </w:pPr>
      <w:r>
        <w:rPr>
          <w:rFonts w:ascii="Arial" w:cs="Arial" w:eastAsia="Arial" w:hAnsi="Arial"/>
          <w:sz w:val="15"/>
          <w:szCs w:val="15"/>
          <w:color w:val="auto"/>
        </w:rPr>
        <w:t xml:space="preserve">To approve Proposal 2, holders of a majority of the votes cast on the matter must vote FOR the proposal. </w:t>
      </w:r>
      <w:r>
        <w:rPr>
          <w:rFonts w:ascii="Arial" w:cs="Arial" w:eastAsia="Arial" w:hAnsi="Arial"/>
          <w:sz w:val="15"/>
          <w:szCs w:val="15"/>
          <w:b w:val="1"/>
          <w:bCs w:val="1"/>
          <w:color w:val="auto"/>
        </w:rPr>
        <w:t xml:space="preserve">Proposal 2 is a non-discretionary matter. </w:t>
      </w:r>
      <w:r>
        <w:rPr>
          <w:rFonts w:ascii="Arial" w:cs="Arial" w:eastAsia="Arial" w:hAnsi="Arial"/>
          <w:sz w:val="15"/>
          <w:szCs w:val="15"/>
          <w:color w:val="auto"/>
        </w:rPr>
        <w:t>Therefore, if your shares are held by your brokerage firm in street name and you do not timely provide</w:t>
      </w:r>
      <w:r>
        <w:rPr>
          <w:rFonts w:ascii="Arial" w:cs="Arial" w:eastAsia="Arial" w:hAnsi="Arial"/>
          <w:sz w:val="15"/>
          <w:szCs w:val="15"/>
          <w:b w:val="1"/>
          <w:bCs w:val="1"/>
          <w:color w:val="auto"/>
        </w:rPr>
        <w:t xml:space="preserve"> </w:t>
      </w:r>
      <w:r>
        <w:rPr>
          <w:rFonts w:ascii="Arial" w:cs="Arial" w:eastAsia="Arial" w:hAnsi="Arial"/>
          <w:sz w:val="15"/>
          <w:szCs w:val="15"/>
          <w:color w:val="auto"/>
        </w:rPr>
        <w:t>voting instructions with respect to your shares, your brokerage firm cannot vote your shares on Proposal 2. If you ABSTAIN from voting on Proposal 2, your shares will not be voted FOR or AGAINST the proposal and will also not be counted as votes cast or shares voting on the proposal. As a result, such “broker non-votes” and abstentions will have no effect on the voting on Proposal 2. Proposal 2 is non-binding. Because this vote is advisory and not binding on us or our board in any way, our board may decide that it is in our and our stockholders’ best interests to compensate our named executive officers in an amount or manner that differs from that which is approved by our stockholders.</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Proposal 3—Ratification of the Appointment of Independent Registered Public Accounting Firm</w:t>
      </w:r>
    </w:p>
    <w:p>
      <w:pPr>
        <w:spacing w:after="0" w:line="127" w:lineRule="exact"/>
        <w:rPr>
          <w:sz w:val="20"/>
          <w:szCs w:val="20"/>
          <w:color w:val="auto"/>
        </w:rPr>
      </w:pPr>
    </w:p>
    <w:p>
      <w:pPr>
        <w:ind w:left="640" w:right="199"/>
        <w:spacing w:after="0" w:line="320" w:lineRule="auto"/>
        <w:rPr>
          <w:sz w:val="20"/>
          <w:szCs w:val="20"/>
          <w:color w:val="auto"/>
        </w:rPr>
      </w:pPr>
      <w:r>
        <w:rPr>
          <w:rFonts w:ascii="Arial" w:cs="Arial" w:eastAsia="Arial" w:hAnsi="Arial"/>
          <w:sz w:val="14"/>
          <w:szCs w:val="14"/>
          <w:color w:val="auto"/>
        </w:rPr>
        <w:t xml:space="preserve">To approve Proposal 3, holders of a majority of the votes cast on the matter must vote FOR the proposal. </w:t>
      </w:r>
      <w:r>
        <w:rPr>
          <w:rFonts w:ascii="Arial" w:cs="Arial" w:eastAsia="Arial" w:hAnsi="Arial"/>
          <w:sz w:val="14"/>
          <w:szCs w:val="14"/>
          <w:b w:val="1"/>
          <w:bCs w:val="1"/>
          <w:color w:val="auto"/>
        </w:rPr>
        <w:t>Proposal 3 is</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considered a routine matter. </w:t>
      </w:r>
      <w:r>
        <w:rPr>
          <w:rFonts w:ascii="Arial" w:cs="Arial" w:eastAsia="Arial" w:hAnsi="Arial"/>
          <w:sz w:val="14"/>
          <w:szCs w:val="14"/>
          <w:color w:val="auto"/>
        </w:rPr>
        <w:t>If your shares are held by your brokerage firm in street name and you do not provide voting</w:t>
      </w:r>
      <w:r>
        <w:rPr>
          <w:rFonts w:ascii="Arial" w:cs="Arial" w:eastAsia="Arial" w:hAnsi="Arial"/>
          <w:sz w:val="14"/>
          <w:szCs w:val="14"/>
          <w:b w:val="1"/>
          <w:bCs w:val="1"/>
          <w:color w:val="auto"/>
        </w:rPr>
        <w:t xml:space="preserve"> </w:t>
      </w:r>
      <w:r>
        <w:rPr>
          <w:rFonts w:ascii="Arial" w:cs="Arial" w:eastAsia="Arial" w:hAnsi="Arial"/>
          <w:sz w:val="14"/>
          <w:szCs w:val="14"/>
          <w:color w:val="auto"/>
        </w:rPr>
        <w:t>instructions with respect to your shares, your brokerage firm may vote your unvoted shares on Proposal 3. If you ABSTAIN from voting on Proposal 3, your shares will not be voted FOR or AGAINST the proposal and will also not be counted as votes cast or shares voting on the proposal. As a result, voting to ABSTAIN will have no effect on the outcome of Proposal 3.</w:t>
      </w:r>
    </w:p>
    <w:p>
      <w:pPr>
        <w:spacing w:after="0" w:line="52" w:lineRule="exact"/>
        <w:rPr>
          <w:sz w:val="20"/>
          <w:szCs w:val="20"/>
          <w:color w:val="auto"/>
        </w:rPr>
      </w:pPr>
    </w:p>
    <w:p>
      <w:pPr>
        <w:ind w:left="640" w:right="439"/>
        <w:spacing w:after="0" w:line="271" w:lineRule="auto"/>
        <w:rPr>
          <w:sz w:val="20"/>
          <w:szCs w:val="20"/>
          <w:color w:val="auto"/>
        </w:rPr>
      </w:pPr>
      <w:r>
        <w:rPr>
          <w:rFonts w:ascii="Arial" w:cs="Arial" w:eastAsia="Arial" w:hAnsi="Arial"/>
          <w:sz w:val="16"/>
          <w:szCs w:val="16"/>
          <w:color w:val="auto"/>
        </w:rPr>
        <w:t>Although stockholder approval of our audit committee’s appointment of Ernst &amp; Young LLP as our independent registered public accounting firm for the fiscal year ended December 31, 2019 is not required, we believe that it is advisable to give stockholders an opportunity to ratify this appointment. If this proposal is not approved at the annual meeting, our audit committee will reconsider its appointment of Ernst &amp; Young LLP as our independent registered public accounting firm for the year ended December 31, 2019.</w:t>
      </w:r>
    </w:p>
    <w:p>
      <w:pPr>
        <w:spacing w:after="0" w:line="78" w:lineRule="exact"/>
        <w:rPr>
          <w:sz w:val="20"/>
          <w:szCs w:val="20"/>
          <w:color w:val="auto"/>
        </w:rPr>
      </w:pPr>
    </w:p>
    <w:p>
      <w:pPr>
        <w:ind w:left="640" w:hanging="520"/>
        <w:spacing w:after="0"/>
        <w:tabs>
          <w:tab w:leader="none" w:pos="64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Who will count the vote?</w:t>
      </w:r>
    </w:p>
    <w:p>
      <w:pPr>
        <w:spacing w:after="0" w:line="130" w:lineRule="exact"/>
        <w:rPr>
          <w:rFonts w:ascii="Arial" w:cs="Arial" w:eastAsia="Arial" w:hAnsi="Arial"/>
          <w:sz w:val="16"/>
          <w:szCs w:val="16"/>
          <w:b w:val="1"/>
          <w:bCs w:val="1"/>
          <w:color w:val="auto"/>
        </w:rPr>
      </w:pPr>
    </w:p>
    <w:p>
      <w:pPr>
        <w:ind w:left="640" w:hanging="52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votes will be counted, tabulated and certified by Broadridge Financial Solutions, Inc.</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0" w:right="1440" w:bottom="1440" w:gutter="0" w:footer="0" w:header="0"/>
        </w:sectPr>
      </w:pPr>
    </w:p>
    <w:bookmarkStart w:id="8" w:name="page9"/>
    <w:bookmarkEnd w:id="8"/>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ind w:left="640" w:hanging="520"/>
        <w:spacing w:after="0"/>
        <w:tabs>
          <w:tab w:leader="none" w:pos="64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the board of directors recommend that I vote on the proposals?</w:t>
      </w:r>
    </w:p>
    <w:p>
      <w:pPr>
        <w:spacing w:after="0" w:line="130" w:lineRule="exact"/>
        <w:rPr>
          <w:rFonts w:ascii="Arial" w:cs="Arial" w:eastAsia="Arial" w:hAnsi="Arial"/>
          <w:sz w:val="16"/>
          <w:szCs w:val="16"/>
          <w:b w:val="1"/>
          <w:bCs w:val="1"/>
          <w:color w:val="auto"/>
        </w:rPr>
      </w:pPr>
    </w:p>
    <w:p>
      <w:pPr>
        <w:ind w:left="640" w:hanging="520"/>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board of directors recommends that you vote:</w:t>
      </w:r>
    </w:p>
    <w:p>
      <w:pPr>
        <w:spacing w:after="0" w:line="1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three nominees to serve as Class I directors, each for a three-year term; and</w:t>
      </w:r>
    </w:p>
    <w:p>
      <w:pPr>
        <w:spacing w:after="0" w:line="12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 non-binding, advisory basis, of the compensation of our named executive officers; and</w:t>
      </w:r>
    </w:p>
    <w:p>
      <w:pPr>
        <w:spacing w:after="0" w:line="126" w:lineRule="exact"/>
        <w:rPr>
          <w:rFonts w:ascii="Arial" w:cs="Arial" w:eastAsia="Arial" w:hAnsi="Arial"/>
          <w:sz w:val="16"/>
          <w:szCs w:val="16"/>
          <w:color w:val="auto"/>
        </w:rPr>
      </w:pPr>
    </w:p>
    <w:p>
      <w:pPr>
        <w:ind w:left="640" w:right="339"/>
        <w:spacing w:after="0" w:line="298" w:lineRule="auto"/>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Ernst &amp; Young LLP as our independent registered public accounting firm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ended December 31, 2019.</w:t>
      </w:r>
    </w:p>
    <w:p>
      <w:pPr>
        <w:spacing w:after="0" w:line="56" w:lineRule="exact"/>
        <w:rPr>
          <w:rFonts w:ascii="Arial" w:cs="Arial" w:eastAsia="Arial" w:hAnsi="Arial"/>
          <w:sz w:val="16"/>
          <w:szCs w:val="16"/>
          <w:color w:val="auto"/>
        </w:rPr>
      </w:pPr>
    </w:p>
    <w:p>
      <w:pPr>
        <w:ind w:left="640" w:hanging="520"/>
        <w:spacing w:after="0"/>
        <w:tabs>
          <w:tab w:leader="none" w:pos="64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Are there other matters to be voted on at the annual meeting?</w:t>
      </w:r>
    </w:p>
    <w:p>
      <w:pPr>
        <w:spacing w:after="0" w:line="130" w:lineRule="exact"/>
        <w:rPr>
          <w:rFonts w:ascii="Arial" w:cs="Arial" w:eastAsia="Arial" w:hAnsi="Arial"/>
          <w:sz w:val="16"/>
          <w:szCs w:val="16"/>
          <w:b w:val="1"/>
          <w:bCs w:val="1"/>
          <w:color w:val="auto"/>
        </w:rPr>
      </w:pPr>
    </w:p>
    <w:p>
      <w:pPr>
        <w:ind w:left="640" w:right="259" w:hanging="520"/>
        <w:spacing w:after="0" w:line="324" w:lineRule="auto"/>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do not know of any matters that may come before the annual meeting other than the election of our Class I directors, the approval of the compensation of our named executive officers and the ratification of the appointment of our independent registered public accounting firm. If any other matters are properly presented at the annual meeting, the persons named in the accompanying proxy intend to vote, or otherwise act, in accordance with their judgment on the matter.</w:t>
      </w:r>
    </w:p>
    <w:p>
      <w:pPr>
        <w:spacing w:after="0" w:line="44" w:lineRule="exact"/>
        <w:rPr>
          <w:rFonts w:ascii="Arial" w:cs="Arial" w:eastAsia="Arial" w:hAnsi="Arial"/>
          <w:sz w:val="14"/>
          <w:szCs w:val="14"/>
          <w:color w:val="auto"/>
        </w:rPr>
      </w:pPr>
    </w:p>
    <w:p>
      <w:pPr>
        <w:ind w:left="640" w:hanging="520"/>
        <w:spacing w:after="0"/>
        <w:tabs>
          <w:tab w:leader="none" w:pos="64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Where can I find the voting results?</w:t>
      </w:r>
    </w:p>
    <w:p>
      <w:pPr>
        <w:spacing w:after="0" w:line="130" w:lineRule="exact"/>
        <w:rPr>
          <w:rFonts w:ascii="Arial" w:cs="Arial" w:eastAsia="Arial" w:hAnsi="Arial"/>
          <w:sz w:val="16"/>
          <w:szCs w:val="16"/>
          <w:b w:val="1"/>
          <w:bCs w:val="1"/>
          <w:color w:val="auto"/>
        </w:rPr>
      </w:pPr>
    </w:p>
    <w:p>
      <w:pPr>
        <w:ind w:left="640" w:right="139" w:hanging="520"/>
        <w:spacing w:after="0" w:line="204" w:lineRule="exact"/>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plan to announce preliminary voting results at the annual meeting and will report final voting results in a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with the SEC within four business days following the end of our annual meeting.</w:t>
      </w:r>
    </w:p>
    <w:p>
      <w:pPr>
        <w:spacing w:after="0" w:line="101" w:lineRule="exact"/>
        <w:rPr>
          <w:rFonts w:ascii="Arial" w:cs="Arial" w:eastAsia="Arial" w:hAnsi="Arial"/>
          <w:sz w:val="16"/>
          <w:szCs w:val="16"/>
          <w:color w:val="auto"/>
        </w:rPr>
      </w:pPr>
    </w:p>
    <w:p>
      <w:pPr>
        <w:ind w:left="640" w:hanging="520"/>
        <w:spacing w:after="0"/>
        <w:tabs>
          <w:tab w:leader="none" w:pos="64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costs of soliciting these proxies?</w:t>
      </w:r>
    </w:p>
    <w:p>
      <w:pPr>
        <w:spacing w:after="0" w:line="130" w:lineRule="exact"/>
        <w:rPr>
          <w:rFonts w:ascii="Arial" w:cs="Arial" w:eastAsia="Arial" w:hAnsi="Arial"/>
          <w:sz w:val="16"/>
          <w:szCs w:val="16"/>
          <w:b w:val="1"/>
          <w:bCs w:val="1"/>
          <w:color w:val="auto"/>
        </w:rPr>
      </w:pPr>
    </w:p>
    <w:p>
      <w:pPr>
        <w:ind w:left="640" w:right="199" w:hanging="520"/>
        <w:spacing w:after="0" w:line="273"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will bear the cost of soliciting proxies. In addition to solicitation by mail, our directors, officers and employees may solicit proxies by telephone, e-mail, facsimile and in person without additional compensation. We may reimburse banks or brokerage firms or persons holding stock in their names, or in the names of their nominees, for their expenses in sending proxies and proxy material to beneficial owners.</w:t>
      </w:r>
    </w:p>
    <w:p>
      <w:pPr>
        <w:spacing w:after="0" w:line="77" w:lineRule="exact"/>
        <w:rPr>
          <w:rFonts w:ascii="Arial" w:cs="Arial" w:eastAsia="Arial" w:hAnsi="Arial"/>
          <w:sz w:val="16"/>
          <w:szCs w:val="16"/>
          <w:color w:val="auto"/>
        </w:rPr>
      </w:pPr>
    </w:p>
    <w:p>
      <w:pPr>
        <w:ind w:left="640" w:hanging="520"/>
        <w:spacing w:after="0"/>
        <w:tabs>
          <w:tab w:leader="none" w:pos="64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Whom should I contact if I have any additional questions?</w:t>
      </w:r>
    </w:p>
    <w:p>
      <w:pPr>
        <w:spacing w:after="0" w:line="130" w:lineRule="exact"/>
        <w:rPr>
          <w:rFonts w:ascii="Arial" w:cs="Arial" w:eastAsia="Arial" w:hAnsi="Arial"/>
          <w:sz w:val="16"/>
          <w:szCs w:val="16"/>
          <w:b w:val="1"/>
          <w:bCs w:val="1"/>
          <w:color w:val="auto"/>
        </w:rPr>
      </w:pPr>
    </w:p>
    <w:p>
      <w:pPr>
        <w:ind w:left="640" w:right="119" w:hanging="520"/>
        <w:spacing w:after="0" w:line="204" w:lineRule="exact"/>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you hold your shares directly or have additional questions about the annual meeting, please contact us at Blueprint Medicines Corporation, 45 Sidney Street, Cambridge, Massachusetts 02139, Attn: Investor Relations, telephone: (617) 714</w:t>
      </w:r>
      <w:r>
        <w:rPr>
          <w:rFonts w:ascii="MS PGothic" w:cs="MS PGothic" w:eastAsia="MS PGothic" w:hAnsi="MS PGothic"/>
          <w:sz w:val="16"/>
          <w:szCs w:val="16"/>
          <w:color w:val="auto"/>
        </w:rPr>
        <w:t>‑</w:t>
      </w:r>
      <w:r>
        <w:rPr>
          <w:rFonts w:ascii="Arial" w:cs="Arial" w:eastAsia="Arial" w:hAnsi="Arial"/>
          <w:sz w:val="16"/>
          <w:szCs w:val="16"/>
          <w:color w:val="auto"/>
        </w:rPr>
        <w:t>6674, e-mail: ir@blueprintmedicines.com.</w:t>
      </w:r>
    </w:p>
    <w:p>
      <w:pPr>
        <w:spacing w:after="0" w:line="106" w:lineRule="exact"/>
        <w:rPr>
          <w:rFonts w:ascii="Arial" w:cs="Arial" w:eastAsia="Arial" w:hAnsi="Arial"/>
          <w:sz w:val="16"/>
          <w:szCs w:val="16"/>
          <w:color w:val="auto"/>
        </w:rPr>
      </w:pPr>
    </w:p>
    <w:p>
      <w:pPr>
        <w:ind w:left="640" w:right="399"/>
        <w:spacing w:after="0" w:line="293" w:lineRule="auto"/>
        <w:rPr>
          <w:rFonts w:ascii="Arial" w:cs="Arial" w:eastAsia="Arial" w:hAnsi="Arial"/>
          <w:sz w:val="16"/>
          <w:szCs w:val="16"/>
          <w:color w:val="auto"/>
        </w:rPr>
      </w:pPr>
      <w:r>
        <w:rPr>
          <w:rFonts w:ascii="Arial" w:cs="Arial" w:eastAsia="Arial" w:hAnsi="Arial"/>
          <w:sz w:val="16"/>
          <w:szCs w:val="16"/>
          <w:color w:val="auto"/>
        </w:rPr>
        <w:t>If your shares are held in street name, please call the telephone number provided on your voting instruction form or contact your bank, brokerage firm or other nominee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0" w:right="1440" w:bottom="1440" w:gutter="0" w:footer="0" w:header="0"/>
        </w:sectPr>
      </w:pPr>
    </w:p>
    <w:bookmarkStart w:id="9" w:name="page10"/>
    <w:bookmarkEnd w:id="9"/>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1—ELECTION OF DIRECTORS</w:t>
      </w:r>
    </w:p>
    <w:p>
      <w:pPr>
        <w:spacing w:after="0" w:line="131" w:lineRule="exact"/>
        <w:rPr>
          <w:sz w:val="20"/>
          <w:szCs w:val="20"/>
          <w:color w:val="auto"/>
        </w:rPr>
      </w:pPr>
    </w:p>
    <w:p>
      <w:pPr>
        <w:jc w:val="both"/>
        <w:ind w:right="160" w:firstLine="648"/>
        <w:spacing w:after="0" w:line="297" w:lineRule="auto"/>
        <w:rPr>
          <w:sz w:val="20"/>
          <w:szCs w:val="20"/>
          <w:color w:val="auto"/>
        </w:rPr>
      </w:pPr>
      <w:r>
        <w:rPr>
          <w:rFonts w:ascii="Arial" w:cs="Arial" w:eastAsia="Arial" w:hAnsi="Arial"/>
          <w:sz w:val="15"/>
          <w:szCs w:val="15"/>
          <w:color w:val="auto"/>
        </w:rPr>
        <w:t>Our board of directors is divided into three classes, with one class of our directors standing for election each year. Directors in each class are elected at the annual meeting of stockholders held in the year in which the term for their class expires and hold office for a three-year term and until their resignation or removal or their successors are duly elected and qualified. In accordance with our certificate of incorporation and bylaws, our directors may fill existing vacancies on the board of directors.</w:t>
      </w:r>
    </w:p>
    <w:p>
      <w:pPr>
        <w:spacing w:after="0" w:line="65"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The term of office of our Class I directors, Jeffrey W. Albers, Mark Goldberg, M.D. and Nicholas Lydon, Ph.D., will expire at the 2019 annual meeting of stockholders. The nominees for Class I directors for election at the 2019 annual meeting of stockholders are Mr. Albers and Drs. Goldberg and Lydon. If any of Mr. Albers and Drs. Goldberg and Lydon are elected at the 2019 annual meeting of stockholders, such individual will be elected to serve for a three-year term that will expire at our 2022 annual meeting of stockholders and until such individual’s successor is elected and qualified.</w:t>
      </w:r>
    </w:p>
    <w:p>
      <w:pPr>
        <w:spacing w:after="0" w:line="82" w:lineRule="exact"/>
        <w:rPr>
          <w:sz w:val="20"/>
          <w:szCs w:val="20"/>
          <w:color w:val="auto"/>
        </w:rPr>
      </w:pPr>
    </w:p>
    <w:p>
      <w:pPr>
        <w:ind w:right="120" w:firstLine="648"/>
        <w:spacing w:after="0" w:line="305" w:lineRule="auto"/>
        <w:rPr>
          <w:sz w:val="20"/>
          <w:szCs w:val="20"/>
          <w:color w:val="auto"/>
        </w:rPr>
      </w:pPr>
      <w:r>
        <w:rPr>
          <w:rFonts w:ascii="Arial" w:cs="Arial" w:eastAsia="Arial" w:hAnsi="Arial"/>
          <w:sz w:val="15"/>
          <w:szCs w:val="15"/>
          <w:color w:val="auto"/>
        </w:rPr>
        <w:t>If no contrary indication is made, proxies in the accompanying form will be voted for Mr. Albers and Drs. Goldberg and Lydon or, in the event that any of Mr. Albers and Drs. Goldberg and Lydon is not a candidate or is unable to serve as a director at the time of the election (which is not currently expected), for any nominee who is designated by our board of directors to fill the vacancy.</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Regarding Directors</w:t>
      </w:r>
    </w:p>
    <w:p>
      <w:pPr>
        <w:spacing w:after="0" w:line="131" w:lineRule="exact"/>
        <w:rPr>
          <w:sz w:val="20"/>
          <w:szCs w:val="20"/>
          <w:color w:val="auto"/>
        </w:rPr>
      </w:pPr>
    </w:p>
    <w:p>
      <w:pPr>
        <w:ind w:right="60" w:firstLine="648"/>
        <w:spacing w:after="0" w:line="289" w:lineRule="auto"/>
        <w:rPr>
          <w:sz w:val="20"/>
          <w:szCs w:val="20"/>
          <w:color w:val="auto"/>
        </w:rPr>
      </w:pPr>
      <w:r>
        <w:rPr>
          <w:rFonts w:ascii="Arial" w:cs="Arial" w:eastAsia="Arial" w:hAnsi="Arial"/>
          <w:sz w:val="15"/>
          <w:szCs w:val="15"/>
          <w:color w:val="auto"/>
        </w:rPr>
        <w:t>Set forth below are the names and certain information for each member of our board of directors, including the nominees for election as Class I directors, as of April 15, 2019. The information presented includes each director’s and nominee’s principal occupation and business experience for the past five years, and the names of other public companies of which he or she has served as a director during the past five years. The information presented below regarding the specific experience, qualifications, attributes and skills of each director and nominee led our board of directors to conclude that he or she should serve as a director. In addition, we believe that all of our directors and nominees possess the attributes or characteristics described in “—Director Nomination Process” the nominating and corporate governance committee expects of each director.</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family relationships among any of our directors or executive officers.</w:t>
      </w:r>
    </w:p>
    <w:p>
      <w:pPr>
        <w:spacing w:after="0" w:line="127" w:lineRule="exact"/>
        <w:rPr>
          <w:sz w:val="20"/>
          <w:szCs w:val="20"/>
          <w:color w:val="auto"/>
        </w:rPr>
      </w:pPr>
    </w:p>
    <w:p>
      <w:pPr>
        <w:ind w:right="300" w:firstLine="648"/>
        <w:spacing w:after="0" w:line="369" w:lineRule="auto"/>
        <w:rPr>
          <w:sz w:val="20"/>
          <w:szCs w:val="20"/>
          <w:color w:val="auto"/>
        </w:rPr>
      </w:pPr>
      <w:r>
        <w:rPr>
          <w:rFonts w:ascii="Arial" w:cs="Arial" w:eastAsia="Arial" w:hAnsi="Arial"/>
          <w:sz w:val="14"/>
          <w:szCs w:val="14"/>
          <w:color w:val="auto"/>
        </w:rPr>
        <w:t>Other than Mr. Coats and Drs. Goldberg and Seely, each of our directors was initially elected pursuant to a stockholders agreement that we entered into with the holders of our preferred stock, which terminated upon the closing of our initial public offering.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Age</w:t>
            </w:r>
          </w:p>
        </w:tc>
        <w:tc>
          <w:tcPr>
            <w:tcW w:w="4600" w:type="dxa"/>
            <w:vAlign w:val="bottom"/>
          </w:tcPr>
          <w:p>
            <w:pPr>
              <w:ind w:left="1980"/>
              <w:spacing w:after="0"/>
              <w:rPr>
                <w:sz w:val="20"/>
                <w:szCs w:val="20"/>
                <w:color w:val="auto"/>
              </w:rPr>
            </w:pPr>
            <w:r>
              <w:rPr>
                <w:rFonts w:ascii="Arial" w:cs="Arial" w:eastAsia="Arial" w:hAnsi="Arial"/>
                <w:sz w:val="14"/>
                <w:szCs w:val="14"/>
                <w:b w:val="1"/>
                <w:bCs w:val="1"/>
                <w:color w:val="auto"/>
              </w:rPr>
              <w:t>Position(s)</w:t>
            </w:r>
          </w:p>
        </w:tc>
      </w:tr>
      <w:tr>
        <w:trPr>
          <w:trHeight w:val="196"/>
        </w:trPr>
        <w:tc>
          <w:tcPr>
            <w:tcW w:w="2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tcBorders>
              <w:top w:val="single" w:sz="8" w:color="auto"/>
            </w:tcBorders>
          </w:tcPr>
          <w:p>
            <w:pPr>
              <w:spacing w:after="0"/>
              <w:rPr>
                <w:sz w:val="17"/>
                <w:szCs w:val="17"/>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Class I Directors</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Jeffrey W. Albers</w:t>
            </w:r>
          </w:p>
        </w:tc>
        <w:tc>
          <w:tcPr>
            <w:tcW w:w="1100" w:type="dxa"/>
            <w:vAlign w:val="bottom"/>
          </w:tcPr>
          <w:p>
            <w:pPr>
              <w:jc w:val="center"/>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President and Chief Executive Officer, Director</w:t>
            </w: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Goldberg, M.D. (1)(4)</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64</w:t>
            </w:r>
          </w:p>
        </w:tc>
        <w:tc>
          <w:tcPr>
            <w:tcW w:w="24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r>
        <w:trPr>
          <w:trHeight w:val="203"/>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Nicholas Lydon, Ph.D. (3)(4)</w:t>
            </w:r>
          </w:p>
        </w:tc>
        <w:tc>
          <w:tcPr>
            <w:tcW w:w="1100" w:type="dxa"/>
            <w:vAlign w:val="bottom"/>
          </w:tcPr>
          <w:p>
            <w:pPr>
              <w:jc w:val="center"/>
              <w:spacing w:after="0"/>
              <w:rPr>
                <w:sz w:val="20"/>
                <w:szCs w:val="20"/>
                <w:color w:val="auto"/>
              </w:rPr>
            </w:pPr>
            <w:r>
              <w:rPr>
                <w:rFonts w:ascii="Arial" w:cs="Arial" w:eastAsia="Arial" w:hAnsi="Arial"/>
                <w:sz w:val="16"/>
                <w:szCs w:val="16"/>
                <w:color w:val="auto"/>
              </w:rPr>
              <w:t>62</w:t>
            </w:r>
          </w:p>
        </w:tc>
        <w:tc>
          <w:tcPr>
            <w:tcW w:w="24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Director</w:t>
            </w:r>
          </w:p>
        </w:tc>
      </w:tr>
      <w:tr>
        <w:trPr>
          <w:trHeight w:val="203"/>
        </w:trPr>
        <w:tc>
          <w:tcPr>
            <w:tcW w:w="2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i w:val="1"/>
                <w:iCs w:val="1"/>
                <w:color w:val="auto"/>
              </w:rPr>
              <w:t>Class II Directors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Alexis Borisy (4)</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r>
        <w:trPr>
          <w:trHeight w:val="203"/>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Charles A. Rowland, Jr. (1)(2)</w:t>
            </w:r>
          </w:p>
        </w:tc>
        <w:tc>
          <w:tcPr>
            <w:tcW w:w="1100" w:type="dxa"/>
            <w:vAlign w:val="bottom"/>
          </w:tcPr>
          <w:p>
            <w:pPr>
              <w:jc w:val="center"/>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Director</w:t>
            </w:r>
          </w:p>
        </w:tc>
      </w:tr>
      <w:tr>
        <w:trPr>
          <w:trHeight w:val="20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Lonnel Coats (1)(3)</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r>
        <w:trPr>
          <w:trHeight w:val="203"/>
        </w:trPr>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Class III Director Nominees</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Daniel S. Lynch (2)</w:t>
            </w:r>
          </w:p>
        </w:tc>
        <w:tc>
          <w:tcPr>
            <w:tcW w:w="1100" w:type="dxa"/>
            <w:vAlign w:val="bottom"/>
          </w:tcPr>
          <w:p>
            <w:pPr>
              <w:jc w:val="center"/>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Chairman of the Board, Director</w:t>
            </w:r>
          </w:p>
        </w:tc>
      </w:tr>
      <w:tr>
        <w:trPr>
          <w:trHeight w:val="20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George D. Demetri, M.D. (3)(4)</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r>
        <w:trPr>
          <w:trHeight w:val="206"/>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Lynn Seely, M.D. (2)(4)</w:t>
            </w:r>
          </w:p>
        </w:tc>
        <w:tc>
          <w:tcPr>
            <w:tcW w:w="1100" w:type="dxa"/>
            <w:vAlign w:val="bottom"/>
          </w:tcPr>
          <w:p>
            <w:pPr>
              <w:jc w:val="center"/>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1440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7" w:lineRule="exact"/>
        <w:rPr>
          <w:sz w:val="20"/>
          <w:szCs w:val="20"/>
          <w:color w:val="auto"/>
        </w:rPr>
      </w:pPr>
    </w:p>
    <w:p>
      <w:pPr>
        <w:ind w:left="320" w:hanging="317"/>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320" w:hanging="317"/>
        <w:spacing w:after="0" w:line="221" w:lineRule="auto"/>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320" w:hanging="317"/>
        <w:spacing w:after="0" w:line="221" w:lineRule="auto"/>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ind w:left="320" w:hanging="317"/>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Member of the research and development committee.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I Director Nominees—For a Three-Year Term Expiring at the 2022 Annual Meeting of Stockholders</w:t>
      </w:r>
    </w:p>
    <w:p>
      <w:pPr>
        <w:spacing w:after="0" w:line="127" w:lineRule="exact"/>
        <w:rPr>
          <w:sz w:val="20"/>
          <w:szCs w:val="20"/>
          <w:color w:val="auto"/>
        </w:rPr>
      </w:pPr>
    </w:p>
    <w:p>
      <w:pPr>
        <w:ind w:right="20" w:firstLine="648"/>
        <w:spacing w:after="0" w:line="203" w:lineRule="exact"/>
        <w:rPr>
          <w:sz w:val="20"/>
          <w:szCs w:val="20"/>
          <w:color w:val="auto"/>
        </w:rPr>
      </w:pPr>
      <w:r>
        <w:rPr>
          <w:rFonts w:ascii="Arial" w:cs="Arial" w:eastAsia="Arial" w:hAnsi="Arial"/>
          <w:sz w:val="15"/>
          <w:szCs w:val="15"/>
          <w:b w:val="1"/>
          <w:bCs w:val="1"/>
          <w:i w:val="1"/>
          <w:iCs w:val="1"/>
          <w:color w:val="auto"/>
        </w:rPr>
        <w:t xml:space="preserve">Jeffrey W. Albers </w:t>
      </w:r>
      <w:r>
        <w:rPr>
          <w:rFonts w:ascii="Arial" w:cs="Arial" w:eastAsia="Arial" w:hAnsi="Arial"/>
          <w:sz w:val="15"/>
          <w:szCs w:val="15"/>
          <w:color w:val="auto"/>
        </w:rPr>
        <w:t>has served as our president and chief executive officer and a member of our board of directors since July 2014.</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addition, Mr. Albers currently serves on the board of directors, audit committee and compensation committee of Magenta Therapeutics, Inc. and on the board of directors of the New England Division of the American Cancer Society. Mr. Albers has nearly a decade of experience in leadership roles in the biopharmaceutical industry. Prior to joining us, from January 2012 to April 2014, he was president of Algeta ASA, or Algeta, a Norwegian biopharmaceutical company, where he oversaw the commercial and business functions. At Algeta, Mr. Albers was responsible for the U.S. launch of Radium</w:t>
      </w:r>
      <w:r>
        <w:rPr>
          <w:rFonts w:ascii="MS PGothic" w:cs="MS PGothic" w:eastAsia="MS PGothic" w:hAnsi="MS PGothic"/>
          <w:sz w:val="15"/>
          <w:szCs w:val="15"/>
          <w:color w:val="auto"/>
        </w:rPr>
        <w:t>‑</w:t>
      </w:r>
      <w:r>
        <w:rPr>
          <w:rFonts w:ascii="Arial" w:cs="Arial" w:eastAsia="Arial" w:hAnsi="Arial"/>
          <w:sz w:val="15"/>
          <w:szCs w:val="15"/>
          <w:color w:val="auto"/>
        </w:rPr>
        <w:t>223 in metastatic castrate resistant prostate cancer. Prior to Algeta, from July 2005 to November 2011, Mr. Albers was at Genzyme Corporation, or Genzyme, a biotechnology company that is now a wholly-owned subsidiary of Sanofi S.A., most recently as vice president of the U.S. hematology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10" w:name="page11"/>
    <w:bookmarkEnd w:id="10"/>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oncology business unit. Mr. Albers received a B.S. from Indiana University and an M.B.A. and a J.D. from Georgetown University. We believe that Mr. Albers’ leadership in the life sciences industry qualifies him to serve on our board of directors.</w:t>
      </w:r>
    </w:p>
    <w:p>
      <w:pPr>
        <w:spacing w:after="0" w:line="64" w:lineRule="exact"/>
        <w:rPr>
          <w:sz w:val="20"/>
          <w:szCs w:val="20"/>
          <w:color w:val="auto"/>
        </w:rPr>
      </w:pPr>
    </w:p>
    <w:p>
      <w:pPr>
        <w:ind w:right="20" w:firstLine="648"/>
        <w:spacing w:after="0" w:line="284" w:lineRule="auto"/>
        <w:rPr>
          <w:sz w:val="20"/>
          <w:szCs w:val="20"/>
          <w:color w:val="auto"/>
        </w:rPr>
      </w:pPr>
      <w:r>
        <w:rPr>
          <w:rFonts w:ascii="Arial" w:cs="Arial" w:eastAsia="Arial" w:hAnsi="Arial"/>
          <w:sz w:val="15"/>
          <w:szCs w:val="15"/>
          <w:b w:val="1"/>
          <w:bCs w:val="1"/>
          <w:i w:val="1"/>
          <w:iCs w:val="1"/>
          <w:color w:val="auto"/>
        </w:rPr>
        <w:t xml:space="preserve">Mark Goldberg, M.D. </w:t>
      </w:r>
      <w:r>
        <w:rPr>
          <w:rFonts w:ascii="Arial" w:cs="Arial" w:eastAsia="Arial" w:hAnsi="Arial"/>
          <w:sz w:val="15"/>
          <w:szCs w:val="15"/>
          <w:color w:val="auto"/>
        </w:rPr>
        <w:t>has served as a member of our board of directors since June 2015. Dr. Goldberg has served as a member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board of directors, compensation committee and governance and nomination committee of ImmunoGen, Inc. since November 2011, a member of the board of directors, governance and nomination committee and compensation committee of GlycoMimetics, Inc. since July 2014, a member of the board of directors, audit committee and scientific committee of Idera Pharmaceuticals, Inc. since March 2014 and a member of the board of directors, compensation committee and scientific committee of Audentes Therapeutics, Inc. since December 2017. From April 2015 until December 2017, Dr. Goldberg served as a member of the board of directors of aTyr Pharma, Inc. In addition, Dr. Goldberg served as a member of the board of directors of Synageva Biopharma Corp., or Synageva, from October 2008 until November 2011, when he stepped down to become a member of the executive management team at Synageva. Dr. Goldberg served as a member of the executive management team at Synageva until late 2014, rising to executive vice president, medical and regulatory strategy. In late 2014, Dr. Goldberg stepped down from the executive management team at Synageva and continued to be employed part-time, contributing to medical and regulatory strategy until leaving Synageva in June 2015 upon its acquisition by Alexion Pharmaceuticals, Inc. Prior to joining Synageva, Dr. Goldberg served in various management capacities of increasing responsibility at Genzyme from November 1996 to July 2011, including most recently as senior vice president, clinical development and global therapeutic head, oncology, genetic health, and as chairman of Genzyme’s early product development board. Prior to joining Genzyme, Dr. Goldberg was a full-time staff physician at Brigham and Women’s Hospital and the Dana-Farber Cancer Institute, where he still holds appointments. Dr. Goldberg is a part-time Associate Professor of Medicine at Harvard Medical School. From 2010 until 2017, Dr. Goldberg also served on the board of directors of the New England Division of the American Cancer Society. Since December 2017, Dr. Goldberg has chaired the eastern New England Board of the American Cancer Society, and since January 2019, he has been a member of the national board of directors of the American Cancer Society. Dr. Goldberg received an A.B. in biochemistry and molecular biology from Harvard University and an M.D. from Harvard Medical School. We believe Dr. Goldberg is qualified to serve on our board of directors due to his extensive healthcare and regulatory experience.</w:t>
      </w:r>
    </w:p>
    <w:p>
      <w:pPr>
        <w:spacing w:after="0" w:line="76" w:lineRule="exact"/>
        <w:rPr>
          <w:sz w:val="20"/>
          <w:szCs w:val="20"/>
          <w:color w:val="auto"/>
        </w:rPr>
      </w:pPr>
    </w:p>
    <w:p>
      <w:pPr>
        <w:ind w:right="40" w:firstLine="648"/>
        <w:spacing w:after="0" w:line="285" w:lineRule="auto"/>
        <w:rPr>
          <w:sz w:val="20"/>
          <w:szCs w:val="20"/>
          <w:color w:val="auto"/>
        </w:rPr>
      </w:pPr>
      <w:r>
        <w:rPr>
          <w:rFonts w:ascii="Arial" w:cs="Arial" w:eastAsia="Arial" w:hAnsi="Arial"/>
          <w:sz w:val="15"/>
          <w:szCs w:val="15"/>
          <w:b w:val="1"/>
          <w:bCs w:val="1"/>
          <w:i w:val="1"/>
          <w:iCs w:val="1"/>
          <w:color w:val="auto"/>
        </w:rPr>
        <w:t xml:space="preserve">Nicholas Lydon, Ph.D., FRS </w:t>
      </w:r>
      <w:r>
        <w:rPr>
          <w:rFonts w:ascii="Arial" w:cs="Arial" w:eastAsia="Arial" w:hAnsi="Arial"/>
          <w:sz w:val="15"/>
          <w:szCs w:val="15"/>
          <w:color w:val="auto"/>
        </w:rPr>
        <w:t>is a scientific founder of Blueprint Medicines and has served as a member of our board of directors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April 2011. Dr. Lydon is a co-founder and scientific advisor of AnaptysBio Inc. and has served as a member of its board of directors since 2006. In addition, Dr. Lydon currently serves as the manager of Staurus Biopharma, LLC, a privately held biopharmaceutical company that he co-founded. From 2003 to 2009, Dr. Lydon served as a scientific advisor and member of the board of directors of Ambit Biosciences Corp., a biopharmaceutical company. From 2000 to 2002, Dr. Lydon served as vice president, small molecule drug discovery, at Amgen, Inc., or Amgen. Prior to joining Amgen, in 1997 Dr. Lydon founded Kinetix Pharmaceuticals, Inc., or Kinetix, a biotechnology company focused on the discovery and development of selective protein kinase inhibitors, which was acquired by Amgen in 2000, and served as Kinetix’s chief executive officer and member of its board of directors. Prior to founding Kinetix, Dr. Lydon worked for Ciba-Giegy AG (now Novartis AG) where he was responsible for the tyrosine protein kinase program, including the discovery and preclinical development of imatinib. Dr. Lydon, has been awarded the Lasker-DeBakey Clinical Medical Research Award and the Japan Prize for his role in the development of imatinib. Dr. Lydon received a B.S. in biochemistry and zoology from the University of Leeds, England, and received a Ph.D. in biochemistry from the Medical Sciences Institute, University of Dundee, Scotland. We believe Dr. Lydon’s detailed knowledge of our company and long tenure with us, having served as one of our scientific founders, along with his experience working with and serving on the boards of directors of life sciences companies and his experience as a senior executive with several life sciences companies qualifies him to serve on our board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II Directors—Term Expiring at the 2020 Annual Meeting of Stockholders</w:t>
      </w:r>
    </w:p>
    <w:p>
      <w:pPr>
        <w:spacing w:after="0" w:line="127" w:lineRule="exact"/>
        <w:rPr>
          <w:sz w:val="20"/>
          <w:szCs w:val="20"/>
          <w:color w:val="auto"/>
        </w:rPr>
      </w:pPr>
    </w:p>
    <w:p>
      <w:pPr>
        <w:ind w:firstLine="648"/>
        <w:spacing w:after="0" w:line="303" w:lineRule="auto"/>
        <w:rPr>
          <w:sz w:val="20"/>
          <w:szCs w:val="20"/>
          <w:color w:val="auto"/>
        </w:rPr>
      </w:pPr>
      <w:r>
        <w:rPr>
          <w:rFonts w:ascii="Arial" w:cs="Arial" w:eastAsia="Arial" w:hAnsi="Arial"/>
          <w:sz w:val="14"/>
          <w:szCs w:val="14"/>
          <w:b w:val="1"/>
          <w:bCs w:val="1"/>
          <w:i w:val="1"/>
          <w:iCs w:val="1"/>
          <w:color w:val="auto"/>
        </w:rPr>
        <w:t xml:space="preserve">Alexis Borisy </w:t>
      </w:r>
      <w:r>
        <w:rPr>
          <w:rFonts w:ascii="Arial" w:cs="Arial" w:eastAsia="Arial" w:hAnsi="Arial"/>
          <w:sz w:val="14"/>
          <w:szCs w:val="14"/>
          <w:color w:val="auto"/>
        </w:rPr>
        <w:t>has served as a member of our board of directors since April 2011. Mr. Borisy co-founded Blueprint Medicines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served as our interim chief executive officer from May 2013 through July 2014. Since 2010, Mr. Borisy has been a partner at Third Rock Ventures, or Third Rock, a life sciences venture capital firm focused on the formation, development and strategy of new companies.</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Mr. Borisy currently serves on the board of directors for Magenta Therapeutics, Inc. In addition, Mr. Borisy currently serves on the board of directors of Revolution Medicines, Inc., a privately held biopharmaceutical company, and as executive chairman on the board of directors of the following privately held biopharmaceutical companies: Celsius Therapeutics, Inc., Relay Therapeutics, Inc. and Tango Therapeutics, Inc. From November 2013 to March 2018, Mr. Borisy served as a member of the board of directors of Editas Medicine, Inc. From 2007 to 2012, Mr. Borisy served as chairman of FORMA Therapeutics, Inc., a biopharmaceutical company focused on discovering and developing medicines in cancer and other genetically-driven diseases. Mr. Borisy co-founded Foundation Medicine, Inc., or Foundation Medicine, where he served as its interim chief executive officer from 2009 to 2011 and has served as a member of its board of directors since 2009, including as chairman of Foundation Medicine’s board of directors from 2011 to February 2017. In 2000, Mr. Borisy founded CombinatoRx, Inc. and served as its chief executive officer and on its board of directors from 2000 to 2009. Mr. Borisy received an A.B. in chemistry from the University of Chicago and an A.M. from Harvard University. We believe Mr. Borisy’s detailed knowledge of our company and long tenure with us, having served as one of our founders, along with his experience working with and serving on the boards of directors of life sciences companies and his experience working in the venture capital industry qualifies him to serve on our board of directors.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11" w:name="page12"/>
    <w:bookmarkEnd w:id="11"/>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 xml:space="preserve">Charles A. Rowland, Jr., MBA </w:t>
      </w:r>
      <w:r>
        <w:rPr>
          <w:rFonts w:ascii="Arial" w:cs="Arial" w:eastAsia="Arial" w:hAnsi="Arial"/>
          <w:sz w:val="15"/>
          <w:szCs w:val="15"/>
          <w:color w:val="auto"/>
        </w:rPr>
        <w:t>has served as a member of our board of directors since March 2015. From April 2016 to</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February 2017, Mr. Rowland served as president and chief executive officer of Aurinia Pharmaceuticals Inc., or Aurinia, and as a member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of the board of directors of Aurinia from July 2014 to February 2017. Mr. Rowland previously served as vice president and chief financial</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officer of ViroPharma Incorporated, or ViroPharma, an international biopharmaceutical company, from October 2008 until it was acquired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by Shire plc in January 2014. Prior to joining ViroPharma, from 2006 to 2008, Mr. Rowland served as executive vice president and chief</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financial officer, as well as the interim co-chief executive officer, for Endo Pharmaceuticals Inc., a specialty pharmaceutical company with</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 primary focus in pain management. Mr. Rowland previously held positions of increasing responsibility at the following</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biopharmaceutical companies: Biovail Pharmaceuticals, Inc., Breakaway Technologies, Inc., Pharmacia Corporation, Novartis AG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Bristol-Myers Squibb Co. Mr. Rowland has served as a member of the board of directors and chairman of the audit committee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of Orchard Therapeutics plc since June 2018, as a member of the board of directors, chairman of the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compensation committee and member of the audit committee of Viking Therapeutics, Inc. since July 2017 and as a member of the board of</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directors and chairman of the audit committee and compensation committee of Nabriva Therapeutics, AG, a biotechnology company based</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in Dublin, Ireland, since January 2015. In addition, Mr. Rowland currently serves on the board of directors and as chairman of the audit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committee of Generation Bio, a privately held biopharmaceutical company. Mr. Rowland served as a member of the board of directors and</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audit committee of Idenix Pharmaceuticals, Inc., a biopharmaceutical company, from June 2013 it was acquired by Merck &amp; Co., Inc. 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August 2014. Mr. Rowland served as a member of the board of directors and chairman of the audit committee of Vitae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Pharmaceuticals, Inc. from September 2014 until it was acquired by Allergan in September 2016. Mr. Rowland served as a member of the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board of directors and chairman of the audit committee of BIND Therapeutics, Inc., or BIND, from May 2014 to July 2016. Mr. Rowland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received a B.S. in Accounting from Saint Joseph’s University and an M.B.A. with a finance concentration from Rutgers University. We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believe that Mr. Rowland’s extensive professional experience as a chief financial executive in the biotechnology and pharmaceutical</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industries and his experience serving as a director of various publicly traded biotechnology companies qualifies him to serve as a member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of our board of directors.</w:t>
      </w:r>
    </w:p>
    <w:p>
      <w:pPr>
        <w:spacing w:after="0" w:line="123" w:lineRule="exact"/>
        <w:rPr>
          <w:sz w:val="20"/>
          <w:szCs w:val="20"/>
          <w:color w:val="auto"/>
        </w:rPr>
      </w:pPr>
    </w:p>
    <w:p>
      <w:pPr>
        <w:ind w:right="220" w:firstLine="648"/>
        <w:spacing w:after="0" w:line="303" w:lineRule="auto"/>
        <w:rPr>
          <w:sz w:val="20"/>
          <w:szCs w:val="20"/>
          <w:color w:val="auto"/>
        </w:rPr>
      </w:pPr>
      <w:r>
        <w:rPr>
          <w:rFonts w:ascii="Arial" w:cs="Arial" w:eastAsia="Arial" w:hAnsi="Arial"/>
          <w:sz w:val="14"/>
          <w:szCs w:val="14"/>
          <w:b w:val="1"/>
          <w:bCs w:val="1"/>
          <w:i w:val="1"/>
          <w:iCs w:val="1"/>
          <w:color w:val="auto"/>
        </w:rPr>
        <w:t xml:space="preserve">Lonnel Coats </w:t>
      </w:r>
      <w:r>
        <w:rPr>
          <w:rFonts w:ascii="Arial" w:cs="Arial" w:eastAsia="Arial" w:hAnsi="Arial"/>
          <w:sz w:val="14"/>
          <w:szCs w:val="14"/>
          <w:color w:val="auto"/>
        </w:rPr>
        <w:t>has served as a member of our board of directors since February 2016. Since July 2014, Mr. Coats has served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president and chief executive officer and a member of the board of directors of Lexicon Pharmaceuticals, Inc., or Lexicon, a biopharmaceutical company focused on the development of breakthrough therapies for the treatment of type 1 and type 2 diabetes and carcinoid syndrome. Prior to joining Lexicon, from 1996 through June 2014, Mr. Coats served in a series of leadership positions at</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Eisai Inc. and Eisai Corporation of North America, U.S. subsidiaries of Tokyo-based Eisai Co., Ltd., including as chief executive officer of Eisai Inc. from 2010 to June 2014 and as president and chief operating officer of Eisai Inc. from 2004 to 2010. Mr. Coats also previously held a variety of sales and management positions at Janssen Pharmaceuticals, Inc., a division of Johnson &amp; Johnson, from 1988 to 1996. Mr. Coats received a B.S. from Oakland University. We believe that Mr. Coats’ extensive professional experience in the biotechnology industry, including developing and commercializing pharmaceutical products and managing pharmaceutical marketing and sales efforts, qualifies him to serve as a member of our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III Directors — Term Expiring at the 2021 Annual Meeting of Stockholders</w:t>
      </w:r>
    </w:p>
    <w:p>
      <w:pPr>
        <w:spacing w:after="0" w:line="127" w:lineRule="exact"/>
        <w:rPr>
          <w:sz w:val="20"/>
          <w:szCs w:val="20"/>
          <w:color w:val="auto"/>
        </w:rPr>
      </w:pPr>
    </w:p>
    <w:p>
      <w:pPr>
        <w:ind w:firstLine="648"/>
        <w:spacing w:after="0" w:line="302" w:lineRule="auto"/>
        <w:rPr>
          <w:sz w:val="20"/>
          <w:szCs w:val="20"/>
          <w:color w:val="auto"/>
        </w:rPr>
      </w:pPr>
      <w:r>
        <w:rPr>
          <w:rFonts w:ascii="Arial" w:cs="Arial" w:eastAsia="Arial" w:hAnsi="Arial"/>
          <w:sz w:val="14"/>
          <w:szCs w:val="14"/>
          <w:b w:val="1"/>
          <w:bCs w:val="1"/>
          <w:i w:val="1"/>
          <w:iCs w:val="1"/>
          <w:color w:val="auto"/>
        </w:rPr>
        <w:t xml:space="preserve">Daniel S. Lynch </w:t>
      </w:r>
      <w:r>
        <w:rPr>
          <w:rFonts w:ascii="Arial" w:cs="Arial" w:eastAsia="Arial" w:hAnsi="Arial"/>
          <w:sz w:val="14"/>
          <w:szCs w:val="14"/>
          <w:color w:val="auto"/>
        </w:rPr>
        <w:t>has served as chairman of our board of directors since September 2012. Mr. Lynch served as a venture partner 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Third Rock from May 2013 to December 2016 and served as an entrepreneur-in-residence at Third Rock from May 2011 to May 2013 and interim chief executive officer of Surface Oncology, Inc., or Surface Oncology, from September 2017 to January 2018. Mr. Lynch has served as chairman of the board of directors and chairman of the compensation committee of Surface Oncology since December 2016, chairman of the board of directors of Sesen Bio (formerly Eleven Biotherapeutics, Inc.) since December 2013, a member of the board of directors of Translate Bio, Inc. since June 2012 (including as chairman of the board of directors since March 2015) and as chairman of the board of directors of bluebird bio, Inc. since May 2011. Mr. Lynch served as a member of the board of directors of BIND from</w:t>
      </w:r>
    </w:p>
    <w:p>
      <w:pPr>
        <w:spacing w:after="0" w:line="4"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October 2012 to July 2016. In addition, Mr. Lynch currently serves on the board of directors of SpringWorks Therapeutics, LLC, a privately held biopharmaceutical company. From April 2001 to November 2005, Mr. Lynch served as the chief financial officer and then the chief executive officer of ImClone Systems Inc. Mr. Lynch received a B.A. in mathematics from Wesleyan University and an M.B.A. from the Darden Graduate School of Business Administration at the University of Virginia. We believe that Mr. Lynch’s experience as a senior executive and service on the boards of directors of other life sciences companies qualifies him to serve as a member of our board of directors.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 xml:space="preserve">George D. Demetri, M.D., FASCO </w:t>
      </w:r>
      <w:r>
        <w:rPr>
          <w:rFonts w:ascii="Arial" w:cs="Arial" w:eastAsia="Arial" w:hAnsi="Arial"/>
          <w:sz w:val="16"/>
          <w:szCs w:val="16"/>
          <w:color w:val="auto"/>
        </w:rPr>
        <w:t>has served as a member of our board of directors since December 2014. Since 1989,</w:t>
      </w:r>
    </w:p>
    <w:p>
      <w:pPr>
        <w:spacing w:after="0" w:line="22" w:lineRule="exact"/>
        <w:rPr>
          <w:sz w:val="20"/>
          <w:szCs w:val="20"/>
          <w:color w:val="auto"/>
        </w:rPr>
      </w:pPr>
    </w:p>
    <w:p>
      <w:pPr>
        <w:ind w:right="120"/>
        <w:spacing w:after="0" w:line="281" w:lineRule="auto"/>
        <w:rPr>
          <w:sz w:val="20"/>
          <w:szCs w:val="20"/>
          <w:color w:val="auto"/>
        </w:rPr>
      </w:pPr>
      <w:r>
        <w:rPr>
          <w:rFonts w:ascii="Arial" w:cs="Arial" w:eastAsia="Arial" w:hAnsi="Arial"/>
          <w:sz w:val="15"/>
          <w:szCs w:val="15"/>
          <w:color w:val="auto"/>
        </w:rPr>
        <w:t>Dr. Demetri has served on the faculty of the Dana-Farber Cancer Institute, or DFCI, and Harvard Medical School, where he is a Professor of Medicine and serves as a co-Director of the Ludwig Center at Harvard. At DFCI, Dr. Demetri is the Senior Vice President for Experimental Therapeutics, as well as an Associate Director for Clinical Sciences at the NCI-designated Dana-Farber/Harvard Comprehensive Cancer Center Consortium. Dr. Demetri’s research and clinical interests have centered on mechanism-based drug development for solid tumors, with an emphasis on molecularly-defined subsets of sarcomas such as gastrointestinal stromal tumors.</w:t>
      </w:r>
    </w:p>
    <w:p>
      <w:pPr>
        <w:spacing w:after="0" w:line="3"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Dr. Demetri has contributed to the development of several new drugs for sarcomas and other malignancies, including imatinib, sunitinib, dasatinib, trabectedin, everolimus, pazopanib and regorafenib. He was also a member of the scientific advisory board for Plexxikon Inc. and helped to develop the mutant BRAF inhibitor, vemurafenib. In addition, Dr. Demetri has served as a member of the board of directors and organization and compensation committee of Merrimack Pharmaceuticals, Inc. since December 2017. Dr. Demetri serves as chair of the Science Policy and Government Affairs Committee for the American Association for Cancer Research as well as several other scientific and editorial advisory boards. Dr. Demetri received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12" w:name="page13"/>
    <w:bookmarkEnd w:id="12"/>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right="59"/>
        <w:spacing w:after="0" w:line="278" w:lineRule="auto"/>
        <w:rPr>
          <w:sz w:val="20"/>
          <w:szCs w:val="20"/>
          <w:color w:val="auto"/>
        </w:rPr>
      </w:pPr>
      <w:r>
        <w:rPr>
          <w:rFonts w:ascii="Arial" w:cs="Arial" w:eastAsia="Arial" w:hAnsi="Arial"/>
          <w:sz w:val="16"/>
          <w:szCs w:val="16"/>
          <w:color w:val="auto"/>
        </w:rPr>
        <w:t>an A.B. in biochemistry from Harvard College and an M.D. from Stanford University School of Medicine. We believe that Dr. Demetri’s more than 25 years of experience as an oncologist and his significant leadership experience on various national and international scientific and company advisory boards qualifies him to serve as a member of our board of directors.</w:t>
      </w:r>
    </w:p>
    <w:p>
      <w:pPr>
        <w:spacing w:after="0" w:line="76" w:lineRule="exact"/>
        <w:rPr>
          <w:sz w:val="20"/>
          <w:szCs w:val="20"/>
          <w:color w:val="auto"/>
        </w:rPr>
      </w:pPr>
    </w:p>
    <w:p>
      <w:pPr>
        <w:ind w:right="39" w:firstLine="648"/>
        <w:spacing w:after="0" w:line="284" w:lineRule="auto"/>
        <w:rPr>
          <w:sz w:val="20"/>
          <w:szCs w:val="20"/>
          <w:color w:val="auto"/>
        </w:rPr>
      </w:pPr>
      <w:r>
        <w:rPr>
          <w:rFonts w:ascii="Arial" w:cs="Arial" w:eastAsia="Arial" w:hAnsi="Arial"/>
          <w:sz w:val="15"/>
          <w:szCs w:val="15"/>
          <w:b w:val="1"/>
          <w:bCs w:val="1"/>
          <w:i w:val="1"/>
          <w:iCs w:val="1"/>
          <w:color w:val="auto"/>
        </w:rPr>
        <w:t xml:space="preserve">Lynn Seely, M.D. </w:t>
      </w:r>
      <w:r>
        <w:rPr>
          <w:rFonts w:ascii="Arial" w:cs="Arial" w:eastAsia="Arial" w:hAnsi="Arial"/>
          <w:sz w:val="15"/>
          <w:szCs w:val="15"/>
          <w:color w:val="auto"/>
        </w:rPr>
        <w:t>has served as a member of our board of directors since April 2016. Since June 2016, Dr. Seely has served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and chief executive officer and a member of the board of directors of Myovant Sciences, Inc., or Myovant, a biopharmaceutical company focused on developing and commercializing innovative therapies for women’s health diseases and other endocrine-related disorders. Prior to joining Myovant, Dr. Seely served as the chief medical officer of Medivation, Inc., or Medivation, from March 2005 until her retirement in October 2015, including as senior vice president and chief medical officer from January 2009 to October 2015. In this role, Dr. Seely led the development of XTANDI (enzalutamide) from the first-in-human clinical trial through global approvals, and actively participated in multiple drug development collaborations, including collaborations with Pfizer Inc. and Astellas Pharma US, Inc. for Phase 3 drug candidates, as well as the acquisition of talazoparib from BioMarin Pharmaceutical Inc. Prior to joining Medivation, from September 2002 to March 2005, Dr. Seely served as vice president of clinical development at Anesiva, Inc., formerly Corgentech Inc., where she participated in a collaboration with Bristol-Myers Squibb for a Phase 3 drug candidate. Dr. Seely previously served as vice president of clinical development for Cytyc Health Corporation, a subsidiary of Cytyc Corporation, from 2001 to 2002, and from 2000 to 2001, Dr. Seely served as vice president of clinical development at ProDuct Health, Inc., a privately held medical device company prior to its acquisition by Cytyc Corporation. Dr. Seely began her career as an associate director of clinical development at Chiron Corporation. Dr. Seely received a B.A. in journalism from the University of Oklahoma and an M.D. from the University of Oklahoma College of Medicine. She completed her residency and served as chief resident in internal medicine at Yale-New Haven Hospital, and she completed her fellowship in endocrinology and metabolism at the University of California, San Diego. We believe Dr. Seely is qualified to serve on our board of directors due to her extensive healthcare and life sciences experience.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of the Board of Directors</w:t>
      </w:r>
    </w:p>
    <w:p>
      <w:pPr>
        <w:spacing w:after="0" w:line="127" w:lineRule="exact"/>
        <w:rPr>
          <w:sz w:val="20"/>
          <w:szCs w:val="20"/>
          <w:color w:val="auto"/>
        </w:rPr>
      </w:pPr>
    </w:p>
    <w:p>
      <w:pPr>
        <w:ind w:right="179" w:firstLine="648"/>
        <w:spacing w:after="0" w:line="298" w:lineRule="auto"/>
        <w:rPr>
          <w:sz w:val="20"/>
          <w:szCs w:val="20"/>
          <w:color w:val="auto"/>
        </w:rPr>
      </w:pPr>
      <w:r>
        <w:rPr>
          <w:rFonts w:ascii="Arial" w:cs="Arial" w:eastAsia="Arial" w:hAnsi="Arial"/>
          <w:sz w:val="16"/>
          <w:szCs w:val="16"/>
          <w:b w:val="1"/>
          <w:bCs w:val="1"/>
          <w:color w:val="auto"/>
        </w:rPr>
        <w:t>OUR BOARD OF DIRECTORS RECOMMENDS THAT STOCKHOLDERS VOTE “</w:t>
      </w:r>
      <w:r>
        <w:rPr>
          <w:rFonts w:ascii="Arial" w:cs="Arial" w:eastAsia="Arial" w:hAnsi="Arial"/>
          <w:sz w:val="16"/>
          <w:szCs w:val="16"/>
          <w:b w:val="1"/>
          <w:bCs w:val="1"/>
          <w:i w:val="1"/>
          <w:iCs w:val="1"/>
          <w:u w:val="single" w:color="auto"/>
          <w:color w:val="auto"/>
        </w:rPr>
        <w:t>FOR</w:t>
      </w:r>
      <w:r>
        <w:rPr>
          <w:rFonts w:ascii="Arial" w:cs="Arial" w:eastAsia="Arial" w:hAnsi="Arial"/>
          <w:sz w:val="16"/>
          <w:szCs w:val="16"/>
          <w:b w:val="1"/>
          <w:bCs w:val="1"/>
          <w:color w:val="auto"/>
        </w:rPr>
        <w:t>” THE ELECTION OF JEFFREY W. ALBERS, MARK GOLDBERG, M.D. AND NICHOLAS LYDON, PH.D. TO SERVE AS CLASS I DIRECTORS.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0" w:right="1440" w:bottom="1440" w:gutter="0" w:footer="0" w:header="0"/>
        </w:sectPr>
      </w:pPr>
    </w:p>
    <w:bookmarkStart w:id="13" w:name="page14"/>
    <w:bookmarkEnd w:id="13"/>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CORPORATE GOVERNANCE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31" w:lineRule="exact"/>
        <w:rPr>
          <w:sz w:val="20"/>
          <w:szCs w:val="20"/>
          <w:color w:val="auto"/>
        </w:rPr>
      </w:pPr>
    </w:p>
    <w:p>
      <w:pPr>
        <w:ind w:right="40" w:firstLine="648"/>
        <w:spacing w:after="0" w:line="203" w:lineRule="exact"/>
        <w:rPr>
          <w:sz w:val="20"/>
          <w:szCs w:val="20"/>
          <w:color w:val="auto"/>
        </w:rPr>
      </w:pPr>
      <w:r>
        <w:rPr>
          <w:rFonts w:ascii="Arial" w:cs="Arial" w:eastAsia="Arial" w:hAnsi="Arial"/>
          <w:sz w:val="15"/>
          <w:szCs w:val="15"/>
          <w:color w:val="auto"/>
        </w:rPr>
        <w:t xml:space="preserve">Our board of directors believes that good corporate governance is important to ensure that our company is managed for the long-term benefit of stockholders. This section describes key corporate governance guidelines and practices that our board of directors has adopted. Complete copies of our corporate governance guidelines, committee charters and code of conduct are available on the “Investors &amp; Media — Corporate Governance” section of our website, which is located at </w:t>
      </w:r>
      <w:r>
        <w:rPr>
          <w:rFonts w:ascii="Arial" w:cs="Arial" w:eastAsia="Arial" w:hAnsi="Arial"/>
          <w:sz w:val="15"/>
          <w:szCs w:val="15"/>
          <w:i w:val="1"/>
          <w:iCs w:val="1"/>
          <w:color w:val="auto"/>
        </w:rPr>
        <w:t>http://ir.blueprintmedicines.com</w:t>
      </w:r>
      <w:r>
        <w:rPr>
          <w:rFonts w:ascii="Arial" w:cs="Arial" w:eastAsia="Arial" w:hAnsi="Arial"/>
          <w:sz w:val="15"/>
          <w:szCs w:val="15"/>
          <w:color w:val="auto"/>
        </w:rPr>
        <w:t>. Alternatively, you can request a copy of any of these documents by contacting us at Blueprint Medicines Corporation, 45 Sidney Street, Cambridge, Massachusetts 02139, Attn: Investor Relations, telephone: (617) 714</w:t>
      </w:r>
      <w:r>
        <w:rPr>
          <w:rFonts w:ascii="MS PGothic" w:cs="MS PGothic" w:eastAsia="MS PGothic" w:hAnsi="MS PGothic"/>
          <w:sz w:val="15"/>
          <w:szCs w:val="15"/>
          <w:color w:val="auto"/>
        </w:rPr>
        <w:t>‑</w:t>
      </w:r>
      <w:r>
        <w:rPr>
          <w:rFonts w:ascii="Arial" w:cs="Arial" w:eastAsia="Arial" w:hAnsi="Arial"/>
          <w:sz w:val="15"/>
          <w:szCs w:val="15"/>
          <w:color w:val="auto"/>
        </w:rPr>
        <w:t>6674, e-mail: ir@blueprintmedicines.com.</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 and Corporate Governance Guidelines</w:t>
      </w:r>
    </w:p>
    <w:p>
      <w:pPr>
        <w:spacing w:after="0" w:line="131" w:lineRule="exact"/>
        <w:rPr>
          <w:sz w:val="20"/>
          <w:szCs w:val="20"/>
          <w:color w:val="auto"/>
        </w:rPr>
      </w:pPr>
    </w:p>
    <w:p>
      <w:pPr>
        <w:ind w:right="420" w:firstLine="648"/>
        <w:spacing w:after="0" w:line="204" w:lineRule="exact"/>
        <w:rPr>
          <w:sz w:val="20"/>
          <w:szCs w:val="20"/>
          <w:color w:val="auto"/>
        </w:rPr>
      </w:pPr>
      <w:r>
        <w:rPr>
          <w:rFonts w:ascii="Arial" w:cs="Arial" w:eastAsia="Arial" w:hAnsi="Arial"/>
          <w:sz w:val="16"/>
          <w:szCs w:val="16"/>
          <w:color w:val="auto"/>
        </w:rPr>
        <w:t xml:space="preserve">Our board of directors has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of business conduct and ethics is available on the “Investors &amp; Media — Corporate Governance” section of our website, which is located at </w:t>
      </w:r>
      <w:r>
        <w:rPr>
          <w:rFonts w:ascii="Arial" w:cs="Arial" w:eastAsia="Arial" w:hAnsi="Arial"/>
          <w:sz w:val="16"/>
          <w:szCs w:val="16"/>
          <w:i w:val="1"/>
          <w:iCs w:val="1"/>
          <w:color w:val="auto"/>
        </w:rPr>
        <w:t>http://ir.blueprintmedicines.com</w:t>
      </w:r>
      <w:r>
        <w:rPr>
          <w:rFonts w:ascii="Arial" w:cs="Arial" w:eastAsia="Arial" w:hAnsi="Arial"/>
          <w:sz w:val="16"/>
          <w:szCs w:val="16"/>
          <w:color w:val="auto"/>
        </w:rPr>
        <w:t>. We intend to disclose on our website any amendments to, or waivers from, the code of business conduct and ethics that are required to be disclosed pursuant to the disclosure requirements of Item 5.05 of Form 8</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05" w:lineRule="exact"/>
        <w:rPr>
          <w:sz w:val="20"/>
          <w:szCs w:val="20"/>
          <w:color w:val="auto"/>
        </w:rPr>
      </w:pPr>
    </w:p>
    <w:p>
      <w:pPr>
        <w:ind w:right="60" w:firstLine="648"/>
        <w:spacing w:after="0" w:line="335" w:lineRule="auto"/>
        <w:rPr>
          <w:sz w:val="20"/>
          <w:szCs w:val="20"/>
          <w:color w:val="auto"/>
        </w:rPr>
      </w:pPr>
      <w:r>
        <w:rPr>
          <w:rFonts w:ascii="Arial" w:cs="Arial" w:eastAsia="Arial" w:hAnsi="Arial"/>
          <w:sz w:val="14"/>
          <w:szCs w:val="14"/>
          <w:color w:val="auto"/>
        </w:rPr>
        <w:t xml:space="preserve">Our board of directors has also adopted corporate governance guidelines to assist in the exercise of its duties and responsibilities and to serve the best interests of our company and our stockholders. A copy of the corporate governance guidelines is available on the “Investors &amp; Media — Corporate Governance” section of our website, which is located at </w:t>
      </w:r>
      <w:r>
        <w:rPr>
          <w:rFonts w:ascii="Arial" w:cs="Arial" w:eastAsia="Arial" w:hAnsi="Arial"/>
          <w:sz w:val="14"/>
          <w:szCs w:val="14"/>
          <w:i w:val="1"/>
          <w:iCs w:val="1"/>
          <w:color w:val="auto"/>
        </w:rPr>
        <w:t>http://ir.blueprintmedicines.com</w:t>
      </w:r>
      <w:r>
        <w:rPr>
          <w:rFonts w:ascii="Arial" w:cs="Arial" w:eastAsia="Arial" w:hAnsi="Arial"/>
          <w:sz w:val="14"/>
          <w:szCs w:val="14"/>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 and Risk Oversight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Leadership Structure</w:t>
      </w:r>
    </w:p>
    <w:p>
      <w:pPr>
        <w:spacing w:after="0" w:line="127" w:lineRule="exact"/>
        <w:rPr>
          <w:sz w:val="20"/>
          <w:szCs w:val="20"/>
          <w:color w:val="auto"/>
        </w:rPr>
      </w:pPr>
    </w:p>
    <w:p>
      <w:pPr>
        <w:ind w:firstLine="648"/>
        <w:spacing w:after="0" w:line="307" w:lineRule="auto"/>
        <w:rPr>
          <w:sz w:val="20"/>
          <w:szCs w:val="20"/>
          <w:color w:val="auto"/>
        </w:rPr>
      </w:pPr>
      <w:r>
        <w:rPr>
          <w:rFonts w:ascii="Arial" w:cs="Arial" w:eastAsia="Arial" w:hAnsi="Arial"/>
          <w:sz w:val="14"/>
          <w:szCs w:val="14"/>
          <w:color w:val="auto"/>
        </w:rPr>
        <w:t>As a general policy, our board of directors believes that separation of the positions of chairman and chief executive officer reinforces the independence of the board of directors from management, creates an environment that encourages objective oversight of management’s performance and enhances the effectiveness of the board of directors as a whole. Accordingly, we currently separate the roles of chief executive officer and chairman of the board of directors, with Mr. Albers serving as our president and chief executive officer and Mr. Lynch serving as chairman of the board of directors. As president and chief executive officer, Mr. Albers is responsible for setting the strategic direction for our company and the day-to-day leadership and performance of our company, while Mr. Lynch, as chairman of the board of directors, presides over meetings of the board of directors, including executive sessions of the board of directors, and performs oversight responsibilities. The board of directors has not appointed a lead independent director. Our board of directors has four standing committees that currently consist of, and are chaired by, independent directors. Our board of directors delegates substantial responsibilities to the committees, which then report their activities and actions back to the full board of directors. We believe that the independent committees of our board of directors and their chairpersons promote effective independent governance. We believe this structure represents an appropriate allocation of roles and responsibilities for our company at this time because it strikes an effective balance between management and independent leadership participation in our board of directors proceedings.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Oversight</w:t>
      </w:r>
    </w:p>
    <w:p>
      <w:pPr>
        <w:spacing w:after="0" w:line="127" w:lineRule="exact"/>
        <w:rPr>
          <w:sz w:val="20"/>
          <w:szCs w:val="20"/>
          <w:color w:val="auto"/>
        </w:rPr>
      </w:pPr>
    </w:p>
    <w:p>
      <w:pPr>
        <w:ind w:right="60" w:firstLine="648"/>
        <w:spacing w:after="0" w:line="293" w:lineRule="auto"/>
        <w:rPr>
          <w:sz w:val="20"/>
          <w:szCs w:val="20"/>
          <w:color w:val="auto"/>
        </w:rPr>
      </w:pPr>
      <w:r>
        <w:rPr>
          <w:rFonts w:ascii="Arial" w:cs="Arial" w:eastAsia="Arial" w:hAnsi="Arial"/>
          <w:sz w:val="15"/>
          <w:szCs w:val="15"/>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68" w:lineRule="exact"/>
        <w:rPr>
          <w:sz w:val="20"/>
          <w:szCs w:val="20"/>
          <w:color w:val="auto"/>
        </w:rPr>
      </w:pPr>
    </w:p>
    <w:p>
      <w:pPr>
        <w:ind w:right="80" w:firstLine="648"/>
        <w:spacing w:after="0" w:line="313" w:lineRule="auto"/>
        <w:rPr>
          <w:sz w:val="20"/>
          <w:szCs w:val="20"/>
          <w:color w:val="auto"/>
        </w:rPr>
      </w:pPr>
      <w:r>
        <w:rPr>
          <w:rFonts w:ascii="Arial" w:cs="Arial" w:eastAsia="Arial" w:hAnsi="Arial"/>
          <w:sz w:val="14"/>
          <w:szCs w:val="14"/>
          <w:color w:val="auto"/>
        </w:rPr>
        <w:t>Each committee of our board of directors also oversees the management of our company’s risk that falls within the committee’s areas of responsibility. In performing this function, each committee has full access to management, as well as the ability to engage advisors. Our chief executive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Determination of Independence</w:t>
      </w:r>
    </w:p>
    <w:p>
      <w:pPr>
        <w:spacing w:after="0" w:line="131" w:lineRule="exact"/>
        <w:rPr>
          <w:sz w:val="20"/>
          <w:szCs w:val="20"/>
          <w:color w:val="auto"/>
        </w:rPr>
      </w:pPr>
    </w:p>
    <w:p>
      <w:pPr>
        <w:ind w:right="240" w:firstLine="648"/>
        <w:spacing w:after="0" w:line="335" w:lineRule="auto"/>
        <w:rPr>
          <w:sz w:val="20"/>
          <w:szCs w:val="20"/>
          <w:color w:val="auto"/>
        </w:rPr>
      </w:pPr>
      <w:r>
        <w:rPr>
          <w:rFonts w:ascii="Arial" w:cs="Arial" w:eastAsia="Arial" w:hAnsi="Arial"/>
          <w:sz w:val="14"/>
          <w:szCs w:val="14"/>
          <w:color w:val="auto"/>
        </w:rPr>
        <w:t>Rule 5605 of the Nasdaq Listing Rules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under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30" w:right="1439" w:bottom="1440" w:gutter="0" w:footer="0" w:header="0"/>
        </w:sectPr>
      </w:pPr>
    </w:p>
    <w:bookmarkStart w:id="14" w:name="page15"/>
    <w:bookmarkEnd w:id="14"/>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right="40"/>
        <w:spacing w:after="0" w:line="203" w:lineRule="exact"/>
        <w:rPr>
          <w:sz w:val="20"/>
          <w:szCs w:val="20"/>
          <w:color w:val="auto"/>
        </w:rPr>
      </w:pPr>
      <w:r>
        <w:rPr>
          <w:rFonts w:ascii="Arial" w:cs="Arial" w:eastAsia="Arial" w:hAnsi="Arial"/>
          <w:sz w:val="15"/>
          <w:szCs w:val="15"/>
          <w:color w:val="auto"/>
        </w:rPr>
        <w:t>the Securities Exchange Act of 1934, as amended, or the Exchange Act. Audit committee members must also satisfy the independence criteria set forth in Rule 10A</w:t>
      </w:r>
      <w:r>
        <w:rPr>
          <w:rFonts w:ascii="MS PGothic" w:cs="MS PGothic" w:eastAsia="MS PGothic" w:hAnsi="MS PGothic"/>
          <w:sz w:val="15"/>
          <w:szCs w:val="15"/>
          <w:color w:val="auto"/>
        </w:rPr>
        <w:t>‑</w:t>
      </w:r>
      <w:r>
        <w:rPr>
          <w:rFonts w:ascii="Arial" w:cs="Arial" w:eastAsia="Arial" w:hAnsi="Arial"/>
          <w:sz w:val="15"/>
          <w:szCs w:val="15"/>
          <w:color w:val="auto"/>
        </w:rPr>
        <w:t>3 under the Exchange Act, and compensation committee members must also satisfy the independence criteria set forth in Rule 10C</w:t>
      </w:r>
      <w:r>
        <w:rPr>
          <w:rFonts w:ascii="MS PGothic" w:cs="MS PGothic" w:eastAsia="MS PGothic" w:hAnsi="MS PGothic"/>
          <w:sz w:val="15"/>
          <w:szCs w:val="15"/>
          <w:color w:val="auto"/>
        </w:rPr>
        <w:t>‑</w:t>
      </w:r>
      <w:r>
        <w:rPr>
          <w:rFonts w:ascii="Arial" w:cs="Arial" w:eastAsia="Arial" w:hAnsi="Arial"/>
          <w:sz w:val="15"/>
          <w:szCs w:val="15"/>
          <w:color w:val="auto"/>
        </w:rPr>
        <w:t>1 under the Exchange Act. Under Rule 5605(a)(2) of the Nasdaq Listing Rules,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w:t>
      </w:r>
      <w:r>
        <w:rPr>
          <w:rFonts w:ascii="MS PGothic" w:cs="MS PGothic" w:eastAsia="MS PGothic" w:hAnsi="MS PGothic"/>
          <w:sz w:val="15"/>
          <w:szCs w:val="15"/>
          <w:color w:val="auto"/>
        </w:rPr>
        <w:t>‑</w:t>
      </w:r>
      <w:r>
        <w:rPr>
          <w:rFonts w:ascii="Arial" w:cs="Arial" w:eastAsia="Arial" w:hAnsi="Arial"/>
          <w:sz w:val="15"/>
          <w:szCs w:val="15"/>
          <w:color w:val="auto"/>
        </w:rPr>
        <w:t>3, a member of an audit committee of a listed company may not, other than in his or her capacity as a member of the audit committee, the board of directors, or any other committee of the board of directors,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w:t>
      </w:r>
      <w:r>
        <w:rPr>
          <w:rFonts w:ascii="MS PGothic" w:cs="MS PGothic" w:eastAsia="MS PGothic" w:hAnsi="MS PGothic"/>
          <w:sz w:val="15"/>
          <w:szCs w:val="15"/>
          <w:color w:val="auto"/>
        </w:rPr>
        <w:t>‑</w:t>
      </w:r>
      <w:r>
        <w:rPr>
          <w:rFonts w:ascii="Arial" w:cs="Arial" w:eastAsia="Arial" w:hAnsi="Arial"/>
          <w:sz w:val="15"/>
          <w:szCs w:val="15"/>
          <w:color w:val="auto"/>
        </w:rPr>
        <w:t>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07" w:lineRule="exact"/>
        <w:rPr>
          <w:sz w:val="20"/>
          <w:szCs w:val="20"/>
          <w:color w:val="auto"/>
        </w:rPr>
      </w:pPr>
    </w:p>
    <w:p>
      <w:pPr>
        <w:ind w:firstLine="648"/>
        <w:spacing w:after="0" w:line="203" w:lineRule="exact"/>
        <w:rPr>
          <w:sz w:val="20"/>
          <w:szCs w:val="20"/>
          <w:color w:val="auto"/>
        </w:rPr>
      </w:pPr>
      <w:r>
        <w:rPr>
          <w:rFonts w:ascii="Arial" w:cs="Arial" w:eastAsia="Arial" w:hAnsi="Arial"/>
          <w:sz w:val="14"/>
          <w:szCs w:val="14"/>
          <w:color w:val="auto"/>
        </w:rPr>
        <w:t>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Jeffrey W. Albers, is an “independent director” as defined under Rule 5605(a)(2) of the Nasdaq Listing Rules. Mr. Albers is not an independent director under Rule 5605(a)(2) because he is our president and chief executive officer. Our board of directors also determined that Charles A. Rowland, Jr., Lonnel Coats and Mark Goldberg, who comprise our audit committee, Daniel S. Lynch, Charles A. Rowland, Jr. and Lynn Seely, who comprise our compensation committee, and George D. Demetri, Lonnel Coats and Nicholas Lydon, who comprise our nominating and corporate governance committee, satisfy the independence standards for such committees established by the SEC and the Nasdaq Listing Rules, as applicable, including in the case of all members of the audit committee, the independence requirements contemplated by Rule 10A</w:t>
      </w:r>
      <w:r>
        <w:rPr>
          <w:rFonts w:ascii="MS PGothic" w:cs="MS PGothic" w:eastAsia="MS PGothic" w:hAnsi="MS PGothic"/>
          <w:sz w:val="14"/>
          <w:szCs w:val="14"/>
          <w:color w:val="auto"/>
        </w:rPr>
        <w:t>‑</w:t>
      </w:r>
      <w:r>
        <w:rPr>
          <w:rFonts w:ascii="Arial" w:cs="Arial" w:eastAsia="Arial" w:hAnsi="Arial"/>
          <w:sz w:val="14"/>
          <w:szCs w:val="14"/>
          <w:color w:val="auto"/>
        </w:rPr>
        <w:t>3 under the Exchange Act and in the case of all members of the compensation committee, the independence requirements contemplated by Rule 10C</w:t>
      </w:r>
      <w:r>
        <w:rPr>
          <w:rFonts w:ascii="MS PGothic" w:cs="MS PGothic" w:eastAsia="MS PGothic" w:hAnsi="MS PGothic"/>
          <w:sz w:val="14"/>
          <w:szCs w:val="14"/>
          <w:color w:val="auto"/>
        </w:rPr>
        <w:t>‑</w:t>
      </w:r>
      <w:r>
        <w:rPr>
          <w:rFonts w:ascii="Arial" w:cs="Arial" w:eastAsia="Arial" w:hAnsi="Arial"/>
          <w:sz w:val="14"/>
          <w:szCs w:val="14"/>
          <w:color w:val="auto"/>
        </w:rPr>
        <w:t>1 under the Exchange Act.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 Meetings and Attendance</w:t>
      </w:r>
    </w:p>
    <w:p>
      <w:pPr>
        <w:spacing w:after="0" w:line="131" w:lineRule="exact"/>
        <w:rPr>
          <w:sz w:val="20"/>
          <w:szCs w:val="20"/>
          <w:color w:val="auto"/>
        </w:rPr>
      </w:pPr>
    </w:p>
    <w:p>
      <w:pPr>
        <w:ind w:firstLine="648"/>
        <w:spacing w:after="0" w:line="305" w:lineRule="auto"/>
        <w:rPr>
          <w:sz w:val="20"/>
          <w:szCs w:val="20"/>
          <w:color w:val="auto"/>
        </w:rPr>
      </w:pPr>
      <w:r>
        <w:rPr>
          <w:rFonts w:ascii="Arial" w:cs="Arial" w:eastAsia="Arial" w:hAnsi="Arial"/>
          <w:sz w:val="15"/>
          <w:szCs w:val="15"/>
          <w:color w:val="auto"/>
        </w:rPr>
        <w:t>Our board of directors held seven meetings during the year ended December 31, 2018. During the year ended December 31, 2018, each of the directors then in office attended at least 75% of the aggregate of the number of board of director meetings and the number of meetings held by all committees of the board of directors on which such director then served.</w:t>
      </w:r>
    </w:p>
    <w:p>
      <w:pPr>
        <w:spacing w:after="0" w:line="58" w:lineRule="exact"/>
        <w:rPr>
          <w:sz w:val="20"/>
          <w:szCs w:val="20"/>
          <w:color w:val="auto"/>
        </w:rPr>
      </w:pPr>
    </w:p>
    <w:p>
      <w:pPr>
        <w:ind w:right="160" w:firstLine="648"/>
        <w:spacing w:after="0" w:line="278"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our annual meeting, we encourage all of our directors to attend. Eight of the nine members of our board of directors who were then directors attended our 2018 annual meeting of stockholders, or 2018 Annual Meeting.</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Communicating with the Board of Directors</w:t>
      </w:r>
    </w:p>
    <w:p>
      <w:pPr>
        <w:spacing w:after="0" w:line="131" w:lineRule="exact"/>
        <w:rPr>
          <w:sz w:val="20"/>
          <w:szCs w:val="20"/>
          <w:color w:val="auto"/>
        </w:rPr>
      </w:pPr>
    </w:p>
    <w:p>
      <w:pPr>
        <w:ind w:right="360" w:firstLine="648"/>
        <w:spacing w:after="0" w:line="305" w:lineRule="auto"/>
        <w:rPr>
          <w:sz w:val="20"/>
          <w:szCs w:val="20"/>
          <w:color w:val="auto"/>
        </w:rPr>
      </w:pPr>
      <w:r>
        <w:rPr>
          <w:rFonts w:ascii="Arial" w:cs="Arial" w:eastAsia="Arial" w:hAnsi="Arial"/>
          <w:sz w:val="15"/>
          <w:szCs w:val="15"/>
          <w:color w:val="auto"/>
        </w:rPr>
        <w:t>Our board of directors will give appropriate attention to written communications that are submitted by stockholders and will respond if and as appropriate. The chairman of the board of directors is primarily responsible for monitoring communications from stockholders and for providing copies or summaries to the other directors as he considers appropriate.</w:t>
      </w:r>
    </w:p>
    <w:p>
      <w:pPr>
        <w:spacing w:after="0" w:line="58" w:lineRule="exact"/>
        <w:rPr>
          <w:sz w:val="20"/>
          <w:szCs w:val="20"/>
          <w:color w:val="auto"/>
        </w:rPr>
      </w:pPr>
    </w:p>
    <w:p>
      <w:pPr>
        <w:ind w:right="20" w:firstLine="648"/>
        <w:spacing w:after="0" w:line="335" w:lineRule="auto"/>
        <w:rPr>
          <w:sz w:val="20"/>
          <w:szCs w:val="20"/>
          <w:color w:val="auto"/>
        </w:rPr>
      </w:pPr>
      <w:r>
        <w:rPr>
          <w:rFonts w:ascii="Arial" w:cs="Arial" w:eastAsia="Arial" w:hAnsi="Arial"/>
          <w:sz w:val="14"/>
          <w:szCs w:val="14"/>
          <w:color w:val="auto"/>
        </w:rPr>
        <w:t>Stockholders who wish to send communications on any topic to our board of directors (or any individual director) should address such communications to Blueprint Medicines Corporation, Attention: Board of Directors, 45 Sidney Street, Cambridge, Massachusetts 02139. Upon receipt of such communications, the correspondence will be directed to the appropriate person, including individual directors.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 of Directors</w:t>
      </w:r>
    </w:p>
    <w:p>
      <w:pPr>
        <w:spacing w:after="0" w:line="131" w:lineRule="exact"/>
        <w:rPr>
          <w:sz w:val="20"/>
          <w:szCs w:val="20"/>
          <w:color w:val="auto"/>
        </w:rPr>
      </w:pPr>
    </w:p>
    <w:p>
      <w:pPr>
        <w:ind w:right="20" w:firstLine="648"/>
        <w:spacing w:after="0" w:line="273" w:lineRule="auto"/>
        <w:rPr>
          <w:sz w:val="20"/>
          <w:szCs w:val="20"/>
          <w:color w:val="auto"/>
        </w:rPr>
      </w:pPr>
      <w:r>
        <w:rPr>
          <w:rFonts w:ascii="Arial" w:cs="Arial" w:eastAsia="Arial" w:hAnsi="Arial"/>
          <w:sz w:val="16"/>
          <w:szCs w:val="16"/>
          <w:color w:val="auto"/>
        </w:rPr>
        <w:t xml:space="preserve">We have established an audit committee, a compensation committee, a nominating and corporate governance committee and a research and development committee. Each of these committees operates under a charter that has been approved by our board of directors. A copy of each committee’s charter can be found under the “Investors &amp; Media — Corporate Governance” section of our website, which is located at </w:t>
      </w:r>
      <w:r>
        <w:rPr>
          <w:rFonts w:ascii="Arial" w:cs="Arial" w:eastAsia="Arial" w:hAnsi="Arial"/>
          <w:sz w:val="16"/>
          <w:szCs w:val="16"/>
          <w:i w:val="1"/>
          <w:iCs w:val="1"/>
          <w:color w:val="auto"/>
        </w:rPr>
        <w:t>http://ir.blueprintmedicines.com</w:t>
      </w:r>
      <w:r>
        <w:rPr>
          <w:rFonts w:ascii="Arial" w:cs="Arial" w:eastAsia="Arial" w:hAnsi="Arial"/>
          <w:sz w:val="16"/>
          <w:szCs w:val="16"/>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audit committee’s responsibilities include:</w:t>
      </w:r>
    </w:p>
    <w:p>
      <w:pPr>
        <w:spacing w:after="0" w:line="127" w:lineRule="exact"/>
        <w:rPr>
          <w:sz w:val="20"/>
          <w:szCs w:val="20"/>
          <w:color w:val="auto"/>
        </w:rPr>
      </w:pPr>
    </w:p>
    <w:p>
      <w:pPr>
        <w:ind w:left="1300" w:right="460" w:hanging="325"/>
        <w:spacing w:after="0" w:line="293"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independent registered public accounting firm;</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15" w:name="page16"/>
    <w:bookmarkEnd w:id="15"/>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1300" w:right="459" w:hanging="325"/>
        <w:spacing w:after="0" w:line="293"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pre-approving auditing and permissible non-audit services, and the terms of such services, to be provided by our independent registered public accounting firm;</w:t>
      </w:r>
    </w:p>
    <w:p>
      <w:pPr>
        <w:spacing w:after="0" w:line="63" w:lineRule="exact"/>
        <w:rPr>
          <w:rFonts w:ascii="Arial" w:cs="Arial" w:eastAsia="Arial" w:hAnsi="Arial"/>
          <w:sz w:val="16"/>
          <w:szCs w:val="16"/>
          <w:color w:val="auto"/>
        </w:rPr>
      </w:pPr>
    </w:p>
    <w:p>
      <w:pPr>
        <w:ind w:left="1300" w:right="119" w:hanging="325"/>
        <w:spacing w:after="0" w:line="293"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reviewing the overall audit plan with our independent registered public accounting firm and members of management responsible for preparing our financial statements;</w:t>
      </w:r>
    </w:p>
    <w:p>
      <w:pPr>
        <w:spacing w:after="0" w:line="63" w:lineRule="exact"/>
        <w:rPr>
          <w:rFonts w:ascii="Arial" w:cs="Arial" w:eastAsia="Arial" w:hAnsi="Arial"/>
          <w:sz w:val="16"/>
          <w:szCs w:val="16"/>
          <w:color w:val="auto"/>
        </w:rPr>
      </w:pPr>
    </w:p>
    <w:p>
      <w:pPr>
        <w:ind w:left="1300" w:right="179" w:hanging="325"/>
        <w:spacing w:after="0" w:line="369" w:lineRule="auto"/>
        <w:tabs>
          <w:tab w:leader="none" w:pos="1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8" w:lineRule="exact"/>
        <w:rPr>
          <w:rFonts w:ascii="Arial" w:cs="Arial" w:eastAsia="Arial" w:hAnsi="Arial"/>
          <w:sz w:val="14"/>
          <w:szCs w:val="14"/>
          <w:color w:val="auto"/>
        </w:rPr>
      </w:pPr>
    </w:p>
    <w:p>
      <w:pPr>
        <w:ind w:left="1300" w:hanging="325"/>
        <w:spacing w:after="0"/>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coordinating the oversight and reviewing the adequacy of our internal control over financial reporting;</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establishing policies and procedures for the receipt and retention of accounting-related complaints and concerns;</w:t>
      </w:r>
    </w:p>
    <w:p>
      <w:pPr>
        <w:spacing w:after="0" w:line="138" w:lineRule="exact"/>
        <w:rPr>
          <w:rFonts w:ascii="Arial" w:cs="Arial" w:eastAsia="Arial" w:hAnsi="Arial"/>
          <w:sz w:val="15"/>
          <w:szCs w:val="15"/>
          <w:color w:val="auto"/>
        </w:rPr>
      </w:pPr>
    </w:p>
    <w:p>
      <w:pPr>
        <w:ind w:left="1300" w:right="119" w:hanging="325"/>
        <w:spacing w:after="0" w:line="204" w:lineRule="exact"/>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recommending, based upon the audit committee’s review and discussions with management and the independent registered public accounting firm, whether our audited financial statements shall be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06" w:lineRule="exact"/>
        <w:rPr>
          <w:rFonts w:ascii="Arial" w:cs="Arial" w:eastAsia="Arial" w:hAnsi="Arial"/>
          <w:sz w:val="16"/>
          <w:szCs w:val="16"/>
          <w:color w:val="auto"/>
        </w:rPr>
      </w:pPr>
    </w:p>
    <w:p>
      <w:pPr>
        <w:ind w:left="1300" w:hanging="325"/>
        <w:spacing w:after="0" w:line="184" w:lineRule="exact"/>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approving all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126" w:lineRule="exact"/>
        <w:rPr>
          <w:rFonts w:ascii="Arial" w:cs="Arial" w:eastAsia="Arial" w:hAnsi="Arial"/>
          <w:sz w:val="16"/>
          <w:szCs w:val="16"/>
          <w:color w:val="auto"/>
        </w:rPr>
      </w:pPr>
    </w:p>
    <w:p>
      <w:pPr>
        <w:ind w:left="1300" w:right="59" w:hanging="325"/>
        <w:spacing w:after="0" w:line="293"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monitoring the integrity of our financial statements and our compliance with legal and regulatory requirements as they relate to our financial statements and accounting matters;</w:t>
      </w:r>
    </w:p>
    <w:p>
      <w:pPr>
        <w:spacing w:after="0" w:line="63" w:lineRule="exact"/>
        <w:rPr>
          <w:rFonts w:ascii="Arial" w:cs="Arial" w:eastAsia="Arial" w:hAnsi="Arial"/>
          <w:sz w:val="16"/>
          <w:szCs w:val="16"/>
          <w:color w:val="auto"/>
        </w:rPr>
      </w:pPr>
    </w:p>
    <w:p>
      <w:pPr>
        <w:ind w:left="1300" w:hanging="325"/>
        <w:spacing w:after="0"/>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preparing the audit committee report required by SEC rules to be included in our annual proxy statement;</w:t>
      </w:r>
    </w:p>
    <w:p>
      <w:pPr>
        <w:spacing w:after="0" w:line="126" w:lineRule="exact"/>
        <w:rPr>
          <w:rFonts w:ascii="Arial" w:cs="Arial" w:eastAsia="Arial" w:hAnsi="Arial"/>
          <w:sz w:val="16"/>
          <w:szCs w:val="16"/>
          <w:color w:val="auto"/>
        </w:rPr>
      </w:pPr>
    </w:p>
    <w:p>
      <w:pPr>
        <w:ind w:left="1300" w:right="119" w:hanging="325"/>
        <w:spacing w:after="0" w:line="293"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reviewing all related party transactions for potential conflict of interest situations and approving all such transactions; and</w:t>
      </w:r>
    </w:p>
    <w:p>
      <w:pPr>
        <w:spacing w:after="0" w:line="63" w:lineRule="exact"/>
        <w:rPr>
          <w:rFonts w:ascii="Arial" w:cs="Arial" w:eastAsia="Arial" w:hAnsi="Arial"/>
          <w:sz w:val="16"/>
          <w:szCs w:val="16"/>
          <w:color w:val="auto"/>
        </w:rPr>
      </w:pPr>
    </w:p>
    <w:p>
      <w:pPr>
        <w:ind w:left="1300" w:hanging="325"/>
        <w:spacing w:after="0"/>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reviewing quarterly earnings releases as well as any other press releases containing financial information.</w:t>
      </w:r>
    </w:p>
    <w:p>
      <w:pPr>
        <w:spacing w:after="0" w:line="127" w:lineRule="exact"/>
        <w:rPr>
          <w:sz w:val="20"/>
          <w:szCs w:val="20"/>
          <w:color w:val="auto"/>
        </w:rPr>
      </w:pPr>
    </w:p>
    <w:p>
      <w:pPr>
        <w:ind w:right="219" w:firstLine="648"/>
        <w:spacing w:after="0" w:line="335" w:lineRule="auto"/>
        <w:rPr>
          <w:sz w:val="20"/>
          <w:szCs w:val="20"/>
          <w:color w:val="auto"/>
        </w:rPr>
      </w:pPr>
      <w:r>
        <w:rPr>
          <w:rFonts w:ascii="Arial" w:cs="Arial" w:eastAsia="Arial" w:hAnsi="Arial"/>
          <w:sz w:val="14"/>
          <w:szCs w:val="14"/>
          <w:color w:val="auto"/>
        </w:rPr>
        <w:t>The members of our audit committee are Charles A. Rowland, Jr., Lonnel Coats and Mark Goldberg. Mr. Rowland serves as chair of the audit committee. Our board of directors has determined that Mr. Rowland qualifies as an “audit committee financial expert” within the meaning of applicable SEC rules. The audit committee held five meetings during the year ended December 31, 2018.</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compensation committee’s responsibilities include:</w:t>
      </w:r>
    </w:p>
    <w:p>
      <w:pPr>
        <w:spacing w:after="0" w:line="127" w:lineRule="exact"/>
        <w:rPr>
          <w:sz w:val="20"/>
          <w:szCs w:val="20"/>
          <w:color w:val="auto"/>
        </w:rPr>
      </w:pPr>
    </w:p>
    <w:p>
      <w:pPr>
        <w:ind w:left="1300" w:right="139" w:hanging="325"/>
        <w:spacing w:after="0" w:line="293"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annually reviewing and approving corporate goals and objectives relevant to the compensation of our chief executive officer;</w:t>
      </w:r>
    </w:p>
    <w:p>
      <w:pPr>
        <w:spacing w:after="0" w:line="63" w:lineRule="exact"/>
        <w:rPr>
          <w:rFonts w:ascii="Arial" w:cs="Arial" w:eastAsia="Arial" w:hAnsi="Arial"/>
          <w:sz w:val="16"/>
          <w:szCs w:val="16"/>
          <w:color w:val="auto"/>
        </w:rPr>
      </w:pPr>
    </w:p>
    <w:p>
      <w:pPr>
        <w:ind w:left="1300" w:right="739" w:hanging="325"/>
        <w:spacing w:after="0" w:line="293"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evaluating the performance of our chief executive officer in light of such corporate goals and objectives and determining the compensation of our chief executive officer;</w:t>
      </w:r>
    </w:p>
    <w:p>
      <w:pPr>
        <w:spacing w:after="0" w:line="63" w:lineRule="exact"/>
        <w:rPr>
          <w:rFonts w:ascii="Arial" w:cs="Arial" w:eastAsia="Arial" w:hAnsi="Arial"/>
          <w:sz w:val="16"/>
          <w:szCs w:val="16"/>
          <w:color w:val="auto"/>
        </w:rPr>
      </w:pPr>
    </w:p>
    <w:p>
      <w:pPr>
        <w:ind w:left="1300" w:hanging="325"/>
        <w:spacing w:after="0"/>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reviewing and approving the compensation of our other executive officers;</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reviewing and establishing our overall management compensation, philosophy and policy;</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overseeing and administering our compensation and similar plans;</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reviewing and approving our policies and procedures for the grant of equity-based awards;</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of directors with respect to director compensation; and</w:t>
      </w:r>
    </w:p>
    <w:p>
      <w:pPr>
        <w:spacing w:after="0" w:line="126" w:lineRule="exact"/>
        <w:rPr>
          <w:rFonts w:ascii="Arial" w:cs="Arial" w:eastAsia="Arial" w:hAnsi="Arial"/>
          <w:sz w:val="16"/>
          <w:szCs w:val="16"/>
          <w:color w:val="auto"/>
        </w:rPr>
      </w:pPr>
    </w:p>
    <w:p>
      <w:pPr>
        <w:ind w:left="1300" w:right="319" w:hanging="325"/>
        <w:spacing w:after="0" w:line="204" w:lineRule="exact"/>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to be included in our annual proxy statement or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05" w:lineRule="exact"/>
        <w:rPr>
          <w:sz w:val="20"/>
          <w:szCs w:val="20"/>
          <w:color w:val="auto"/>
        </w:rPr>
      </w:pPr>
    </w:p>
    <w:p>
      <w:pPr>
        <w:ind w:right="39" w:firstLine="648"/>
        <w:spacing w:after="0" w:line="369" w:lineRule="auto"/>
        <w:rPr>
          <w:sz w:val="20"/>
          <w:szCs w:val="20"/>
          <w:color w:val="auto"/>
        </w:rPr>
      </w:pPr>
      <w:r>
        <w:rPr>
          <w:rFonts w:ascii="Arial" w:cs="Arial" w:eastAsia="Arial" w:hAnsi="Arial"/>
          <w:sz w:val="14"/>
          <w:szCs w:val="14"/>
          <w:color w:val="auto"/>
        </w:rPr>
        <w:t>The members of our compensation committee are Daniel S. Lynch, Charles A. Rowland, Jr. and Lynn Seely. Mr. Lynch serves as chair of the compensation committee. The compensation committee held eight meetings during the year ended December 31, 2018.</w:t>
      </w:r>
    </w:p>
    <w:p>
      <w:pPr>
        <w:spacing w:after="0" w:line="18" w:lineRule="exact"/>
        <w:rPr>
          <w:sz w:val="20"/>
          <w:szCs w:val="20"/>
          <w:color w:val="auto"/>
        </w:rPr>
      </w:pPr>
    </w:p>
    <w:p>
      <w:pPr>
        <w:jc w:val="both"/>
        <w:ind w:right="139" w:firstLine="648"/>
        <w:spacing w:after="0" w:line="305" w:lineRule="auto"/>
        <w:rPr>
          <w:sz w:val="20"/>
          <w:szCs w:val="20"/>
          <w:color w:val="auto"/>
        </w:rPr>
      </w:pPr>
      <w:r>
        <w:rPr>
          <w:rFonts w:ascii="Arial" w:cs="Arial" w:eastAsia="Arial" w:hAnsi="Arial"/>
          <w:sz w:val="15"/>
          <w:szCs w:val="15"/>
          <w:color w:val="auto"/>
        </w:rPr>
        <w:t>The compensation committee may delegate its authority to our chief executive officer to grant certain equity awards to certain individuals, and our compensation committee has delegated such authority to Mr. Albers with respect to certain equity awards. For more information, please see “Compensation Discussion and Analysis—Overview of Executive Compensation Process.”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0" w:right="1440" w:bottom="1440" w:gutter="0" w:footer="0" w:header="0"/>
        </w:sectPr>
      </w:pPr>
    </w:p>
    <w:bookmarkStart w:id="16" w:name="page17"/>
    <w:bookmarkEnd w:id="16"/>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nominating and corporate governance committee’s responsibilities include:</w:t>
      </w:r>
    </w:p>
    <w:p>
      <w:pPr>
        <w:spacing w:after="0" w:line="127" w:lineRule="exact"/>
        <w:rPr>
          <w:sz w:val="20"/>
          <w:szCs w:val="20"/>
          <w:color w:val="auto"/>
        </w:rPr>
      </w:pPr>
    </w:p>
    <w:p>
      <w:pPr>
        <w:ind w:left="1300" w:hanging="325"/>
        <w:spacing w:after="0"/>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criteria for board and committee membership;</w:t>
      </w:r>
    </w:p>
    <w:p>
      <w:pPr>
        <w:spacing w:after="0" w:line="126" w:lineRule="exact"/>
        <w:rPr>
          <w:rFonts w:ascii="Arial" w:cs="Arial" w:eastAsia="Arial" w:hAnsi="Arial"/>
          <w:sz w:val="16"/>
          <w:szCs w:val="16"/>
          <w:color w:val="auto"/>
        </w:rPr>
      </w:pPr>
    </w:p>
    <w:p>
      <w:pPr>
        <w:ind w:left="1300" w:right="80" w:hanging="325"/>
        <w:spacing w:after="0" w:line="293"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63" w:lineRule="exact"/>
        <w:rPr>
          <w:rFonts w:ascii="Arial" w:cs="Arial" w:eastAsia="Arial" w:hAnsi="Arial"/>
          <w:sz w:val="16"/>
          <w:szCs w:val="16"/>
          <w:color w:val="auto"/>
        </w:rPr>
      </w:pPr>
    </w:p>
    <w:p>
      <w:pPr>
        <w:ind w:left="1300" w:hanging="325"/>
        <w:spacing w:after="0"/>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 of directors;</w:t>
      </w:r>
    </w:p>
    <w:p>
      <w:pPr>
        <w:spacing w:after="0" w:line="126" w:lineRule="exact"/>
        <w:rPr>
          <w:rFonts w:ascii="Arial" w:cs="Arial" w:eastAsia="Arial" w:hAnsi="Arial"/>
          <w:sz w:val="16"/>
          <w:szCs w:val="16"/>
          <w:color w:val="auto"/>
        </w:rPr>
      </w:pPr>
    </w:p>
    <w:p>
      <w:pPr>
        <w:ind w:left="1300" w:right="40" w:hanging="325"/>
        <w:spacing w:after="0" w:line="293"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recommending to the board of directors the persons to be nominated for election as directors and to each of the board’s committees;</w:t>
      </w:r>
    </w:p>
    <w:p>
      <w:pPr>
        <w:spacing w:after="0" w:line="63" w:lineRule="exact"/>
        <w:rPr>
          <w:rFonts w:ascii="Arial" w:cs="Arial" w:eastAsia="Arial" w:hAnsi="Arial"/>
          <w:sz w:val="16"/>
          <w:szCs w:val="16"/>
          <w:color w:val="auto"/>
        </w:rPr>
      </w:pPr>
    </w:p>
    <w:p>
      <w:pPr>
        <w:ind w:left="1300" w:hanging="325"/>
        <w:spacing w:after="0"/>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a set of corporate governance guidelines; and</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overseeing the evaluation of the board of directors and management.</w:t>
      </w:r>
    </w:p>
    <w:p>
      <w:pPr>
        <w:spacing w:after="0" w:line="127"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The members of our nominating and corporate governance committee are George D. Demetri, Lonnel Coats and Nicholas Lydon. Dr. Demetri serves as chair of the nominating and corporate governance committee. The nominating and corporate governance committee held one meeting during the year ended December 31, 2018.</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Committee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research and development committee’s responsibilities include providing:</w:t>
      </w:r>
    </w:p>
    <w:p>
      <w:pPr>
        <w:spacing w:after="0" w:line="127" w:lineRule="exact"/>
        <w:rPr>
          <w:sz w:val="20"/>
          <w:szCs w:val="20"/>
          <w:color w:val="auto"/>
        </w:rPr>
      </w:pPr>
    </w:p>
    <w:p>
      <w:pPr>
        <w:ind w:left="1300" w:right="500" w:hanging="325"/>
        <w:spacing w:after="0" w:line="293"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general oversight function regarding pre-clinical and clinical decision-making through a series of semi-annual pipeline reviews and in-depth assessments of select project strategies and plans;</w:t>
      </w:r>
    </w:p>
    <w:p>
      <w:pPr>
        <w:spacing w:after="0" w:line="63" w:lineRule="exact"/>
        <w:rPr>
          <w:rFonts w:ascii="Arial" w:cs="Arial" w:eastAsia="Arial" w:hAnsi="Arial"/>
          <w:sz w:val="16"/>
          <w:szCs w:val="16"/>
          <w:color w:val="auto"/>
        </w:rPr>
      </w:pPr>
    </w:p>
    <w:p>
      <w:pPr>
        <w:ind w:left="1300" w:right="140" w:hanging="325"/>
        <w:spacing w:after="0" w:line="293"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recommendations regarding key molecules in our discovery and development pipelines through reports and select in-depth project reviews;</w:t>
      </w:r>
    </w:p>
    <w:p>
      <w:pPr>
        <w:spacing w:after="0" w:line="63" w:lineRule="exact"/>
        <w:rPr>
          <w:rFonts w:ascii="Arial" w:cs="Arial" w:eastAsia="Arial" w:hAnsi="Arial"/>
          <w:sz w:val="16"/>
          <w:szCs w:val="16"/>
          <w:color w:val="auto"/>
        </w:rPr>
      </w:pPr>
    </w:p>
    <w:p>
      <w:pPr>
        <w:ind w:left="1300" w:right="280" w:hanging="325"/>
        <w:spacing w:after="0" w:line="369" w:lineRule="auto"/>
        <w:tabs>
          <w:tab w:leader="none" w:pos="13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recommendations regarding our pipeline/portfolio balance from a scientific and clinical perspective, including new molecular entity versus new indication balance, mechanism balance, target balance and general risk balance;</w:t>
      </w:r>
    </w:p>
    <w:p>
      <w:pPr>
        <w:spacing w:after="0" w:line="18" w:lineRule="exact"/>
        <w:rPr>
          <w:rFonts w:ascii="Arial" w:cs="Arial" w:eastAsia="Arial" w:hAnsi="Arial"/>
          <w:sz w:val="14"/>
          <w:szCs w:val="14"/>
          <w:color w:val="auto"/>
        </w:rPr>
      </w:pPr>
    </w:p>
    <w:p>
      <w:pPr>
        <w:ind w:left="1300" w:hanging="325"/>
        <w:spacing w:after="0"/>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recommendations regarding key discovery and development strategies to align with our business needs; and</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feedback to the board of directors and to our research and development group.</w:t>
      </w:r>
    </w:p>
    <w:p>
      <w:pPr>
        <w:spacing w:after="0" w:line="127"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The members of our research and development committee are Nicholas Lydon, Alexis Borisy, George D. Demetri, Mark Goldberg and Lynn Seely. Dr. Lydon serves as chair of the research and development committee. The research and development committee held two meetings during the year ended December 31, 2018.</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Nomination Process</w:t>
      </w:r>
    </w:p>
    <w:p>
      <w:pPr>
        <w:spacing w:after="0" w:line="131" w:lineRule="exact"/>
        <w:rPr>
          <w:sz w:val="20"/>
          <w:szCs w:val="20"/>
          <w:color w:val="auto"/>
        </w:rPr>
      </w:pPr>
    </w:p>
    <w:p>
      <w:pPr>
        <w:ind w:right="60" w:firstLine="648"/>
        <w:spacing w:after="0" w:line="273"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Criteria and Diversity</w:t>
      </w:r>
    </w:p>
    <w:p>
      <w:pPr>
        <w:spacing w:after="0" w:line="127" w:lineRule="exact"/>
        <w:rPr>
          <w:sz w:val="20"/>
          <w:szCs w:val="20"/>
          <w:color w:val="auto"/>
        </w:rPr>
      </w:pPr>
    </w:p>
    <w:p>
      <w:pPr>
        <w:ind w:right="180" w:firstLine="648"/>
        <w:spacing w:after="0" w:line="289" w:lineRule="auto"/>
        <w:rPr>
          <w:sz w:val="20"/>
          <w:szCs w:val="20"/>
          <w:color w:val="auto"/>
        </w:rPr>
      </w:pPr>
      <w:r>
        <w:rPr>
          <w:rFonts w:ascii="Arial" w:cs="Arial" w:eastAsia="Arial" w:hAnsi="Arial"/>
          <w:sz w:val="15"/>
          <w:szCs w:val="15"/>
          <w:color w:val="auto"/>
        </w:rPr>
        <w:t>In considering whether to recommend to our board of directors any particular candidate for inclusion in our board of directors’ slate of recommended director nominees, including candidates recommended by stockholders, the nominating and corporate governance committee of our board of directors applies the criteria set forth in our corporate governance guidelines. These criteria include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the company, and to the extent applicable, the candidates history of actively contributing to any boards of directors on which the candidate previously served.</w:t>
      </w:r>
    </w:p>
    <w:p>
      <w:pPr>
        <w:spacing w:after="0" w:line="7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6"/>
          <w:szCs w:val="16"/>
          <w:color w:val="auto"/>
        </w:rPr>
        <w:t>The director biographies on pages 6 to 9 of this proxy statement indicate each nominee’s experience, qualifications, attributes and skills that led our nominating and corporate governance committee and our board of directors to conclude he should continue to serve as a director. Our nominating and corporate governance committee and our board of directors believe that each of the nominees has the individual attributes and characteristics required of each of our directors, and the nominees as a group possess the skill sets and specific experience desired of our board of directors as a whole.</w:t>
      </w:r>
    </w:p>
    <w:p>
      <w:pPr>
        <w:spacing w:after="0" w:line="82" w:lineRule="exact"/>
        <w:rPr>
          <w:sz w:val="20"/>
          <w:szCs w:val="20"/>
          <w:color w:val="auto"/>
        </w:rPr>
      </w:pPr>
    </w:p>
    <w:p>
      <w:pPr>
        <w:ind w:right="340" w:firstLine="648"/>
        <w:spacing w:after="0" w:line="335" w:lineRule="auto"/>
        <w:rPr>
          <w:sz w:val="20"/>
          <w:szCs w:val="20"/>
          <w:color w:val="auto"/>
        </w:rPr>
      </w:pPr>
      <w:r>
        <w:rPr>
          <w:rFonts w:ascii="Arial" w:cs="Arial" w:eastAsia="Arial" w:hAnsi="Arial"/>
          <w:sz w:val="14"/>
          <w:szCs w:val="14"/>
          <w:color w:val="auto"/>
        </w:rPr>
        <w:t>We do not have a policy (formal or informal) with respect to diversity, but we believe that our board of directors, taken as a whole, should embody a diverse set of skills, experiences and backgrounds. In this regard, our nominating and corporate governance committee and our board of directors also take into consideration the diversity (with respect to gender, race and national origin) of our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30" w:right="1439" w:bottom="1440" w:gutter="0" w:footer="0" w:header="0"/>
        </w:sectPr>
      </w:pPr>
    </w:p>
    <w:bookmarkStart w:id="17" w:name="page18"/>
    <w:bookmarkEnd w:id="17"/>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right="39"/>
        <w:spacing w:after="0" w:line="278" w:lineRule="auto"/>
        <w:rPr>
          <w:sz w:val="20"/>
          <w:szCs w:val="20"/>
          <w:color w:val="auto"/>
        </w:rPr>
      </w:pPr>
      <w:r>
        <w:rPr>
          <w:rFonts w:ascii="Arial" w:cs="Arial" w:eastAsia="Arial" w:hAnsi="Arial"/>
          <w:sz w:val="16"/>
          <w:szCs w:val="16"/>
          <w:color w:val="auto"/>
        </w:rPr>
        <w:t>board members but do not make any particular weighting of diversity or any other characteristic in evaluating nominees and directors. Our nominating and corporate governance committee’s and our board of directors’ priority in selecting board members is identification of persons who will further the interests of our stockholders.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Nominations</w:t>
      </w:r>
    </w:p>
    <w:p>
      <w:pPr>
        <w:spacing w:after="0" w:line="127" w:lineRule="exact"/>
        <w:rPr>
          <w:sz w:val="20"/>
          <w:szCs w:val="20"/>
          <w:color w:val="auto"/>
        </w:rPr>
      </w:pPr>
    </w:p>
    <w:p>
      <w:pPr>
        <w:ind w:right="39" w:firstLine="648"/>
        <w:spacing w:after="0" w:line="287" w:lineRule="auto"/>
        <w:rPr>
          <w:sz w:val="20"/>
          <w:szCs w:val="20"/>
          <w:color w:val="auto"/>
        </w:rPr>
      </w:pPr>
      <w:r>
        <w:rPr>
          <w:rFonts w:ascii="Arial" w:cs="Arial" w:eastAsia="Arial" w:hAnsi="Arial"/>
          <w:sz w:val="15"/>
          <w:szCs w:val="15"/>
          <w:color w:val="auto"/>
        </w:rPr>
        <w:t>Stockholders may recommend individuals to our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Blueprint Medicines Corporation, Attention: Nominating and Corporate Governance Committee, 45 Sidney Street, Cambridge, Massachusetts 02139.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w:t>
      </w:r>
    </w:p>
    <w:p>
      <w:pPr>
        <w:spacing w:after="0" w:line="75" w:lineRule="exact"/>
        <w:rPr>
          <w:sz w:val="20"/>
          <w:szCs w:val="20"/>
          <w:color w:val="auto"/>
        </w:rPr>
      </w:pPr>
    </w:p>
    <w:p>
      <w:pPr>
        <w:ind w:right="59" w:firstLine="648"/>
        <w:spacing w:after="0" w:line="278" w:lineRule="auto"/>
        <w:rPr>
          <w:sz w:val="20"/>
          <w:szCs w:val="20"/>
          <w:color w:val="auto"/>
        </w:rPr>
      </w:pPr>
      <w:r>
        <w:rPr>
          <w:rFonts w:ascii="Arial" w:cs="Arial" w:eastAsia="Arial" w:hAnsi="Arial"/>
          <w:sz w:val="16"/>
          <w:szCs w:val="16"/>
          <w:color w:val="auto"/>
        </w:rPr>
        <w:t>Stockholders also have the right under our bylaws to directly nominate director candidates, without any action or recommendation on the part of the nominating and corporate governance committee or our board of directors, by following the procedures set forth under “Stockholder Proposals for our 2019 Annual Meeting.”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0" w:right="1440" w:bottom="1440" w:gutter="0" w:footer="0" w:header="0"/>
        </w:sectPr>
      </w:pPr>
    </w:p>
    <w:bookmarkStart w:id="18" w:name="page19"/>
    <w:bookmarkEnd w:id="18"/>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OFFICERS</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Certain information regarding our executive officers who are not also directors, as of April 15, 2019,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516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Position(s)</w:t>
            </w:r>
          </w:p>
        </w:tc>
      </w:tr>
      <w:tr>
        <w:trPr>
          <w:trHeight w:val="196"/>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Anthony L. Boral, M.D., Ph.D.</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22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Chief Medical Officer</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Marion Dorsch, Ph.D.</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5160" w:type="dxa"/>
            <w:vAlign w:val="bottom"/>
            <w:gridSpan w:val="2"/>
          </w:tcPr>
          <w:p>
            <w:pPr>
              <w:ind w:left="220"/>
              <w:spacing w:after="0"/>
              <w:rPr>
                <w:sz w:val="20"/>
                <w:szCs w:val="20"/>
                <w:color w:val="auto"/>
              </w:rPr>
            </w:pPr>
            <w:r>
              <w:rPr>
                <w:rFonts w:ascii="Arial" w:cs="Arial" w:eastAsia="Arial" w:hAnsi="Arial"/>
                <w:sz w:val="16"/>
                <w:szCs w:val="16"/>
                <w:color w:val="auto"/>
              </w:rPr>
              <w:t>Chief Scientific Officer</w:t>
            </w:r>
          </w:p>
        </w:tc>
      </w:tr>
      <w:tr>
        <w:trPr>
          <w:trHeight w:val="203"/>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Kathryn Haviland</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Chief Operating Officer</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Ariel Hurley</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5160" w:type="dxa"/>
            <w:vAlign w:val="bottom"/>
            <w:gridSpan w:val="2"/>
          </w:tcPr>
          <w:p>
            <w:pPr>
              <w:ind w:left="220"/>
              <w:spacing w:after="0"/>
              <w:rPr>
                <w:sz w:val="20"/>
                <w:szCs w:val="20"/>
                <w:color w:val="auto"/>
              </w:rPr>
            </w:pPr>
            <w:r>
              <w:rPr>
                <w:rFonts w:ascii="Arial" w:cs="Arial" w:eastAsia="Arial" w:hAnsi="Arial"/>
                <w:sz w:val="16"/>
                <w:szCs w:val="16"/>
                <w:color w:val="auto"/>
              </w:rPr>
              <w:t>Vice President, Finance and Controller</w:t>
            </w:r>
          </w:p>
        </w:tc>
      </w:tr>
      <w:tr>
        <w:trPr>
          <w:trHeight w:val="203"/>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Landsittel</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Chief Financial Officer</w:t>
            </w: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Tracey L. McCain, Esq.</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5160" w:type="dxa"/>
            <w:vAlign w:val="bottom"/>
            <w:gridSpan w:val="2"/>
          </w:tcPr>
          <w:p>
            <w:pPr>
              <w:ind w:left="220"/>
              <w:spacing w:after="0"/>
              <w:rPr>
                <w:sz w:val="20"/>
                <w:szCs w:val="20"/>
                <w:color w:val="auto"/>
              </w:rPr>
            </w:pPr>
            <w:r>
              <w:rPr>
                <w:rFonts w:ascii="Arial" w:cs="Arial" w:eastAsia="Arial" w:hAnsi="Arial"/>
                <w:sz w:val="16"/>
                <w:szCs w:val="16"/>
                <w:color w:val="auto"/>
              </w:rPr>
              <w:t>Chief Legal and Compliance Officer</w:t>
            </w:r>
          </w:p>
        </w:tc>
      </w:tr>
      <w:tr>
        <w:trPr>
          <w:trHeight w:val="203"/>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K. Murray, Ph.D.</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Senior Vice President, Technical Operations</w:t>
            </w:r>
          </w:p>
        </w:tc>
      </w:tr>
      <w:tr>
        <w:trPr>
          <w:trHeight w:val="206"/>
        </w:trPr>
        <w:tc>
          <w:tcPr>
            <w:tcW w:w="3220" w:type="dxa"/>
            <w:vAlign w:val="bottom"/>
            <w:gridSpan w:val="2"/>
          </w:tcPr>
          <w:p>
            <w:pPr>
              <w:spacing w:after="0"/>
              <w:rPr>
                <w:sz w:val="20"/>
                <w:szCs w:val="20"/>
                <w:color w:val="auto"/>
              </w:rPr>
            </w:pPr>
            <w:r>
              <w:rPr>
                <w:rFonts w:ascii="Arial" w:cs="Arial" w:eastAsia="Arial" w:hAnsi="Arial"/>
                <w:sz w:val="16"/>
                <w:szCs w:val="16"/>
                <w:color w:val="auto"/>
              </w:rPr>
              <w:t>Christina Rossi</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5160" w:type="dxa"/>
            <w:vAlign w:val="bottom"/>
            <w:gridSpan w:val="2"/>
          </w:tcPr>
          <w:p>
            <w:pPr>
              <w:ind w:left="220"/>
              <w:spacing w:after="0"/>
              <w:rPr>
                <w:sz w:val="20"/>
                <w:szCs w:val="20"/>
                <w:color w:val="auto"/>
              </w:rPr>
            </w:pPr>
            <w:r>
              <w:rPr>
                <w:rFonts w:ascii="Arial" w:cs="Arial" w:eastAsia="Arial" w:hAnsi="Arial"/>
                <w:sz w:val="16"/>
                <w:szCs w:val="16"/>
                <w:color w:val="auto"/>
              </w:rPr>
              <w:t>Chief Commercial Officer</w:t>
            </w:r>
          </w:p>
        </w:tc>
      </w:tr>
    </w:tbl>
    <w:p>
      <w:pPr>
        <w:spacing w:after="0" w:line="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4"/>
          <w:szCs w:val="14"/>
          <w:b w:val="1"/>
          <w:bCs w:val="1"/>
          <w:i w:val="1"/>
          <w:iCs w:val="1"/>
          <w:color w:val="auto"/>
        </w:rPr>
        <w:t xml:space="preserve">Anthony L. Boral, M.D., Ph.D. </w:t>
      </w:r>
      <w:r>
        <w:rPr>
          <w:rFonts w:ascii="Arial" w:cs="Arial" w:eastAsia="Arial" w:hAnsi="Arial"/>
          <w:sz w:val="14"/>
          <w:szCs w:val="14"/>
          <w:color w:val="auto"/>
        </w:rPr>
        <w:t>has served as our chief medical officer since January 2016 and previously served as our senior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vice president, clinical development from February 2015 to December 2015. Prior to joining us, from November 2010 to February 2015, Dr. Boral worked at the Novartis Institutes for BioMedical Research, or Novartis, as executive director, oncology clinical research, serving as deputy site head for the Cambridge, Massachusetts site since 2013. At Novartis, Dr. Boral was responsible for the clinical aspects of various first-in-human compounds, including most recently ceritinib, an anaplastic lymphoma kinase inhibitor, and Novartis’ immune checkpoint inhibitor programs. Prior to Novartis, from 2002 to 2010 he worked at Millennium Pharmaceuticals, Inc., or Millennium, a biotechnology company in Cambridge, Massachusetts, which is now a wholly-owned subsidiary of Takeda Pharmaceutical Company Limited, or Takeda, including as vice president of oncology clinical research from October 2007 to October 2010. At Millennium,</w:t>
      </w:r>
    </w:p>
    <w:p>
      <w:pPr>
        <w:spacing w:after="0" w:line="4"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Dr. Boral was responsible for various aspects of the development of VELCADE®, a first-in-class cancer therapy now approved to treat multiple myeloma and non-Hodgkin’s lymphoma. Dr. Boral received a B.A. from Wesleyan University, and an M.D. and a Ph.D. from the Albert Einstein College of Medicine, in New York.</w:t>
      </w:r>
    </w:p>
    <w:p>
      <w:pPr>
        <w:spacing w:after="0" w:line="77" w:lineRule="exact"/>
        <w:rPr>
          <w:sz w:val="20"/>
          <w:szCs w:val="20"/>
          <w:color w:val="auto"/>
        </w:rPr>
      </w:pPr>
    </w:p>
    <w:p>
      <w:pPr>
        <w:ind w:firstLine="648"/>
        <w:spacing w:after="0" w:line="310" w:lineRule="auto"/>
        <w:rPr>
          <w:sz w:val="20"/>
          <w:szCs w:val="20"/>
          <w:color w:val="auto"/>
        </w:rPr>
      </w:pPr>
      <w:r>
        <w:rPr>
          <w:rFonts w:ascii="Arial" w:cs="Arial" w:eastAsia="Arial" w:hAnsi="Arial"/>
          <w:sz w:val="14"/>
          <w:szCs w:val="14"/>
          <w:b w:val="1"/>
          <w:bCs w:val="1"/>
          <w:i w:val="1"/>
          <w:iCs w:val="1"/>
          <w:color w:val="auto"/>
        </w:rPr>
        <w:t xml:space="preserve">Marion Dorsch, Ph.D. </w:t>
      </w:r>
      <w:r>
        <w:rPr>
          <w:rFonts w:ascii="Arial" w:cs="Arial" w:eastAsia="Arial" w:hAnsi="Arial"/>
          <w:sz w:val="14"/>
          <w:szCs w:val="14"/>
          <w:color w:val="auto"/>
        </w:rPr>
        <w:t>has served as our chief scientific officer since November 2016. Prior to joining us, from April 2012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November 2016, Dr. Dorsch served as Vice President of Biology at Agios Pharmaceuticals, Inc., or Agios. In this role, she was responsible for novel target validation, drug discovery, and biomarker strategy across Agios’ cancer, rare genetic diseases and immuno-oncology portfolios. During her tenure at Agios, Dr. Dorsch contributed to the successful advancement of several molecules targeting defined genetic lesions into clinical trials. Prior to joining Agios, Dr. Dorsch was the Director of Cancer Biology at Sanofi Oncology, where she oversaw drug discovery efforts. Earlier in her career, Dr. Dorsch served as research project leader for sonidegib (Odomzo®), now approved in the United States and European Union for the treatment of locally advanced basal cell carcinoma, at the Novartis Institutes for Biomedical Research and also worked in Inflammation Discovery at Millennium Pharmaceuticals, Inc. Dr. Dorsch received her Ph.D. in Tumor Immunology from the Free University of Berlin, Germany and was a postdoctoral fellow at Columbia University in New York.</w:t>
      </w:r>
    </w:p>
    <w:p>
      <w:pPr>
        <w:spacing w:after="0" w:line="60" w:lineRule="exact"/>
        <w:rPr>
          <w:sz w:val="20"/>
          <w:szCs w:val="20"/>
          <w:color w:val="auto"/>
        </w:rPr>
      </w:pPr>
    </w:p>
    <w:p>
      <w:pPr>
        <w:ind w:right="60" w:firstLine="648"/>
        <w:spacing w:after="0" w:line="268" w:lineRule="auto"/>
        <w:rPr>
          <w:sz w:val="20"/>
          <w:szCs w:val="20"/>
          <w:color w:val="auto"/>
        </w:rPr>
      </w:pPr>
      <w:r>
        <w:rPr>
          <w:rFonts w:ascii="Arial" w:cs="Arial" w:eastAsia="Arial" w:hAnsi="Arial"/>
          <w:sz w:val="16"/>
          <w:szCs w:val="16"/>
          <w:b w:val="1"/>
          <w:bCs w:val="1"/>
          <w:i w:val="1"/>
          <w:iCs w:val="1"/>
          <w:color w:val="auto"/>
        </w:rPr>
        <w:t xml:space="preserve">Kathryn Haviland </w:t>
      </w:r>
      <w:r>
        <w:rPr>
          <w:rFonts w:ascii="Arial" w:cs="Arial" w:eastAsia="Arial" w:hAnsi="Arial"/>
          <w:sz w:val="16"/>
          <w:szCs w:val="16"/>
          <w:color w:val="auto"/>
        </w:rPr>
        <w:t>has served as our chief operating officer since January 2019. Ms. Haviland previously served as our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Officer from January 2016 to January 2019. Prior to joining us, Ms. Haviland served as Vice President, Rare Diseases and Oncology Program Leadership at Idera Pharmaceuticals, Inc. from April 2014 to December 2015, as Head of Commercial Development at Sarepta Therapeutics, Inc. from June 2012 to April 2014, as Executive Director of Commercial Development at PTC Therapeutics, Inc. from April 2007 to June 2012 and held various corporate development and project management roles at Genzyme from July 2005 to April 2007. Ms. Haviland currently serves as a member of the board of directors of Fulcrum Therapeutics, a privately held biopharmaceutical company. Ms. Haviland received a B.A. from Wesleyan University with a double major in biochemistry/molecular biology and economics and an M.B.A. from Harvard Business School.</w:t>
      </w:r>
    </w:p>
    <w:p>
      <w:pPr>
        <w:spacing w:after="0" w:line="85" w:lineRule="exact"/>
        <w:rPr>
          <w:sz w:val="20"/>
          <w:szCs w:val="20"/>
          <w:color w:val="auto"/>
        </w:rPr>
      </w:pPr>
    </w:p>
    <w:p>
      <w:pPr>
        <w:ind w:right="40" w:firstLine="648"/>
        <w:spacing w:after="0" w:line="303" w:lineRule="auto"/>
        <w:rPr>
          <w:sz w:val="20"/>
          <w:szCs w:val="20"/>
          <w:color w:val="auto"/>
        </w:rPr>
      </w:pPr>
      <w:r>
        <w:rPr>
          <w:rFonts w:ascii="Arial" w:cs="Arial" w:eastAsia="Arial" w:hAnsi="Arial"/>
          <w:sz w:val="14"/>
          <w:szCs w:val="14"/>
          <w:b w:val="1"/>
          <w:bCs w:val="1"/>
          <w:i w:val="1"/>
          <w:iCs w:val="1"/>
          <w:color w:val="auto"/>
        </w:rPr>
        <w:t xml:space="preserve">Ariel Hurley </w:t>
      </w:r>
      <w:r>
        <w:rPr>
          <w:rFonts w:ascii="Arial" w:cs="Arial" w:eastAsia="Arial" w:hAnsi="Arial"/>
          <w:sz w:val="14"/>
          <w:szCs w:val="14"/>
          <w:color w:val="auto"/>
        </w:rPr>
        <w:t>has served as our vice president, finance and controller since February 2019. Ms. Hurley previously served as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Senior Director, Controller from January 2016 to December 2018 and as our Director, Controller from September 2014 to December 2015. Prior to joining us, Ms. Hurley served in various accounting and finance roles at Millennium Pharmaceuticals, Inc. (now a wholly-owned subsidiary of Takeda Pharmaceutical Company Limited) from December 2005 to September 2014. Ms. Hurley began her career at Deloitte</w:t>
      </w:r>
    </w:p>
    <w:p>
      <w:pPr>
        <w:spacing w:after="0" w:line="1" w:lineRule="exact"/>
        <w:rPr>
          <w:sz w:val="20"/>
          <w:szCs w:val="20"/>
          <w:color w:val="auto"/>
        </w:rPr>
      </w:pPr>
    </w:p>
    <w:p>
      <w:pPr>
        <w:ind w:right="200" w:firstLine="3"/>
        <w:spacing w:after="0" w:line="288" w:lineRule="auto"/>
        <w:tabs>
          <w:tab w:leader="none" w:pos="16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Touche, LLP and has over 20 years of experience in finance and accounting roles of increasing responsibility. She earned her certified public accountant license in Massachusetts. Ms. Hurley received a B.S. in accounting from Providence College.</w:t>
      </w:r>
    </w:p>
    <w:p>
      <w:pPr>
        <w:spacing w:after="0" w:line="68" w:lineRule="exact"/>
        <w:rPr>
          <w:sz w:val="20"/>
          <w:szCs w:val="20"/>
          <w:color w:val="auto"/>
        </w:rPr>
      </w:pPr>
    </w:p>
    <w:p>
      <w:pPr>
        <w:ind w:right="60" w:firstLine="648"/>
        <w:spacing w:after="0" w:line="269" w:lineRule="auto"/>
        <w:rPr>
          <w:sz w:val="20"/>
          <w:szCs w:val="20"/>
          <w:color w:val="auto"/>
        </w:rPr>
      </w:pPr>
      <w:r>
        <w:rPr>
          <w:rFonts w:ascii="Arial" w:cs="Arial" w:eastAsia="Arial" w:hAnsi="Arial"/>
          <w:sz w:val="16"/>
          <w:szCs w:val="16"/>
          <w:b w:val="1"/>
          <w:bCs w:val="1"/>
          <w:i w:val="1"/>
          <w:iCs w:val="1"/>
          <w:color w:val="auto"/>
        </w:rPr>
        <w:t xml:space="preserve">Michael Landsittel </w:t>
      </w:r>
      <w:r>
        <w:rPr>
          <w:rFonts w:ascii="Arial" w:cs="Arial" w:eastAsia="Arial" w:hAnsi="Arial"/>
          <w:sz w:val="16"/>
          <w:szCs w:val="16"/>
          <w:color w:val="auto"/>
        </w:rPr>
        <w:t>has served as our chief financial officer since January 2019. Mr. Landsittel previously served as our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finance from February 2016 to January 2019 and as our senior director, finance from September 2014 to February 2016. Prior to joining, Mr. Landsittel served as senior director, finance at Algeta from October 2012 to July 2014, as director, finance at Infinity Pharmaceuticals, Inc. from March 2012 to October 2012 and held various business development and strategic planning roles of increasing responsibility at Genzyme from August 2002 to March 2012. Mr. Landsittel began his career at Arthur Andersen LLP, and he earned his certified public accountant license in Illinois. Mr. Landsittel received a B.B.A from the University of Michigan and an M.B.A. from the Tuck School of Business at Dartmouth College.</w:t>
      </w:r>
    </w:p>
    <w:p>
      <w:pPr>
        <w:spacing w:after="0" w:line="83" w:lineRule="exact"/>
        <w:rPr>
          <w:sz w:val="20"/>
          <w:szCs w:val="20"/>
          <w:color w:val="auto"/>
        </w:rPr>
      </w:pPr>
    </w:p>
    <w:p>
      <w:pPr>
        <w:ind w:right="60" w:firstLine="648"/>
        <w:spacing w:after="0" w:line="329" w:lineRule="auto"/>
        <w:rPr>
          <w:sz w:val="20"/>
          <w:szCs w:val="20"/>
          <w:color w:val="auto"/>
        </w:rPr>
      </w:pPr>
      <w:r>
        <w:rPr>
          <w:rFonts w:ascii="Arial" w:cs="Arial" w:eastAsia="Arial" w:hAnsi="Arial"/>
          <w:sz w:val="15"/>
          <w:szCs w:val="15"/>
          <w:b w:val="1"/>
          <w:bCs w:val="1"/>
          <w:i w:val="1"/>
          <w:iCs w:val="1"/>
          <w:color w:val="auto"/>
        </w:rPr>
        <w:t xml:space="preserve">Tracey L. McCain, Esq. </w:t>
      </w:r>
      <w:r>
        <w:rPr>
          <w:rFonts w:ascii="Arial" w:cs="Arial" w:eastAsia="Arial" w:hAnsi="Arial"/>
          <w:sz w:val="15"/>
          <w:szCs w:val="15"/>
          <w:color w:val="auto"/>
        </w:rPr>
        <w:t>has served as our executive vice president and chief legal officer since September 2016 and as our chief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compliance officer since June 2017. Prior to joining us, from January 2016 to September 2016, Ms. McCain served as Senior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19" w:name="page20"/>
    <w:bookmarkEnd w:id="19"/>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right="40"/>
        <w:spacing w:after="0" w:line="313" w:lineRule="auto"/>
        <w:rPr>
          <w:sz w:val="20"/>
          <w:szCs w:val="20"/>
          <w:color w:val="auto"/>
        </w:rPr>
      </w:pPr>
      <w:r>
        <w:rPr>
          <w:rFonts w:ascii="Arial" w:cs="Arial" w:eastAsia="Arial" w:hAnsi="Arial"/>
          <w:sz w:val="14"/>
          <w:szCs w:val="14"/>
          <w:color w:val="auto"/>
        </w:rPr>
        <w:t>Vice President and Head of Legal of Sanofi Genzyme, a global business unit of Sanofi. Ms. McCain held roles of increasing responsibility after joining Genzyme Corporation, or Genzyme, in May 1997, including becoming its General Counsel after Genzyme was acquired by Sanofi in 2011. In her capacity as Senior Vice President and General Counsel of Genzyme from May 2011 to December 2015, she oversaw all aspects of its legal department in the United States and Europe, including general corporate, commercial and intellectual property matters. Prior to joining Genzyme, Ms. McCain was an associate at the law firm Palmer &amp; Dodge LLP. Ms. McCain currently serves as a member of the board of directors and audit committee of Kiniksa Pharmaceuticals, Ltd. Ms. McCain holds a B.A. from the University of Pennsylvania with a major in political science and a J.D. from Columbia University School of Law.</w:t>
      </w:r>
    </w:p>
    <w:p>
      <w:pPr>
        <w:spacing w:after="0" w:line="56" w:lineRule="exact"/>
        <w:rPr>
          <w:sz w:val="20"/>
          <w:szCs w:val="20"/>
          <w:color w:val="auto"/>
        </w:rPr>
      </w:pPr>
    </w:p>
    <w:p>
      <w:pPr>
        <w:ind w:right="20" w:firstLine="648"/>
        <w:spacing w:after="0" w:line="311" w:lineRule="auto"/>
        <w:rPr>
          <w:sz w:val="20"/>
          <w:szCs w:val="20"/>
          <w:color w:val="auto"/>
        </w:rPr>
      </w:pPr>
      <w:r>
        <w:rPr>
          <w:rFonts w:ascii="Arial" w:cs="Arial" w:eastAsia="Arial" w:hAnsi="Arial"/>
          <w:sz w:val="14"/>
          <w:szCs w:val="14"/>
          <w:b w:val="1"/>
          <w:bCs w:val="1"/>
          <w:i w:val="1"/>
          <w:iCs w:val="1"/>
          <w:color w:val="auto"/>
        </w:rPr>
        <w:t xml:space="preserve">Christopher K. Murray, Ph.D. </w:t>
      </w:r>
      <w:r>
        <w:rPr>
          <w:rFonts w:ascii="Arial" w:cs="Arial" w:eastAsia="Arial" w:hAnsi="Arial"/>
          <w:sz w:val="14"/>
          <w:szCs w:val="14"/>
          <w:color w:val="auto"/>
        </w:rPr>
        <w:t>has served as our senior vice president, technical operations since October 2017. Prior to joining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us, from January 2014 to May 2017, Dr. Murray served as vice president, technical operations at ARIAD Pharmaceuticals, Inc., or ARIAD. In this role, Dr. Murray oversaw all aspects of commercial and clinical manufacturing, supply chain and logistics, process development, quality control and analytical chemistry for ARIAD’s approved products and product candidates, including Iclusig® (ponatinib) and Alunbrig® (brigatinib). From 2004 to December 2013, Dr. Murray held multiple roles of increasing responsibility at ARIAD related to process development, manufacturing and clinical supply. Prior to joining ARIAD, Dr. Murray served in various positions with Allos Therapeutics, Inc. and Hauser Inc. related to clinical and commercial manufacturing and supply of active pharmaceutical ingredient. Dr. Murray holds a B.S. from Hope College with a major in chemistry and a Ph.D. in chemistry from the University of Chicago.</w:t>
      </w:r>
    </w:p>
    <w:p>
      <w:pPr>
        <w:spacing w:after="0" w:line="60" w:lineRule="exact"/>
        <w:rPr>
          <w:sz w:val="20"/>
          <w:szCs w:val="20"/>
          <w:color w:val="auto"/>
        </w:rPr>
      </w:pPr>
    </w:p>
    <w:p>
      <w:pPr>
        <w:ind w:firstLine="648"/>
        <w:spacing w:after="0" w:line="287" w:lineRule="auto"/>
        <w:rPr>
          <w:sz w:val="20"/>
          <w:szCs w:val="20"/>
          <w:color w:val="auto"/>
        </w:rPr>
      </w:pPr>
      <w:r>
        <w:rPr>
          <w:rFonts w:ascii="Arial" w:cs="Arial" w:eastAsia="Arial" w:hAnsi="Arial"/>
          <w:sz w:val="15"/>
          <w:szCs w:val="15"/>
          <w:b w:val="1"/>
          <w:bCs w:val="1"/>
          <w:i w:val="1"/>
          <w:iCs w:val="1"/>
          <w:color w:val="auto"/>
        </w:rPr>
        <w:t xml:space="preserve">Christina Rossi </w:t>
      </w:r>
      <w:r>
        <w:rPr>
          <w:rFonts w:ascii="Arial" w:cs="Arial" w:eastAsia="Arial" w:hAnsi="Arial"/>
          <w:sz w:val="15"/>
          <w:szCs w:val="15"/>
          <w:color w:val="auto"/>
        </w:rPr>
        <w:t>has served as our chief commercial officer since October 2018. Prior to joining us, from January 2015 to October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2018, Ms. Rossi served as the Multiple Sclerosis Business Unit Head, North America, at Sanofi Genzyme. In this role, she was responsible for all aspects of the financial performance of Sanofi Genzyme’s multiple sclerosis franchise and increased market share for existing products, led the launch of new therapies and optimized operations to accelerate patient access. Previously, Ms. Rossi served as Vice President, Multiple Sclerosis Sales at Sanofi Genzyme form May 2014 to December 2015 and Vice President, Multiple Sclerosis Patient and Provider Services at Sanofi Genzyme from June 2012 to May 2014. Prior to joining Sanofi Genzyme, Ms. Rossi served in various roles at Biogen, Inc., including Head, Commercial Strategy for Eidetica Biopharma GmbH, Biogen’s biosimilar-focused venture, and U.S. Brand Leader for TYSABRI® (natalizumab). In addition, Ms. Rossi consulted in the healthcare practice at the Boston Consulting Group. Ms. Rossi holds a B.S. in biology, cum laude, from Duke University and an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20" w:name="page21"/>
    <w:bookmarkEnd w:id="20"/>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1" w:lineRule="exact"/>
        <w:rPr>
          <w:sz w:val="20"/>
          <w:szCs w:val="20"/>
          <w:color w:val="auto"/>
        </w:rPr>
      </w:pPr>
    </w:p>
    <w:p>
      <w:pPr>
        <w:ind w:right="99" w:firstLine="648"/>
        <w:spacing w:after="0" w:line="313" w:lineRule="auto"/>
        <w:rPr>
          <w:sz w:val="20"/>
          <w:szCs w:val="20"/>
          <w:color w:val="auto"/>
        </w:rPr>
      </w:pPr>
      <w:r>
        <w:rPr>
          <w:rFonts w:ascii="Arial" w:cs="Arial" w:eastAsia="Arial" w:hAnsi="Arial"/>
          <w:sz w:val="14"/>
          <w:szCs w:val="14"/>
          <w:color w:val="auto"/>
        </w:rPr>
        <w:t>Our compensation committee is responsible for reviewing and approving, or recommending for approval by the board of directors, the compensation of our named executive officers, including base salary, cash and equity incentive compensation levels, severance arrangements, change-in-control benefits and other forms of executive compensation. This committee is also responsible for evaluating our company’s performance against its goals and making related recommendations to our board of directors, assessing the performance of our named executive officers, and ensuring our compensation program is aligned with the objectives described below and competitive with those of other companies in our industry that compete with us for talent. This section discusses the principles underlying our compensation committee’s policies and decisions with respect to the compensation of our named executive officers.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2018, our named executive officers were as follows:</w:t>
      </w:r>
    </w:p>
    <w:p>
      <w:pPr>
        <w:spacing w:after="0" w:line="127" w:lineRule="exact"/>
        <w:rPr>
          <w:sz w:val="20"/>
          <w:szCs w:val="20"/>
          <w:color w:val="auto"/>
        </w:rPr>
      </w:pPr>
    </w:p>
    <w:p>
      <w:pPr>
        <w:ind w:left="1300" w:hanging="325"/>
        <w:spacing w:after="0"/>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Jeffrey W. Albers, our president and chief executive officer;</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Michael Landsittel, our chief financial officer;</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Anthony L. Boral, M.D., Ph.D., our chief medical officer;</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Tracey L. McCain, Esq., our chief legal and compliance officer; and</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Christina Rossi, our chief commercial officer.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Summary</w:t>
      </w:r>
    </w:p>
    <w:p>
      <w:pPr>
        <w:spacing w:after="0" w:line="127" w:lineRule="exact"/>
        <w:rPr>
          <w:sz w:val="20"/>
          <w:szCs w:val="20"/>
          <w:color w:val="auto"/>
        </w:rPr>
      </w:pPr>
    </w:p>
    <w:p>
      <w:pPr>
        <w:ind w:right="39" w:firstLine="648"/>
        <w:spacing w:after="0" w:line="288" w:lineRule="auto"/>
        <w:rPr>
          <w:sz w:val="20"/>
          <w:szCs w:val="20"/>
          <w:color w:val="auto"/>
        </w:rPr>
      </w:pPr>
      <w:r>
        <w:rPr>
          <w:rFonts w:ascii="Arial" w:cs="Arial" w:eastAsia="Arial" w:hAnsi="Arial"/>
          <w:sz w:val="15"/>
          <w:szCs w:val="15"/>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 In 2018, we moved closer to realizing our vision of delivering a new generation of kinase medicines to patients with genomically defined diseases and achieved a number of significant goals, including the following:</w:t>
      </w:r>
    </w:p>
    <w:p>
      <w:pPr>
        <w:spacing w:after="0" w:line="73" w:lineRule="exact"/>
        <w:rPr>
          <w:sz w:val="20"/>
          <w:szCs w:val="20"/>
          <w:color w:val="auto"/>
        </w:rPr>
      </w:pPr>
    </w:p>
    <w:p>
      <w:pPr>
        <w:ind w:left="1300" w:right="519" w:hanging="325"/>
        <w:spacing w:after="0" w:line="293"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initiated our global, randomized Phase 3 VOYAGER trial comparing avapritinib to regorafenib in third-line gastrointestinal stromal tumors, or GIST.</w:t>
      </w:r>
    </w:p>
    <w:p>
      <w:pPr>
        <w:spacing w:after="0" w:line="63" w:lineRule="exact"/>
        <w:rPr>
          <w:rFonts w:ascii="Arial" w:cs="Arial" w:eastAsia="Arial" w:hAnsi="Arial"/>
          <w:sz w:val="16"/>
          <w:szCs w:val="16"/>
          <w:color w:val="auto"/>
        </w:rPr>
      </w:pPr>
    </w:p>
    <w:p>
      <w:pPr>
        <w:jc w:val="both"/>
        <w:ind w:left="1300" w:right="219" w:hanging="325"/>
        <w:spacing w:after="0" w:line="278"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November 2018, we reported updated data from the ongoing Phase 1 NAVIGATOR trial in advanced GIST at the Connective Tissue Oncology Society Annual Meeting, and we announced plans to initiate a Phase 3 COMPASS-2L precision medicine trial in second-line GIST in the second half of 2019.</w:t>
      </w:r>
    </w:p>
    <w:p>
      <w:pPr>
        <w:spacing w:after="0" w:line="76" w:lineRule="exact"/>
        <w:rPr>
          <w:rFonts w:ascii="Arial" w:cs="Arial" w:eastAsia="Arial" w:hAnsi="Arial"/>
          <w:sz w:val="16"/>
          <w:szCs w:val="16"/>
          <w:color w:val="auto"/>
        </w:rPr>
      </w:pPr>
    </w:p>
    <w:p>
      <w:pPr>
        <w:ind w:left="1300" w:right="339" w:hanging="325"/>
        <w:spacing w:after="0" w:line="329" w:lineRule="auto"/>
        <w:tabs>
          <w:tab w:leader="none" w:pos="13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December 2018, we locked the registration database for our planned new drug application, or NDA, to the U.S. Food and Drug Administration, or FDA, for PDGFRA Exon 18 mutant GIST and fourth-line GIST.</w:t>
      </w:r>
    </w:p>
    <w:p>
      <w:pPr>
        <w:spacing w:after="0" w:line="40" w:lineRule="exact"/>
        <w:rPr>
          <w:rFonts w:ascii="Arial" w:cs="Arial" w:eastAsia="Arial" w:hAnsi="Arial"/>
          <w:sz w:val="15"/>
          <w:szCs w:val="15"/>
          <w:color w:val="auto"/>
        </w:rPr>
      </w:pPr>
    </w:p>
    <w:p>
      <w:pPr>
        <w:ind w:left="1300" w:right="99" w:hanging="325"/>
        <w:spacing w:after="0" w:line="293"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initiated our registration enabling Phase 2 PATHFINDER trial in advanced systemic mastocytosis, or SM, and our ongoing registration enabling Phase 2 PIONEER trial in indolent and smoldering SM.</w:t>
      </w:r>
    </w:p>
    <w:p>
      <w:pPr>
        <w:spacing w:after="0" w:line="63" w:lineRule="exact"/>
        <w:rPr>
          <w:rFonts w:ascii="Arial" w:cs="Arial" w:eastAsia="Arial" w:hAnsi="Arial"/>
          <w:sz w:val="16"/>
          <w:szCs w:val="16"/>
          <w:color w:val="auto"/>
        </w:rPr>
      </w:pPr>
    </w:p>
    <w:p>
      <w:pPr>
        <w:ind w:left="1300" w:right="439" w:hanging="325"/>
        <w:spacing w:after="0" w:line="313"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December 2018, we reported updated data from the ongoing Phase 1 EXPLORER trial in advanced SM at the 60</w:t>
      </w:r>
      <w:r>
        <w:rPr>
          <w:rFonts w:ascii="Arial" w:cs="Arial" w:eastAsia="Arial" w:hAnsi="Arial"/>
          <w:sz w:val="17"/>
          <w:szCs w:val="17"/>
          <w:color w:val="auto"/>
          <w:vertAlign w:val="superscript"/>
        </w:rPr>
        <w:t>th</w:t>
      </w:r>
      <w:r>
        <w:rPr>
          <w:rFonts w:ascii="Arial" w:cs="Arial" w:eastAsia="Arial" w:hAnsi="Arial"/>
          <w:sz w:val="16"/>
          <w:szCs w:val="16"/>
          <w:color w:val="auto"/>
        </w:rPr>
        <w:t xml:space="preserve"> American Society of Hematology Annual Meeting and Exposition.</w:t>
      </w:r>
    </w:p>
    <w:p>
      <w:pPr>
        <w:spacing w:after="0" w:line="18" w:lineRule="exact"/>
        <w:rPr>
          <w:rFonts w:ascii="Arial" w:cs="Arial" w:eastAsia="Arial" w:hAnsi="Arial"/>
          <w:sz w:val="16"/>
          <w:szCs w:val="16"/>
          <w:color w:val="auto"/>
        </w:rPr>
      </w:pPr>
    </w:p>
    <w:p>
      <w:pPr>
        <w:ind w:left="1300" w:right="39" w:hanging="325"/>
        <w:spacing w:after="0" w:line="273"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FDA granted breakthrough therapy designation to avapritinib for the treatment of advanced SM, including the subtypes of aggressive SM, SM with an associated hematologic neoplasm and mast cell leukemia, and to BLU-667 for the treatment of patients with RET mutation-positive medullary thyroid cancer, or MTC, that requires systemic treatment and for which there are no acceptable alternative treatments.</w:t>
      </w:r>
    </w:p>
    <w:p>
      <w:pPr>
        <w:spacing w:after="0" w:line="81" w:lineRule="exact"/>
        <w:rPr>
          <w:rFonts w:ascii="Arial" w:cs="Arial" w:eastAsia="Arial" w:hAnsi="Arial"/>
          <w:sz w:val="16"/>
          <w:szCs w:val="16"/>
          <w:color w:val="auto"/>
        </w:rPr>
      </w:pPr>
    </w:p>
    <w:p>
      <w:pPr>
        <w:ind w:left="1300" w:right="139" w:hanging="325"/>
        <w:spacing w:after="0" w:line="305" w:lineRule="auto"/>
        <w:tabs>
          <w:tab w:leader="none" w:pos="13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April 2018, we presented initial data from the ongoing Phase 1 ARROW trial in RET-altered non-small cell lung cancer, or NSCLC, MTC and other advanced solid tumors at the American Association for Cancer Research, and in October 2018, we presented updated data from the ongoing Phase 1 ARROW trial in RET-altered MTC and papillary thyroid cancer at the 88</w:t>
      </w:r>
      <w:r>
        <w:rPr>
          <w:rFonts w:ascii="Arial" w:cs="Arial" w:eastAsia="Arial" w:hAnsi="Arial"/>
          <w:sz w:val="16"/>
          <w:szCs w:val="16"/>
          <w:color w:val="auto"/>
          <w:vertAlign w:val="superscript"/>
        </w:rPr>
        <w:t>th</w:t>
      </w:r>
      <w:r>
        <w:rPr>
          <w:rFonts w:ascii="Arial" w:cs="Arial" w:eastAsia="Arial" w:hAnsi="Arial"/>
          <w:sz w:val="15"/>
          <w:szCs w:val="15"/>
          <w:color w:val="auto"/>
        </w:rPr>
        <w:t xml:space="preserve"> Annual Meeting of the American Thyroid Association.</w:t>
      </w:r>
    </w:p>
    <w:p>
      <w:pPr>
        <w:spacing w:after="0" w:line="26" w:lineRule="exact"/>
        <w:rPr>
          <w:rFonts w:ascii="Arial" w:cs="Arial" w:eastAsia="Arial" w:hAnsi="Arial"/>
          <w:sz w:val="15"/>
          <w:szCs w:val="15"/>
          <w:color w:val="auto"/>
        </w:rPr>
      </w:pPr>
    </w:p>
    <w:p>
      <w:pPr>
        <w:ind w:left="1300" w:right="119" w:hanging="325"/>
        <w:spacing w:after="0" w:line="278"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announced plans to initiate a Phase 3 clinical trial evaluating BLU-667 in first-line RET-fusion NSCLC and plans to initiate a Phase 2 clinical trial evaluating BLU-667 in combination with osimertinib in treatment-resistant, EGFR-mutant NSCLC harboring an acquired RET alteration in the second half of 2019.</w:t>
      </w:r>
    </w:p>
    <w:p>
      <w:pPr>
        <w:spacing w:after="0" w:line="76" w:lineRule="exact"/>
        <w:rPr>
          <w:rFonts w:ascii="Arial" w:cs="Arial" w:eastAsia="Arial" w:hAnsi="Arial"/>
          <w:sz w:val="16"/>
          <w:szCs w:val="16"/>
          <w:color w:val="auto"/>
        </w:rPr>
      </w:pPr>
    </w:p>
    <w:p>
      <w:pPr>
        <w:jc w:val="both"/>
        <w:ind w:left="1300" w:right="39" w:hanging="325"/>
        <w:spacing w:after="0" w:line="316" w:lineRule="auto"/>
        <w:tabs>
          <w:tab w:leader="none" w:pos="13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September 2018, we presented two clinical cases demonstrating proof-of-concept for BLU-667 in combination with osimertinib (Tagrisso®) in treatment-resistant, EGFR-mutant NSCLC at the International Association for the Study of Lung Cancer 19</w:t>
      </w:r>
      <w:r>
        <w:rPr>
          <w:rFonts w:ascii="Arial" w:cs="Arial" w:eastAsia="Arial" w:hAnsi="Arial"/>
          <w:sz w:val="16"/>
          <w:szCs w:val="16"/>
          <w:color w:val="auto"/>
          <w:vertAlign w:val="superscript"/>
        </w:rPr>
        <w:t>th</w:t>
      </w:r>
      <w:r>
        <w:rPr>
          <w:rFonts w:ascii="Arial" w:cs="Arial" w:eastAsia="Arial" w:hAnsi="Arial"/>
          <w:sz w:val="15"/>
          <w:szCs w:val="15"/>
          <w:color w:val="auto"/>
        </w:rPr>
        <w:t xml:space="preserve"> World Conference on Lung Cancer and published online in </w:t>
      </w:r>
      <w:r>
        <w:rPr>
          <w:rFonts w:ascii="Arial" w:cs="Arial" w:eastAsia="Arial" w:hAnsi="Arial"/>
          <w:sz w:val="15"/>
          <w:szCs w:val="15"/>
          <w:i w:val="1"/>
          <w:iCs w:val="1"/>
          <w:color w:val="auto"/>
        </w:rPr>
        <w:t>Cancer Discovery</w:t>
      </w:r>
      <w:r>
        <w:rPr>
          <w:rFonts w:ascii="Arial" w:cs="Arial" w:eastAsia="Arial" w:hAnsi="Arial"/>
          <w:sz w:val="15"/>
          <w:szCs w:val="15"/>
          <w:color w:val="auto"/>
        </w:rPr>
        <w:t>.</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0" w:right="1440" w:bottom="1440" w:gutter="0" w:footer="0" w:header="0"/>
        </w:sectPr>
      </w:pPr>
    </w:p>
    <w:bookmarkStart w:id="21" w:name="page22"/>
    <w:bookmarkEnd w:id="21"/>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1300" w:hanging="325"/>
        <w:spacing w:after="0" w:line="293"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FDA approved our investigational new draft application for BLU-782 for the treatment of fibrodysplasia ossificans progressiva, or FOP, and granted fast track designation to BLU-782 for the treatment of FOP.</w:t>
      </w:r>
    </w:p>
    <w:p>
      <w:pPr>
        <w:spacing w:after="0" w:line="63" w:lineRule="exact"/>
        <w:rPr>
          <w:rFonts w:ascii="Arial" w:cs="Arial" w:eastAsia="Arial" w:hAnsi="Arial"/>
          <w:sz w:val="16"/>
          <w:szCs w:val="16"/>
          <w:color w:val="auto"/>
        </w:rPr>
      </w:pPr>
    </w:p>
    <w:p>
      <w:pPr>
        <w:ind w:left="1300" w:right="200" w:hanging="325"/>
        <w:spacing w:after="0" w:line="293"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October 2018, we presented foundational pre-clinical data for our FOP program at the 2018 American Society for Bone and Mineral Research Annual Meeting.</w:t>
      </w:r>
    </w:p>
    <w:p>
      <w:pPr>
        <w:spacing w:after="0" w:line="63" w:lineRule="exact"/>
        <w:rPr>
          <w:rFonts w:ascii="Arial" w:cs="Arial" w:eastAsia="Arial" w:hAnsi="Arial"/>
          <w:sz w:val="16"/>
          <w:szCs w:val="16"/>
          <w:color w:val="auto"/>
        </w:rPr>
      </w:pPr>
    </w:p>
    <w:p>
      <w:pPr>
        <w:ind w:left="1300" w:right="40" w:hanging="325"/>
        <w:spacing w:after="0" w:line="271"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June 2018, we entered into a collaboration and license agreement with CStone Pharmaceuticals to develop and commercialize avapritinib, BLU-554 and BLU-667 in Mainland China, Hong Kong, Macau and Taiwan. In the second half of 2018, the China National Medicinal Products Administration approved an IND application for our ongoing Phase 1 trial of BLU-554 in advanced hepatocellular carcinoma and an IND application for the ongoing Phase 3 VOYAGER trial comparing avapritinib to regorafenib in third-line GIST.</w:t>
      </w:r>
    </w:p>
    <w:p>
      <w:pPr>
        <w:spacing w:after="0" w:line="82" w:lineRule="exact"/>
        <w:rPr>
          <w:rFonts w:ascii="Arial" w:cs="Arial" w:eastAsia="Arial" w:hAnsi="Arial"/>
          <w:sz w:val="16"/>
          <w:szCs w:val="16"/>
          <w:color w:val="auto"/>
        </w:rPr>
      </w:pPr>
    </w:p>
    <w:p>
      <w:pPr>
        <w:ind w:left="1300" w:right="260" w:hanging="325"/>
        <w:spacing w:after="0" w:line="278"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continued to prepare for potential commercialization of our drug candidates, including the expansion of our leadership team with the appointments of Christina Rossi as chief commercial officer and Paul Beresford as general manager, international.</w:t>
      </w:r>
    </w:p>
    <w:p>
      <w:pPr>
        <w:spacing w:after="0" w:line="76" w:lineRule="exact"/>
        <w:rPr>
          <w:rFonts w:ascii="Arial" w:cs="Arial" w:eastAsia="Arial" w:hAnsi="Arial"/>
          <w:sz w:val="16"/>
          <w:szCs w:val="16"/>
          <w:color w:val="auto"/>
        </w:rPr>
      </w:pPr>
    </w:p>
    <w:p>
      <w:pPr>
        <w:ind w:left="1300" w:hanging="325"/>
        <w:spacing w:after="0"/>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nominated two discovery programs for undisclosed kinase targets.</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ended 2018 with cash, cash equivalents and investments of $494.0 million.</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maintained a high employee engagement rate and a turnover rate that was significantly below the industry average.</w:t>
      </w:r>
    </w:p>
    <w:p>
      <w:pPr>
        <w:spacing w:after="0" w:line="150" w:lineRule="exact"/>
        <w:rPr>
          <w:sz w:val="20"/>
          <w:szCs w:val="20"/>
          <w:color w:val="auto"/>
        </w:rPr>
      </w:pPr>
    </w:p>
    <w:p>
      <w:pPr>
        <w:jc w:val="both"/>
        <w:ind w:right="100" w:firstLine="648"/>
        <w:spacing w:after="0" w:line="335" w:lineRule="auto"/>
        <w:rPr>
          <w:sz w:val="20"/>
          <w:szCs w:val="20"/>
          <w:color w:val="auto"/>
        </w:rPr>
      </w:pPr>
      <w:r>
        <w:rPr>
          <w:rFonts w:ascii="Arial" w:cs="Arial" w:eastAsia="Arial" w:hAnsi="Arial"/>
          <w:sz w:val="14"/>
          <w:szCs w:val="14"/>
          <w:color w:val="auto"/>
        </w:rPr>
        <w:t>As described in more detail below, based on the recommendation of our chief executive officer and the significant advances that we made on our 2018 corporate performance goals (including the overachievement on some goals balanced against the underachievement of others), our compensation committee determined that we achieved our 2018 corporate performance goals at 104.0%.</w:t>
      </w:r>
    </w:p>
    <w:p>
      <w:pPr>
        <w:spacing w:after="0" w:line="42" w:lineRule="exact"/>
        <w:rPr>
          <w:sz w:val="20"/>
          <w:szCs w:val="20"/>
          <w:color w:val="auto"/>
        </w:rPr>
      </w:pPr>
    </w:p>
    <w:p>
      <w:pPr>
        <w:ind w:right="20" w:firstLine="648"/>
        <w:spacing w:after="0" w:line="305" w:lineRule="auto"/>
        <w:rPr>
          <w:sz w:val="20"/>
          <w:szCs w:val="20"/>
          <w:color w:val="auto"/>
        </w:rPr>
      </w:pPr>
      <w:r>
        <w:rPr>
          <w:rFonts w:ascii="Arial" w:cs="Arial" w:eastAsia="Arial" w:hAnsi="Arial"/>
          <w:sz w:val="15"/>
          <w:szCs w:val="15"/>
          <w:color w:val="auto"/>
        </w:rPr>
        <w:t>Our compensation committee seeks to ensure that our compensation program is aligned with the interests of our stockholders and our business goals and that the total compensation paid to each of our named executive officers is fair, reasonable and competitive. As described in more detail below, key elements of our compensation program include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Compensation</w:t>
            </w:r>
          </w:p>
        </w:tc>
        <w:tc>
          <w:tcPr>
            <w:tcW w:w="336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Purpose</w:t>
            </w:r>
          </w:p>
        </w:tc>
        <w:tc>
          <w:tcPr>
            <w:tcW w:w="318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Features</w:t>
            </w:r>
          </w:p>
        </w:tc>
        <w:tc>
          <w:tcPr>
            <w:tcW w:w="0" w:type="dxa"/>
            <w:vAlign w:val="bottom"/>
          </w:tcPr>
          <w:p>
            <w:pPr>
              <w:spacing w:after="0"/>
              <w:rPr>
                <w:sz w:val="1"/>
                <w:szCs w:val="1"/>
                <w:color w:val="auto"/>
              </w:rPr>
            </w:pPr>
          </w:p>
        </w:tc>
      </w:tr>
      <w:tr>
        <w:trPr>
          <w:trHeight w:val="171"/>
        </w:trPr>
        <w:tc>
          <w:tcPr>
            <w:tcW w:w="2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Element</w:t>
            </w:r>
          </w:p>
        </w:tc>
        <w:tc>
          <w:tcPr>
            <w:tcW w:w="3360" w:type="dxa"/>
            <w:vAlign w:val="bottom"/>
            <w:gridSpan w:val="2"/>
            <w:vMerge w:val="continue"/>
          </w:tcPr>
          <w:p>
            <w:pPr>
              <w:spacing w:after="0"/>
              <w:rPr>
                <w:sz w:val="14"/>
                <w:szCs w:val="14"/>
                <w:color w:val="auto"/>
              </w:rPr>
            </w:pPr>
          </w:p>
        </w:tc>
        <w:tc>
          <w:tcPr>
            <w:tcW w:w="3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b w:val="1"/>
                <w:bCs w:val="1"/>
                <w:i w:val="1"/>
                <w:iCs w:val="1"/>
                <w:color w:val="auto"/>
                <w:w w:val="87"/>
              </w:rPr>
              <w:t>Base salary</w:t>
            </w: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To attract, motivate and retain superior executive</w:t>
            </w: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Fixed component of pay to provide financial</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talent.</w:t>
            </w: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w w:val="96"/>
              </w:rPr>
              <w:t>stability, based on responsibilities, experience,</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w w:val="93"/>
              </w:rPr>
              <w:t>individual contributions and peer company data.</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b w:val="1"/>
                <w:bCs w:val="1"/>
                <w:i w:val="1"/>
                <w:iCs w:val="1"/>
                <w:color w:val="auto"/>
                <w:w w:val="90"/>
              </w:rPr>
              <w:t>Annual performance-</w:t>
            </w: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 provide incentives that motivate and reward</w:t>
            </w: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Variable component of pay based on annual</w:t>
            </w: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i w:val="1"/>
                <w:iCs w:val="1"/>
                <w:color w:val="auto"/>
                <w:w w:val="85"/>
              </w:rPr>
              <w:t>based cash incentive</w:t>
            </w: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achievement of performance goals that</w:t>
            </w: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quantitative and qualitative achievement of</w:t>
            </w: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b w:val="1"/>
                <w:bCs w:val="1"/>
                <w:i w:val="1"/>
                <w:iCs w:val="1"/>
                <w:color w:val="auto"/>
                <w:w w:val="86"/>
              </w:rPr>
              <w:t>compensation</w:t>
            </w: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directly correlate to the enhancement of</w:t>
            </w: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w w:val="93"/>
              </w:rPr>
              <w:t>corporate performance goals and, in the case of</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 value, as well as to facilitate</w:t>
            </w: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w w:val="93"/>
              </w:rPr>
              <w:t>executive officers other than our chief executive</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executive retention.</w:t>
            </w: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officer, the achievement of individual</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performance goals.</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i w:val="1"/>
                <w:iCs w:val="1"/>
                <w:color w:val="auto"/>
                <w:w w:val="89"/>
              </w:rPr>
              <w:t>Equity incentive</w:t>
            </w: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 align executives’ interests with those of</w:t>
            </w: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w w:val="99"/>
              </w:rPr>
              <w:t>Long-term compensation in the form of stock</w:t>
            </w: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b w:val="1"/>
                <w:bCs w:val="1"/>
                <w:i w:val="1"/>
                <w:iCs w:val="1"/>
                <w:color w:val="auto"/>
                <w:w w:val="86"/>
              </w:rPr>
              <w:t>compensation</w:t>
            </w: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stockholders through long-term incentives linked</w:t>
            </w: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options and restricted stock units, which</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 the achievement of specific performance,</w:t>
            </w: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w w:val="91"/>
              </w:rPr>
              <w:t>incentives employee retention and seeks to align</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which we believe serves to enhance short- and</w:t>
            </w: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executive and stockholder interests.</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value creation for our stockholders.</w:t>
            </w: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23"/>
        </w:trPr>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Pr>
          <w:p>
            <w:pPr>
              <w:ind w:left="1880"/>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30" w:right="1419" w:bottom="1440" w:gutter="0" w:footer="0" w:header="0"/>
        </w:sectPr>
      </w:pPr>
    </w:p>
    <w:bookmarkStart w:id="22" w:name="page23"/>
    <w:bookmarkEnd w:id="22"/>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ind w:right="60" w:firstLine="648"/>
        <w:spacing w:after="0" w:line="278" w:lineRule="auto"/>
        <w:rPr>
          <w:sz w:val="20"/>
          <w:szCs w:val="20"/>
          <w:color w:val="auto"/>
        </w:rPr>
      </w:pPr>
      <w:r>
        <w:rPr>
          <w:rFonts w:ascii="Arial" w:cs="Arial" w:eastAsia="Arial" w:hAnsi="Arial"/>
          <w:sz w:val="16"/>
          <w:szCs w:val="16"/>
          <w:color w:val="auto"/>
        </w:rPr>
        <w:t>In addition to our direct compensation elements, the following features of our compensation program are designed to align with stockholder interests and market best practices while being able to achieve our stated objectives and philosophy and support our ambitious business goals:</w:t>
      </w:r>
    </w:p>
    <w:p>
      <w:pPr>
        <w:spacing w:after="0" w:line="77" w:lineRule="exact"/>
        <w:rPr>
          <w:sz w:val="20"/>
          <w:szCs w:val="20"/>
          <w:color w:val="auto"/>
        </w:rPr>
      </w:pPr>
    </w:p>
    <w:p>
      <w:pPr>
        <w:ind w:left="1840"/>
        <w:spacing w:after="0"/>
        <w:tabs>
          <w:tab w:leader="none" w:pos="6240" w:val="left"/>
        </w:tabs>
        <w:rPr>
          <w:sz w:val="20"/>
          <w:szCs w:val="20"/>
          <w:color w:val="auto"/>
        </w:rPr>
      </w:pPr>
      <w:r>
        <w:rPr>
          <w:rFonts w:ascii="Arial" w:cs="Arial" w:eastAsia="Arial" w:hAnsi="Arial"/>
          <w:sz w:val="14"/>
          <w:szCs w:val="14"/>
          <w:b w:val="1"/>
          <w:bCs w:val="1"/>
          <w:color w:val="auto"/>
        </w:rPr>
        <w:t>What We Do</w:t>
      </w:r>
      <w:r>
        <w:rPr>
          <w:sz w:val="20"/>
          <w:szCs w:val="20"/>
          <w:color w:val="auto"/>
        </w:rPr>
        <w:tab/>
      </w:r>
      <w:r>
        <w:rPr>
          <w:rFonts w:ascii="Arial" w:cs="Arial" w:eastAsia="Arial" w:hAnsi="Arial"/>
          <w:sz w:val="13"/>
          <w:szCs w:val="13"/>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7543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ectPr>
          <w:pgSz w:w="11900" w:h="16838" w:orient="portrait"/>
          <w:cols w:equalWidth="0" w:num="1">
            <w:col w:w="9040"/>
          </w:cols>
          <w:pgMar w:left="1420" w:top="130" w:right="1439" w:bottom="1440" w:gutter="0" w:footer="0" w:header="0"/>
        </w:sectPr>
      </w:pPr>
    </w:p>
    <w:p>
      <w:pPr>
        <w:spacing w:after="0" w:line="217" w:lineRule="exact"/>
        <w:rPr>
          <w:sz w:val="20"/>
          <w:szCs w:val="20"/>
          <w:color w:val="auto"/>
        </w:rPr>
      </w:pPr>
    </w:p>
    <w:p>
      <w:pPr>
        <w:ind w:firstLine="3"/>
        <w:spacing w:after="0" w:line="293" w:lineRule="auto"/>
        <w:tabs>
          <w:tab w:leader="none" w:pos="189" w:val="left"/>
        </w:tabs>
        <w:numPr>
          <w:ilvl w:val="0"/>
          <w:numId w:val="51"/>
        </w:numPr>
        <w:rPr>
          <w:rFonts w:ascii="MS PGothic" w:cs="MS PGothic" w:eastAsia="MS PGothic" w:hAnsi="MS PGothic"/>
          <w:sz w:val="16"/>
          <w:szCs w:val="16"/>
          <w:color w:val="auto"/>
        </w:rPr>
      </w:pPr>
      <w:r>
        <w:rPr>
          <w:rFonts w:ascii="Arial" w:cs="Arial" w:eastAsia="Arial" w:hAnsi="Arial"/>
          <w:sz w:val="16"/>
          <w:szCs w:val="16"/>
          <w:color w:val="auto"/>
        </w:rPr>
        <w:t>Maintain an industry-specific peer group for benchmarking compensation</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5" w:right="200" w:hanging="5"/>
        <w:spacing w:after="0" w:line="293" w:lineRule="auto"/>
        <w:tabs>
          <w:tab w:leader="none" w:pos="194" w:val="left"/>
        </w:tabs>
        <w:numPr>
          <w:ilvl w:val="0"/>
          <w:numId w:val="52"/>
        </w:numPr>
        <w:rPr>
          <w:rFonts w:ascii="MS PGothic" w:cs="MS PGothic" w:eastAsia="MS PGothic" w:hAnsi="MS PGothic"/>
          <w:sz w:val="16"/>
          <w:szCs w:val="16"/>
          <w:color w:val="auto"/>
        </w:rPr>
      </w:pPr>
      <w:r>
        <w:rPr>
          <w:rFonts w:ascii="Arial" w:cs="Arial" w:eastAsia="Arial" w:hAnsi="Arial"/>
          <w:sz w:val="16"/>
          <w:szCs w:val="16"/>
          <w:color w:val="auto"/>
        </w:rPr>
        <w:t>Allow hedging or pledging without pre-approval by the Audit Committee</w:t>
      </w:r>
    </w:p>
    <w:p>
      <w:pPr>
        <w:spacing w:after="0" w:line="159" w:lineRule="exact"/>
        <w:rPr>
          <w:sz w:val="20"/>
          <w:szCs w:val="20"/>
          <w:color w:val="auto"/>
        </w:rPr>
      </w:pPr>
    </w:p>
    <w:p>
      <w:pPr>
        <w:sectPr>
          <w:pgSz w:w="11900" w:h="16838" w:orient="portrait"/>
          <w:cols w:equalWidth="0" w:num="2">
            <w:col w:w="4040" w:space="595"/>
            <w:col w:w="4405"/>
          </w:cols>
          <w:pgMar w:left="1420" w:top="130" w:right="1439" w:bottom="1440" w:gutter="0" w:footer="0" w:header="0"/>
          <w:type w:val="continuous"/>
        </w:sectPr>
      </w:pPr>
    </w:p>
    <w:p>
      <w:pPr>
        <w:ind w:left="200" w:hanging="197"/>
        <w:spacing w:after="0"/>
        <w:tabs>
          <w:tab w:leader="none" w:pos="200"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Target compensation based on market norms</w:t>
      </w:r>
    </w:p>
    <w:p>
      <w:pPr>
        <w:spacing w:after="0" w:line="221" w:lineRule="exact"/>
        <w:rPr>
          <w:rFonts w:ascii="MS PGothic" w:cs="MS PGothic" w:eastAsia="MS PGothic" w:hAnsi="MS PGothic"/>
          <w:sz w:val="16"/>
          <w:szCs w:val="16"/>
          <w:color w:val="auto"/>
        </w:rPr>
      </w:pPr>
    </w:p>
    <w:p>
      <w:pPr>
        <w:ind w:right="60" w:firstLine="3"/>
        <w:spacing w:after="0" w:line="293" w:lineRule="auto"/>
        <w:tabs>
          <w:tab w:leader="none" w:pos="189"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Deliver executive compensation primarily through performance-based pay</w:t>
      </w:r>
    </w:p>
    <w:p>
      <w:pPr>
        <w:spacing w:after="0" w:line="158" w:lineRule="exact"/>
        <w:rPr>
          <w:rFonts w:ascii="MS PGothic" w:cs="MS PGothic" w:eastAsia="MS PGothic" w:hAnsi="MS PGothic"/>
          <w:sz w:val="16"/>
          <w:szCs w:val="16"/>
          <w:color w:val="auto"/>
        </w:rPr>
      </w:pPr>
    </w:p>
    <w:p>
      <w:pPr>
        <w:ind w:left="200" w:hanging="197"/>
        <w:spacing w:after="0"/>
        <w:tabs>
          <w:tab w:leader="none" w:pos="200"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Set challenging corporate performance goals</w:t>
      </w:r>
    </w:p>
    <w:p>
      <w:pPr>
        <w:spacing w:after="0" w:line="200" w:lineRule="exact"/>
        <w:rPr>
          <w:rFonts w:ascii="MS PGothic" w:cs="MS PGothic" w:eastAsia="MS PGothic" w:hAnsi="MS PGothic"/>
          <w:sz w:val="16"/>
          <w:szCs w:val="16"/>
          <w:color w:val="auto"/>
        </w:rPr>
      </w:pPr>
    </w:p>
    <w:p>
      <w:pPr>
        <w:spacing w:after="0" w:line="223" w:lineRule="exact"/>
        <w:rPr>
          <w:rFonts w:ascii="MS PGothic" w:cs="MS PGothic" w:eastAsia="MS PGothic" w:hAnsi="MS PGothic"/>
          <w:sz w:val="16"/>
          <w:szCs w:val="16"/>
          <w:color w:val="auto"/>
        </w:rPr>
      </w:pPr>
    </w:p>
    <w:p>
      <w:pPr>
        <w:ind w:right="720" w:firstLine="3"/>
        <w:spacing w:after="0" w:line="293" w:lineRule="auto"/>
        <w:tabs>
          <w:tab w:leader="none" w:pos="189"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Consult with an independent compensation advisor on compensation levels and practices</w:t>
      </w:r>
    </w:p>
    <w:p>
      <w:pPr>
        <w:spacing w:after="0" w:line="158" w:lineRule="exact"/>
        <w:rPr>
          <w:rFonts w:ascii="MS PGothic" w:cs="MS PGothic" w:eastAsia="MS PGothic" w:hAnsi="MS PGothic"/>
          <w:sz w:val="16"/>
          <w:szCs w:val="16"/>
          <w:color w:val="auto"/>
        </w:rPr>
      </w:pPr>
    </w:p>
    <w:p>
      <w:pPr>
        <w:ind w:right="560" w:firstLine="3"/>
        <w:spacing w:after="0" w:line="293" w:lineRule="auto"/>
        <w:tabs>
          <w:tab w:leader="none" w:pos="189"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Offer market-competitive benefits for executives that are consistent with the rest of our employees</w:t>
      </w:r>
    </w:p>
    <w:p>
      <w:pPr>
        <w:spacing w:after="0" w:line="158" w:lineRule="exact"/>
        <w:rPr>
          <w:rFonts w:ascii="MS PGothic" w:cs="MS PGothic" w:eastAsia="MS PGothic" w:hAnsi="MS PGothic"/>
          <w:sz w:val="16"/>
          <w:szCs w:val="16"/>
          <w:color w:val="auto"/>
        </w:rPr>
      </w:pPr>
    </w:p>
    <w:p>
      <w:pPr>
        <w:ind w:firstLine="3"/>
        <w:spacing w:after="0" w:line="293" w:lineRule="auto"/>
        <w:tabs>
          <w:tab w:leader="none" w:pos="189"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Use double trigger change-in-control protection for our executive officers</w:t>
      </w:r>
    </w:p>
    <w:p>
      <w:pPr>
        <w:spacing w:after="0" w:line="158" w:lineRule="exact"/>
        <w:rPr>
          <w:rFonts w:ascii="MS PGothic" w:cs="MS PGothic" w:eastAsia="MS PGothic" w:hAnsi="MS PGothic"/>
          <w:sz w:val="16"/>
          <w:szCs w:val="16"/>
          <w:color w:val="auto"/>
        </w:rPr>
      </w:pPr>
    </w:p>
    <w:p>
      <w:pPr>
        <w:ind w:right="20" w:firstLine="3"/>
        <w:spacing w:after="0" w:line="293" w:lineRule="auto"/>
        <w:tabs>
          <w:tab w:leader="none" w:pos="189"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Cap annual cash incentive program payouts at 150% of the target payout level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Objectives and Philosophy</w:t>
      </w:r>
    </w:p>
    <w:p>
      <w:pPr>
        <w:spacing w:after="0" w:line="20" w:lineRule="exact"/>
        <w:rPr>
          <w:sz w:val="20"/>
          <w:szCs w:val="20"/>
          <w:color w:val="auto"/>
        </w:rPr>
      </w:pPr>
      <w:r>
        <w:rPr>
          <w:sz w:val="20"/>
          <w:szCs w:val="20"/>
          <w:color w:val="auto"/>
        </w:rPr>
        <w:br w:type="column"/>
      </w:r>
    </w:p>
    <w:p>
      <w:pPr>
        <w:ind w:left="185" w:hanging="185"/>
        <w:spacing w:after="0"/>
        <w:tabs>
          <w:tab w:leader="none" w:pos="185" w:val="left"/>
        </w:tabs>
        <w:numPr>
          <w:ilvl w:val="0"/>
          <w:numId w:val="54"/>
        </w:numPr>
        <w:rPr>
          <w:rFonts w:ascii="MS PGothic" w:cs="MS PGothic" w:eastAsia="MS PGothic" w:hAnsi="MS PGothic"/>
          <w:sz w:val="15"/>
          <w:szCs w:val="15"/>
          <w:color w:val="auto"/>
        </w:rPr>
      </w:pPr>
      <w:r>
        <w:rPr>
          <w:rFonts w:ascii="Arial" w:cs="Arial" w:eastAsia="Arial" w:hAnsi="Arial"/>
          <w:sz w:val="15"/>
          <w:szCs w:val="15"/>
          <w:color w:val="auto"/>
        </w:rPr>
        <w:t>Re-price stock options without prior stockholder approval</w:t>
      </w:r>
    </w:p>
    <w:p>
      <w:pPr>
        <w:spacing w:after="0" w:line="232" w:lineRule="exact"/>
        <w:rPr>
          <w:rFonts w:ascii="MS PGothic" w:cs="MS PGothic" w:eastAsia="MS PGothic" w:hAnsi="MS PGothic"/>
          <w:sz w:val="15"/>
          <w:szCs w:val="15"/>
          <w:color w:val="auto"/>
        </w:rPr>
      </w:pPr>
    </w:p>
    <w:p>
      <w:pPr>
        <w:ind w:left="185" w:hanging="185"/>
        <w:spacing w:after="0"/>
        <w:tabs>
          <w:tab w:leader="none" w:pos="185" w:val="left"/>
        </w:tabs>
        <w:numPr>
          <w:ilvl w:val="0"/>
          <w:numId w:val="54"/>
        </w:numPr>
        <w:rPr>
          <w:rFonts w:ascii="MS PGothic" w:cs="MS PGothic" w:eastAsia="MS PGothic" w:hAnsi="MS PGothic"/>
          <w:sz w:val="16"/>
          <w:szCs w:val="16"/>
          <w:color w:val="auto"/>
        </w:rPr>
      </w:pPr>
      <w:r>
        <w:rPr>
          <w:rFonts w:ascii="Arial" w:cs="Arial" w:eastAsia="Arial" w:hAnsi="Arial"/>
          <w:sz w:val="16"/>
          <w:szCs w:val="16"/>
          <w:color w:val="auto"/>
        </w:rPr>
        <w:t>Provide perquisites to our executive officers</w:t>
      </w:r>
    </w:p>
    <w:p>
      <w:pPr>
        <w:spacing w:after="0" w:line="200" w:lineRule="exact"/>
        <w:rPr>
          <w:rFonts w:ascii="MS PGothic" w:cs="MS PGothic" w:eastAsia="MS PGothic" w:hAnsi="MS PGothic"/>
          <w:sz w:val="16"/>
          <w:szCs w:val="16"/>
          <w:color w:val="auto"/>
        </w:rPr>
      </w:pPr>
    </w:p>
    <w:p>
      <w:pPr>
        <w:spacing w:after="0" w:line="223" w:lineRule="exact"/>
        <w:rPr>
          <w:rFonts w:ascii="MS PGothic" w:cs="MS PGothic" w:eastAsia="MS PGothic" w:hAnsi="MS PGothic"/>
          <w:sz w:val="16"/>
          <w:szCs w:val="16"/>
          <w:color w:val="auto"/>
        </w:rPr>
      </w:pPr>
    </w:p>
    <w:p>
      <w:pPr>
        <w:ind w:left="5" w:right="380" w:hanging="5"/>
        <w:spacing w:after="0" w:line="329" w:lineRule="auto"/>
        <w:tabs>
          <w:tab w:leader="none" w:pos="194" w:val="left"/>
        </w:tabs>
        <w:numPr>
          <w:ilvl w:val="0"/>
          <w:numId w:val="54"/>
        </w:numPr>
        <w:rPr>
          <w:rFonts w:ascii="MS PGothic" w:cs="MS PGothic" w:eastAsia="MS PGothic" w:hAnsi="MS PGothic"/>
          <w:sz w:val="15"/>
          <w:szCs w:val="15"/>
          <w:color w:val="auto"/>
        </w:rPr>
      </w:pPr>
      <w:r>
        <w:rPr>
          <w:rFonts w:ascii="Arial" w:cs="Arial" w:eastAsia="Arial" w:hAnsi="Arial"/>
          <w:sz w:val="15"/>
          <w:szCs w:val="15"/>
          <w:color w:val="auto"/>
        </w:rPr>
        <w:t>Provide supplemental executive retirement plans or special health and welfare benefits to our executive officers</w:t>
      </w:r>
    </w:p>
    <w:p>
      <w:pPr>
        <w:spacing w:after="0" w:line="134" w:lineRule="exact"/>
        <w:rPr>
          <w:rFonts w:ascii="MS PGothic" w:cs="MS PGothic" w:eastAsia="MS PGothic" w:hAnsi="MS PGothic"/>
          <w:sz w:val="15"/>
          <w:szCs w:val="15"/>
          <w:color w:val="auto"/>
        </w:rPr>
      </w:pPr>
    </w:p>
    <w:p>
      <w:pPr>
        <w:ind w:left="5" w:right="500" w:hanging="5"/>
        <w:spacing w:after="0" w:line="293" w:lineRule="auto"/>
        <w:tabs>
          <w:tab w:leader="none" w:pos="194" w:val="left"/>
        </w:tabs>
        <w:numPr>
          <w:ilvl w:val="0"/>
          <w:numId w:val="54"/>
        </w:numPr>
        <w:rPr>
          <w:rFonts w:ascii="MS PGothic" w:cs="MS PGothic" w:eastAsia="MS PGothic" w:hAnsi="MS PGothic"/>
          <w:sz w:val="16"/>
          <w:szCs w:val="16"/>
          <w:color w:val="auto"/>
        </w:rPr>
      </w:pPr>
      <w:r>
        <w:rPr>
          <w:rFonts w:ascii="Arial" w:cs="Arial" w:eastAsia="Arial" w:hAnsi="Arial"/>
          <w:sz w:val="16"/>
          <w:szCs w:val="16"/>
          <w:color w:val="auto"/>
        </w:rPr>
        <w:t>Provide tax gross-up payments for any change-of-control payments</w:t>
      </w:r>
    </w:p>
    <w:p>
      <w:pPr>
        <w:spacing w:after="0" w:line="2292" w:lineRule="exact"/>
        <w:rPr>
          <w:sz w:val="20"/>
          <w:szCs w:val="20"/>
          <w:color w:val="auto"/>
        </w:rPr>
      </w:pPr>
    </w:p>
    <w:p>
      <w:pPr>
        <w:sectPr>
          <w:pgSz w:w="11900" w:h="16838" w:orient="portrait"/>
          <w:cols w:equalWidth="0" w:num="2">
            <w:col w:w="4440" w:space="195"/>
            <w:col w:w="4405"/>
          </w:cols>
          <w:pgMar w:left="1420" w:top="130" w:right="1439" w:bottom="1440" w:gutter="0" w:footer="0" w:header="0"/>
          <w:type w:val="continuous"/>
        </w:sectPr>
      </w:pPr>
    </w:p>
    <w:p>
      <w:pPr>
        <w:ind w:right="220" w:firstLine="648"/>
        <w:spacing w:after="0" w:line="278" w:lineRule="auto"/>
        <w:rPr>
          <w:sz w:val="20"/>
          <w:szCs w:val="20"/>
          <w:color w:val="auto"/>
        </w:rPr>
      </w:pPr>
      <w:r>
        <w:rPr>
          <w:rFonts w:ascii="Arial" w:cs="Arial" w:eastAsia="Arial" w:hAnsi="Arial"/>
          <w:sz w:val="16"/>
          <w:szCs w:val="16"/>
          <w:color w:val="auto"/>
        </w:rPr>
        <w:t>Our compensation committee believes that the most effective compensation program is one that rewards value creation for stockholders and progress towards achieving our mission and that promotes company performance. The objectives of our compensation program are to:</w:t>
      </w:r>
    </w:p>
    <w:p>
      <w:pPr>
        <w:spacing w:after="0" w:line="76" w:lineRule="exact"/>
        <w:rPr>
          <w:sz w:val="20"/>
          <w:szCs w:val="20"/>
          <w:color w:val="auto"/>
        </w:rPr>
      </w:pPr>
    </w:p>
    <w:p>
      <w:pPr>
        <w:ind w:left="1300" w:hanging="325"/>
        <w:spacing w:after="0"/>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attract, motivate and retain superior executive talent;</w:t>
      </w:r>
    </w:p>
    <w:p>
      <w:pPr>
        <w:spacing w:after="0" w:line="126" w:lineRule="exact"/>
        <w:rPr>
          <w:rFonts w:ascii="Arial" w:cs="Arial" w:eastAsia="Arial" w:hAnsi="Arial"/>
          <w:sz w:val="16"/>
          <w:szCs w:val="16"/>
          <w:color w:val="auto"/>
        </w:rPr>
      </w:pPr>
    </w:p>
    <w:p>
      <w:pPr>
        <w:ind w:left="1300" w:right="540" w:hanging="325"/>
        <w:spacing w:after="0" w:line="293" w:lineRule="auto"/>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provide incentives that motivate and reward the achievement of performance goals that directly correlate to the enhancement of stockholder value, as well as to facilitate executive retention; and</w:t>
      </w:r>
    </w:p>
    <w:p>
      <w:pPr>
        <w:spacing w:after="0" w:line="63" w:lineRule="exact"/>
        <w:rPr>
          <w:rFonts w:ascii="Arial" w:cs="Arial" w:eastAsia="Arial" w:hAnsi="Arial"/>
          <w:sz w:val="16"/>
          <w:szCs w:val="16"/>
          <w:color w:val="auto"/>
        </w:rPr>
      </w:pPr>
    </w:p>
    <w:p>
      <w:pPr>
        <w:ind w:left="1300" w:right="260" w:hanging="325"/>
        <w:spacing w:after="0" w:line="369" w:lineRule="auto"/>
        <w:tabs>
          <w:tab w:leader="none" w:pos="1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align executives’ interests with those of stockholders through long-term incentives linked to the achievement of specific performance, which we believe serves to enhance short- and long-term value creation for our stockholders.</w:t>
      </w:r>
    </w:p>
    <w:p>
      <w:pPr>
        <w:spacing w:after="0" w:line="18"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To achieve its objectives, our compensation committee evaluates our executive compensation program with the goal of setting total compensation at levels that align with our culture, total rewards strategy, size and life stage. Specifically, our compensation committee targets key elements of our compensation programs as follows:</w:t>
      </w:r>
    </w:p>
    <w:p>
      <w:pPr>
        <w:spacing w:after="0" w:line="76" w:lineRule="exact"/>
        <w:rPr>
          <w:sz w:val="20"/>
          <w:szCs w:val="20"/>
          <w:color w:val="auto"/>
        </w:rPr>
      </w:pPr>
    </w:p>
    <w:p>
      <w:pPr>
        <w:ind w:left="1300" w:right="140" w:hanging="325"/>
        <w:spacing w:after="0" w:line="268"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Base salaries: </w:t>
      </w:r>
      <w:r>
        <w:rPr>
          <w:rFonts w:ascii="Arial" w:cs="Arial" w:eastAsia="Arial" w:hAnsi="Arial"/>
          <w:sz w:val="16"/>
          <w:szCs w:val="16"/>
          <w:color w:val="auto"/>
        </w:rPr>
        <w:t>Our compensation committee targets base salaries at the 50</w:t>
      </w:r>
      <w:r>
        <w:rPr>
          <w:rFonts w:ascii="Arial" w:cs="Arial" w:eastAsia="Arial" w:hAnsi="Arial"/>
          <w:sz w:val="17"/>
          <w:szCs w:val="17"/>
          <w:color w:val="auto"/>
          <w:vertAlign w:val="superscript"/>
        </w:rPr>
        <w:t>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percentile of our peer group, as discussed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and seeks to ensure that such salaries reflect each executive’s level of experience, performance and responsibility and that such levels are competitive with those of other companies in our industry and region that compete with us for executive talent.</w:t>
      </w:r>
    </w:p>
    <w:p>
      <w:pPr>
        <w:spacing w:after="0" w:line="83" w:lineRule="exact"/>
        <w:rPr>
          <w:rFonts w:ascii="Arial" w:cs="Arial" w:eastAsia="Arial" w:hAnsi="Arial"/>
          <w:sz w:val="16"/>
          <w:szCs w:val="16"/>
          <w:color w:val="auto"/>
        </w:rPr>
      </w:pPr>
    </w:p>
    <w:p>
      <w:pPr>
        <w:ind w:left="1300" w:hanging="325"/>
        <w:spacing w:after="0" w:line="266"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performance-based cash incentive compensation: </w:t>
      </w:r>
      <w:r>
        <w:rPr>
          <w:rFonts w:ascii="Arial" w:cs="Arial" w:eastAsia="Arial" w:hAnsi="Arial"/>
          <w:sz w:val="16"/>
          <w:szCs w:val="16"/>
          <w:color w:val="auto"/>
        </w:rPr>
        <w:t>Our compensation program links a substantial portion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named executive officers’ compensation to the achievement of scientific, business, organizational and operational goals such as progress in our clinical trials and research programs; key research and development achievements; maintaining the strong financial health of the company, including implementation of appropriate financing strategies; maintaining key strategic relationships; addition and development of internal competencies, including retention of high-performing employees; and achievement of desired financial metrics. Our compensation committee targets annual performance-based cash incentive compensation at the 50</w:t>
      </w:r>
      <w:r>
        <w:rPr>
          <w:rFonts w:ascii="Arial" w:cs="Arial" w:eastAsia="Arial" w:hAnsi="Arial"/>
          <w:sz w:val="17"/>
          <w:szCs w:val="17"/>
          <w:color w:val="auto"/>
          <w:vertAlign w:val="superscript"/>
        </w:rPr>
        <w:t>th</w:t>
      </w:r>
      <w:r>
        <w:rPr>
          <w:rFonts w:ascii="Arial" w:cs="Arial" w:eastAsia="Arial" w:hAnsi="Arial"/>
          <w:sz w:val="16"/>
          <w:szCs w:val="16"/>
          <w:color w:val="auto"/>
        </w:rPr>
        <w:t xml:space="preserve"> percentile of our peer group and, beginning in 2018, has determined to formally cap annual cash incentive program payouts in any given year at 150% of the target payout level.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30" w:right="1439" w:bottom="1440" w:gutter="0" w:footer="0" w:header="0"/>
          <w:type w:val="continuous"/>
        </w:sectPr>
      </w:pPr>
    </w:p>
    <w:bookmarkStart w:id="23" w:name="page24"/>
    <w:bookmarkEnd w:id="23"/>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1300" w:hanging="325"/>
        <w:spacing w:after="0" w:line="309" w:lineRule="auto"/>
        <w:tabs>
          <w:tab w:leader="none" w:pos="1300" w:val="left"/>
        </w:tabs>
        <w:numPr>
          <w:ilvl w:val="0"/>
          <w:numId w:val="5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Equity incentive compensation: </w:t>
      </w:r>
      <w:r>
        <w:rPr>
          <w:rFonts w:ascii="Arial" w:cs="Arial" w:eastAsia="Arial" w:hAnsi="Arial"/>
          <w:sz w:val="14"/>
          <w:szCs w:val="14"/>
          <w:color w:val="auto"/>
        </w:rPr>
        <w:t>In addition, we provide a significant portion of our executive compensation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form of stock options and, beginning in July 2018, restricted stock units, or RSUs, that vest over time, which we believe helps to retain our executives and aligns their interests with those of our stockholders by allowing them to participate in the longer term success of our company as reflected in the appreciation of our stock price. When determining equity incentive compensation for our named executive officers, including the decision to begin granting RSUs as part of our equity incentive compensation program, our compensation committee considers a host of factors in comparison to our named peers, including the following: annual long-term incentive values, annual equity awards expressed as a percent of total shares outstanding, total annual and cumulative dilution, the retentive value of outstanding awards and total equity ownership and the equity compensation practices of other companies in our industry that compete with us for talent. Given the dynamic biopharmaceutical market, the compensation committee does not overemphasize any one perspective. Rather, the committee takes a holistic perspective, further considering the achievement of company goals and how that impacts total shareholder return, when determining actual award levels for the named executive officers, which the committee generally targets at the 65</w:t>
      </w:r>
      <w:r>
        <w:rPr>
          <w:rFonts w:ascii="Arial" w:cs="Arial" w:eastAsia="Arial" w:hAnsi="Arial"/>
          <w:sz w:val="15"/>
          <w:szCs w:val="15"/>
          <w:color w:val="auto"/>
          <w:vertAlign w:val="superscript"/>
        </w:rPr>
        <w:t>th</w:t>
      </w:r>
      <w:r>
        <w:rPr>
          <w:rFonts w:ascii="Arial" w:cs="Arial" w:eastAsia="Arial" w:hAnsi="Arial"/>
          <w:sz w:val="14"/>
          <w:szCs w:val="14"/>
          <w:color w:val="auto"/>
        </w:rPr>
        <w:t xml:space="preserve"> percentile of our peer group.</w:t>
      </w:r>
    </w:p>
    <w:p>
      <w:pPr>
        <w:spacing w:after="0" w:line="32" w:lineRule="exact"/>
        <w:rPr>
          <w:sz w:val="20"/>
          <w:szCs w:val="20"/>
          <w:color w:val="auto"/>
        </w:rPr>
      </w:pPr>
    </w:p>
    <w:p>
      <w:pPr>
        <w:ind w:right="20" w:firstLine="648"/>
        <w:spacing w:after="0" w:line="287" w:lineRule="auto"/>
        <w:rPr>
          <w:sz w:val="20"/>
          <w:szCs w:val="20"/>
          <w:color w:val="auto"/>
        </w:rPr>
      </w:pPr>
      <w:r>
        <w:rPr>
          <w:rFonts w:ascii="Arial" w:cs="Arial" w:eastAsia="Arial" w:hAnsi="Arial"/>
          <w:sz w:val="15"/>
          <w:szCs w:val="15"/>
          <w:color w:val="auto"/>
        </w:rPr>
        <w:t>We believe that targeting overall compensation in this manner is necessary and appropriate in order to attract and retain the quality of talent we need to successfully grow our business, achieve our challenging goals, sustain strong performance, and seek to ensure that compensation levels are competitive with those of other companies against which we compete for talent. However, any given individual employee’s compensation may vary from the targeted pay framework, based on the unique responsibilities and requirements of his or her position, his or her experience and other qualifications, internal parity relative to similar positions within the company, and individual or company performance relative to performance goals and the peer group to ensure appropriate pay-for-performance alignment. While we do not have a formal or informal policy for allocating between long-term and short-term compensation, between cash and non-cash compensation or among different forms of non-cash compensation, we generally strive to provide our named executive officers with a balance of short-term and long-term incentives to encourage consistently strong performance.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Say-on-Pay Vote on Executive Compensation</w:t>
      </w:r>
    </w:p>
    <w:p>
      <w:pPr>
        <w:spacing w:after="0" w:line="127" w:lineRule="exact"/>
        <w:rPr>
          <w:sz w:val="20"/>
          <w:szCs w:val="20"/>
          <w:color w:val="auto"/>
        </w:rPr>
      </w:pPr>
    </w:p>
    <w:p>
      <w:pPr>
        <w:ind w:right="80" w:firstLine="648"/>
        <w:spacing w:after="0" w:line="309" w:lineRule="auto"/>
        <w:rPr>
          <w:sz w:val="20"/>
          <w:szCs w:val="20"/>
          <w:color w:val="auto"/>
        </w:rPr>
      </w:pPr>
      <w:r>
        <w:rPr>
          <w:rFonts w:ascii="Arial" w:cs="Arial" w:eastAsia="Arial" w:hAnsi="Arial"/>
          <w:sz w:val="14"/>
          <w:szCs w:val="14"/>
          <w:color w:val="auto"/>
        </w:rPr>
        <w:t>The compensation committee considered the results of the non-binding stockholder advisory votes on the compensation of our named executive officers conducted at the 2018 Annual Meeting, commonly referred to as a “say-on-pay” vote. As reported in our current report on Form 8-K, filed with the SEC on June 22, 2018, approximately 98.7% of the votes cast on the proposal expressed support for the compensation program offered to our named executive officers as disclosed in last year’s proxy statement. Accordingly, the compensation committee made no changes to our executive compensation program as a result of the say-on-pay vote. Further, our board of directors has elected to conduct the say-on-pay vote annually, thereby giving our stockholders the opportunity to provide feedback on the compensation of our named executive officers each year. We will be conducting our annual say-on-pay vote as described in Proposal 2 of this proxy statement at our 2019 annual meeting of stockholders. Our board of directors and our compensation committee will consider the outcome of the say-on-pay vote, as well as feedback received throughout the year, when making compensation decisions for our named executive officers in the future. The next say-on-pay vote will be held at the 2020 Annual Meeting of Stockholders.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Executive Compensation Process</w:t>
      </w:r>
    </w:p>
    <w:p>
      <w:pPr>
        <w:spacing w:after="0" w:line="127" w:lineRule="exact"/>
        <w:rPr>
          <w:sz w:val="20"/>
          <w:szCs w:val="20"/>
          <w:color w:val="auto"/>
        </w:rPr>
      </w:pPr>
    </w:p>
    <w:p>
      <w:pPr>
        <w:ind w:right="20" w:firstLine="648"/>
        <w:spacing w:after="0" w:line="288" w:lineRule="auto"/>
        <w:rPr>
          <w:sz w:val="20"/>
          <w:szCs w:val="20"/>
          <w:color w:val="auto"/>
        </w:rPr>
      </w:pPr>
      <w:r>
        <w:rPr>
          <w:rFonts w:ascii="Arial" w:cs="Arial" w:eastAsia="Arial" w:hAnsi="Arial"/>
          <w:sz w:val="15"/>
          <w:szCs w:val="15"/>
          <w:color w:val="auto"/>
        </w:rPr>
        <w:t>As a part of determining named executive officer performance and compensation, our compensation committee receives recommendations from our chief executive officer, other than with respect to his own compensation and performance. Our chief executive officer’s performance is evaluated and approved directly by the compensation committee, taking into account input from our board of directors. Evaluations of each of our named executives is based on our overall corporate performance against annual goals that are approved by the board of directors at the beginning of each year and, in the case of executive officers other than our chief executive officer, the achievement of individual goals, as discussed in more detail below. The evaluation of our chief executive officer is based solely on our corporate performance goals, in recognition of his overall responsibility for our corporate performance and to incentivize him to drive the execution of our strategic plans and achievement of our corporate goals.</w:t>
      </w:r>
    </w:p>
    <w:p>
      <w:pPr>
        <w:spacing w:after="0" w:line="73" w:lineRule="exact"/>
        <w:rPr>
          <w:sz w:val="20"/>
          <w:szCs w:val="20"/>
          <w:color w:val="auto"/>
        </w:rPr>
      </w:pPr>
    </w:p>
    <w:p>
      <w:pPr>
        <w:ind w:firstLine="648"/>
        <w:spacing w:after="0" w:line="291" w:lineRule="auto"/>
        <w:rPr>
          <w:sz w:val="20"/>
          <w:szCs w:val="20"/>
          <w:color w:val="auto"/>
        </w:rPr>
      </w:pPr>
      <w:r>
        <w:rPr>
          <w:rFonts w:ascii="Arial" w:cs="Arial" w:eastAsia="Arial" w:hAnsi="Arial"/>
          <w:sz w:val="15"/>
          <w:szCs w:val="15"/>
          <w:color w:val="auto"/>
        </w:rPr>
        <w:t>The compensation committee has the sole authority to retain, at our expense, one or more third-party compensation consultants to assist the compensation committee in performing its responsibilities. The compensation committee may terminate the services of the consultant if the compensation committee deems it appropriate. In 2018, the compensation committee utilized the services of Radford, an Aon Hewitt company, to assist it in fulfilling its responsibilities. Radford was retained exclusively by the compensation committee and has not been retained by management to perform any work for the company other than projects performed at the direction of the compensation committee. Radford provides analysis and recommendations regarding:</w:t>
      </w:r>
    </w:p>
    <w:p>
      <w:pPr>
        <w:spacing w:after="0" w:line="69" w:lineRule="exact"/>
        <w:rPr>
          <w:sz w:val="20"/>
          <w:szCs w:val="20"/>
          <w:color w:val="auto"/>
        </w:rPr>
      </w:pPr>
    </w:p>
    <w:p>
      <w:pPr>
        <w:ind w:left="1300" w:hanging="325"/>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trends and emerging topics with respect to executive compensation;</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peer group selection for executive compensation benchmarking;</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compensation practices of our peer group, including executive severance arrangements;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24" w:name="page25"/>
    <w:bookmarkEnd w:id="24"/>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1300" w:hanging="325"/>
        <w:spacing w:after="0"/>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compensation philosophy and programs for executives and broad-based employees;</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stock utilization and other metrics; and</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board of directors compensation.</w:t>
      </w:r>
    </w:p>
    <w:p>
      <w:pPr>
        <w:spacing w:after="0" w:line="127" w:lineRule="exact"/>
        <w:rPr>
          <w:sz w:val="20"/>
          <w:szCs w:val="20"/>
          <w:color w:val="auto"/>
        </w:rPr>
      </w:pPr>
    </w:p>
    <w:p>
      <w:pPr>
        <w:ind w:right="20" w:firstLine="648"/>
        <w:spacing w:after="0" w:line="287" w:lineRule="auto"/>
        <w:rPr>
          <w:sz w:val="20"/>
          <w:szCs w:val="20"/>
          <w:color w:val="auto"/>
        </w:rPr>
      </w:pPr>
      <w:r>
        <w:rPr>
          <w:rFonts w:ascii="Arial" w:cs="Arial" w:eastAsia="Arial" w:hAnsi="Arial"/>
          <w:sz w:val="15"/>
          <w:szCs w:val="15"/>
          <w:color w:val="auto"/>
        </w:rPr>
        <w:t>In addition, we subscribe to Radford’s various global annual and specialized life sciences and general industry surveys on an ongoing basis. Radford advised the compensation committee on all of the principal aspects of executive compensation, including executive new hire compensation arrangements. Radford consultants attend meetings of the compensation committee, including executive sessions in which executive compensation issues are discussed, when requested to do so. Radford reports to the compensation committee and not to management, although it meets with management for purposes of gathering information for its analyses and recommendations. The compensation committee annually evaluates its engagement of compensation consultants, and selected Radford to advise with respect to compensation matters based on Radford’s industry experience and reputation, which our compensation committee concluded give Radford useful context and knowledge to advise it. The compensation committee has assessed the independence of Radford pursuant to SEC and Nasdaq rules and concluded that no conflict of interest exists that would prevent Radford from independently representing the compensation committee.</w:t>
      </w:r>
    </w:p>
    <w:p>
      <w:pPr>
        <w:spacing w:after="0" w:line="71" w:lineRule="exact"/>
        <w:rPr>
          <w:sz w:val="20"/>
          <w:szCs w:val="20"/>
          <w:color w:val="auto"/>
        </w:rPr>
      </w:pPr>
    </w:p>
    <w:p>
      <w:pPr>
        <w:jc w:val="both"/>
        <w:ind w:right="160" w:firstLine="648"/>
        <w:spacing w:after="0" w:line="303" w:lineRule="auto"/>
        <w:rPr>
          <w:sz w:val="20"/>
          <w:szCs w:val="20"/>
          <w:color w:val="auto"/>
        </w:rPr>
      </w:pPr>
      <w:r>
        <w:rPr>
          <w:rFonts w:ascii="Arial" w:cs="Arial" w:eastAsia="Arial" w:hAnsi="Arial"/>
          <w:sz w:val="14"/>
          <w:szCs w:val="14"/>
          <w:color w:val="auto"/>
        </w:rPr>
        <w:t>Annual base salaries for the year, and annual performance-based cash incentives and equity incentive awards for all employees for the prior year are generally determined in the first quarter of the year based on company and individual performance of the prior year, as well as other factors, including compensation trends in the biopharmaceutical industry and among our benchmark peers. In</w:t>
      </w:r>
    </w:p>
    <w:p>
      <w:pPr>
        <w:spacing w:after="0" w:line="2" w:lineRule="exact"/>
        <w:rPr>
          <w:sz w:val="20"/>
          <w:szCs w:val="20"/>
          <w:color w:val="auto"/>
        </w:rPr>
      </w:pPr>
    </w:p>
    <w:p>
      <w:pPr>
        <w:ind w:right="20"/>
        <w:spacing w:after="0" w:line="309" w:lineRule="auto"/>
        <w:rPr>
          <w:sz w:val="20"/>
          <w:szCs w:val="20"/>
          <w:color w:val="auto"/>
        </w:rPr>
      </w:pPr>
      <w:r>
        <w:rPr>
          <w:rFonts w:ascii="Arial" w:cs="Arial" w:eastAsia="Arial" w:hAnsi="Arial"/>
          <w:sz w:val="14"/>
          <w:szCs w:val="14"/>
          <w:color w:val="auto"/>
        </w:rPr>
        <w:t>February 2018, the compensation committee approved 2018 base salaries, 2018 target bonus opportunities and 2017 annual cash incentives and annual equity awards for each of our named executive officers, including our chief executive officer. With respect to our chief executive officer, the compensation committee reviewed his performance and presented its recommendations to our board of directors prior to the compensation committee approving the 2018 base salary, 2018 target bonus opportunity and 2017 annual cash incentive and annual stock option award for our chief executive officer. In February 2019, the compensation committee approved 2019 base salaries, 2019 target bonus opportunities and 2018 annual cash incentives and annual equity awards for each of our named executive officers, including our chief executive officer. With respect to our chief executive officer, the compensation committee reviewed his performance and presented its recommendations to our board of directors prior to the compensation committee approving the 2019 base salary, 2019 target bonus opportunity and 2018 annual cash incentive and annual equity awards for our chief executive officer.</w:t>
      </w:r>
    </w:p>
    <w:p>
      <w:pPr>
        <w:spacing w:after="0" w:line="6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5"/>
          <w:szCs w:val="15"/>
          <w:color w:val="auto"/>
        </w:rPr>
        <w:t>Currently, all of our employees, including our named executive officers, are eligible to participate in our 2015 Stock Option and Incentive Plan, or the 2015 Plan. All new full-time employees are granted equity awards when they start employment with us, which typically consistent of stock options for employees at or above the vice president level and a combination of stock options and RSUs for employees below the vice president level. In addition, all continuing employees are eligible for equity awards consisting of stock option and RSU awards on an annual basis based on performance and upon promotions to positions of greater responsibility.</w:t>
      </w:r>
    </w:p>
    <w:p>
      <w:pPr>
        <w:spacing w:after="0" w:line="68" w:lineRule="exact"/>
        <w:rPr>
          <w:sz w:val="20"/>
          <w:szCs w:val="20"/>
          <w:color w:val="auto"/>
        </w:rPr>
      </w:pPr>
    </w:p>
    <w:p>
      <w:pPr>
        <w:ind w:firstLine="648"/>
        <w:spacing w:after="0" w:line="285" w:lineRule="auto"/>
        <w:rPr>
          <w:sz w:val="20"/>
          <w:szCs w:val="20"/>
          <w:color w:val="auto"/>
        </w:rPr>
      </w:pPr>
      <w:r>
        <w:rPr>
          <w:rFonts w:ascii="Arial" w:cs="Arial" w:eastAsia="Arial" w:hAnsi="Arial"/>
          <w:sz w:val="15"/>
          <w:szCs w:val="15"/>
          <w:color w:val="auto"/>
        </w:rPr>
        <w:t>Our compensation committee has delegated authority to Mr. Albers, our chief executive officer, to make equity awards under our 2015 Plan to any new hire, or replacement or substitute hire of the company or its subsidiaries and existing employees of the company or any of its subsidiaries in connection with promotions, employee recognition or exceptional performance, in each case, subject to certain limitations. In particular, our chief executive officer is not authorized to grant equity awards (i) to an employee who is a senior vice president (or above) or a direct report to the chief executive officer; (ii) to an employee who is an officer or director of the company or its subsidiaries and is subject to Section 16 of the Exchange Act; (iii) to an employee who is at the time of grant, or who is anticipated to become during the term of the applicable equity award, a “covered employee”, as defined in Section 162(m)(3) of the Internal Revenue Code; (iv) to himself; or (v) to any other person that our board of directors or compensation committee, respectively, may from time to time designate in writing as not being eligible to receive equity awards under the authority delegated to the chief executive officer. In addition, the number of shares underlying any equity awards granted by our chief executive officer must be within the range specifically by our compensation committee for these awards, and the aggregate number of shares underlying equity awards that our chief executive officer may grant in any one calendar year or to any person in any one calendar year must be within specified limits established by our compensation committee. The exercise price of stock options must be equal to the closing price of our common stock on the Nasdaq Global Select Market on the date of grant, and all equity awards must have vesting terms consistent with those approved by our compensation committee. In addition, Mr. Albers is required to maintain a list of equity awards granted pursuant to such delegated authority and periodically report to our compensation committee regarding such awards.</w:t>
      </w:r>
    </w:p>
    <w:p>
      <w:pPr>
        <w:spacing w:after="0" w:line="72" w:lineRule="exact"/>
        <w:rPr>
          <w:sz w:val="20"/>
          <w:szCs w:val="20"/>
          <w:color w:val="auto"/>
        </w:rPr>
      </w:pPr>
    </w:p>
    <w:p>
      <w:pPr>
        <w:ind w:right="80" w:firstLine="648"/>
        <w:spacing w:after="0" w:line="289" w:lineRule="auto"/>
        <w:rPr>
          <w:sz w:val="20"/>
          <w:szCs w:val="20"/>
          <w:color w:val="auto"/>
        </w:rPr>
      </w:pPr>
      <w:r>
        <w:rPr>
          <w:rFonts w:ascii="Arial" w:cs="Arial" w:eastAsia="Arial" w:hAnsi="Arial"/>
          <w:sz w:val="15"/>
          <w:szCs w:val="15"/>
          <w:color w:val="auto"/>
        </w:rPr>
        <w:t>With respect to any equity awards granted by our chief executive officer to new hires, Mr. Albers approves the awards in connection with such hires and provides that the awards are to be granted to the new hires on the first day of the calendar month following the date of such new hires’ first date of regular employment. Notwithstanding the delegation of authority to our chief executive officer to grant certain equity awards in connection with promotions, our compensation committee approves all equity awards in connection with annual promotions as part of our annual compensation review process. With respect to any equity awards granted by our chief executive officer to employees in connection with mid-year promotions, Mr. Albers approves the awards in connection with such promotions and provides that the awards are to be granted on July 1 of the applicable year.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25" w:name="page26"/>
    <w:bookmarkEnd w:id="25"/>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Defining and Comparing Compensation to Market Benchmarks</w:t>
      </w:r>
    </w:p>
    <w:p>
      <w:pPr>
        <w:spacing w:after="0" w:line="127" w:lineRule="exact"/>
        <w:rPr>
          <w:sz w:val="20"/>
          <w:szCs w:val="20"/>
          <w:color w:val="auto"/>
        </w:rPr>
      </w:pPr>
    </w:p>
    <w:p>
      <w:pPr>
        <w:jc w:val="both"/>
        <w:ind w:right="140" w:firstLine="648"/>
        <w:spacing w:after="0" w:line="278" w:lineRule="auto"/>
        <w:rPr>
          <w:sz w:val="20"/>
          <w:szCs w:val="20"/>
          <w:color w:val="auto"/>
        </w:rPr>
      </w:pPr>
      <w:r>
        <w:rPr>
          <w:rFonts w:ascii="Arial" w:cs="Arial" w:eastAsia="Arial" w:hAnsi="Arial"/>
          <w:sz w:val="16"/>
          <w:szCs w:val="16"/>
          <w:color w:val="auto"/>
        </w:rPr>
        <w:t>In evaluating the total compensation of our named executive officers, our compensation committee, using information provided by Radford, establishes a peer group of publicly traded companies in the biopharmaceutical and biotechnology industries that is selected based on a balance of the following criteria:</w:t>
      </w:r>
    </w:p>
    <w:p>
      <w:pPr>
        <w:spacing w:after="0" w:line="76" w:lineRule="exact"/>
        <w:rPr>
          <w:sz w:val="20"/>
          <w:szCs w:val="20"/>
          <w:color w:val="auto"/>
        </w:rPr>
      </w:pPr>
    </w:p>
    <w:p>
      <w:pPr>
        <w:ind w:left="1300" w:right="520" w:hanging="325"/>
        <w:spacing w:after="0" w:line="293"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companies whose number of employees, stage of development and market capitalization are similar, though not necessarily identical, to ours;</w:t>
      </w:r>
    </w:p>
    <w:p>
      <w:pPr>
        <w:spacing w:after="0" w:line="63" w:lineRule="exact"/>
        <w:rPr>
          <w:rFonts w:ascii="Arial" w:cs="Arial" w:eastAsia="Arial" w:hAnsi="Arial"/>
          <w:sz w:val="16"/>
          <w:szCs w:val="16"/>
          <w:color w:val="auto"/>
        </w:rPr>
      </w:pPr>
    </w:p>
    <w:p>
      <w:pPr>
        <w:ind w:left="1300" w:hanging="325"/>
        <w:spacing w:after="0"/>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companies with similar executive positions to ours;</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companies against which we believe that we compete for executive talent; and</w:t>
      </w:r>
    </w:p>
    <w:p>
      <w:pPr>
        <w:spacing w:after="0" w:line="126" w:lineRule="exact"/>
        <w:rPr>
          <w:rFonts w:ascii="Arial" w:cs="Arial" w:eastAsia="Arial" w:hAnsi="Arial"/>
          <w:sz w:val="16"/>
          <w:szCs w:val="16"/>
          <w:color w:val="auto"/>
        </w:rPr>
      </w:pPr>
    </w:p>
    <w:p>
      <w:pPr>
        <w:ind w:left="1300" w:right="140" w:hanging="325"/>
        <w:spacing w:after="0" w:line="293"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public companies based in the United States whose compensation and financial data are available in proxy statements or through widely available compensation surveys.</w:t>
      </w:r>
    </w:p>
    <w:p>
      <w:pPr>
        <w:spacing w:after="0" w:line="64" w:lineRule="exact"/>
        <w:rPr>
          <w:sz w:val="20"/>
          <w:szCs w:val="20"/>
          <w:color w:val="auto"/>
        </w:rPr>
      </w:pPr>
    </w:p>
    <w:p>
      <w:pPr>
        <w:ind w:right="760" w:firstLine="648"/>
        <w:spacing w:after="0" w:line="293" w:lineRule="auto"/>
        <w:rPr>
          <w:sz w:val="20"/>
          <w:szCs w:val="20"/>
          <w:color w:val="auto"/>
        </w:rPr>
      </w:pPr>
      <w:r>
        <w:rPr>
          <w:rFonts w:ascii="Arial" w:cs="Arial" w:eastAsia="Arial" w:hAnsi="Arial"/>
          <w:sz w:val="16"/>
          <w:szCs w:val="16"/>
          <w:color w:val="auto"/>
        </w:rPr>
        <w:t>Based on these criteria, our peer group for 2018, referred to as our 2018 peer group, as approved by our compensation committee, was comprised of the following 19 companies: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Acceleron Pharma Inc.</w:t>
            </w:r>
          </w:p>
        </w:tc>
        <w:tc>
          <w:tcPr>
            <w:tcW w:w="3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Editas Medicine, Inc.</w:t>
            </w:r>
          </w:p>
        </w:tc>
        <w:tc>
          <w:tcPr>
            <w:tcW w:w="34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Sage Therapeutics, Inc.</w:t>
            </w: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Aduro BioTech, Inc.</w:t>
            </w:r>
          </w:p>
        </w:tc>
        <w:tc>
          <w:tcPr>
            <w:tcW w:w="3060" w:type="dxa"/>
            <w:vAlign w:val="bottom"/>
          </w:tcPr>
          <w:p>
            <w:pPr>
              <w:ind w:left="540"/>
              <w:spacing w:after="0"/>
              <w:rPr>
                <w:sz w:val="20"/>
                <w:szCs w:val="20"/>
                <w:color w:val="auto"/>
              </w:rPr>
            </w:pPr>
            <w:r>
              <w:rPr>
                <w:rFonts w:ascii="Arial" w:cs="Arial" w:eastAsia="Arial" w:hAnsi="Arial"/>
                <w:sz w:val="16"/>
                <w:szCs w:val="16"/>
                <w:color w:val="auto"/>
              </w:rPr>
              <w:t>Epizyme, Inc.</w:t>
            </w:r>
          </w:p>
        </w:tc>
        <w:tc>
          <w:tcPr>
            <w:tcW w:w="3420" w:type="dxa"/>
            <w:vAlign w:val="bottom"/>
          </w:tcPr>
          <w:p>
            <w:pPr>
              <w:ind w:left="600"/>
              <w:spacing w:after="0"/>
              <w:rPr>
                <w:sz w:val="20"/>
                <w:szCs w:val="20"/>
                <w:color w:val="auto"/>
              </w:rPr>
            </w:pPr>
            <w:r>
              <w:rPr>
                <w:rFonts w:ascii="Arial" w:cs="Arial" w:eastAsia="Arial" w:hAnsi="Arial"/>
                <w:sz w:val="16"/>
                <w:szCs w:val="16"/>
                <w:color w:val="auto"/>
              </w:rPr>
              <w:t>Sangamo Therapeutics, Inc.</w:t>
            </w:r>
          </w:p>
        </w:tc>
      </w:tr>
      <w:tr>
        <w:trPr>
          <w:trHeight w:val="203"/>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Agios Pharmaceuticals, Inc.</w:t>
            </w:r>
          </w:p>
        </w:tc>
        <w:tc>
          <w:tcPr>
            <w:tcW w:w="3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Five Prime Therapeutics, Inc.</w:t>
            </w:r>
          </w:p>
        </w:tc>
        <w:tc>
          <w:tcPr>
            <w:tcW w:w="34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Spark Therapeutics, Inc.</w:t>
            </w: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Alder BioPharmaceuticals, Inc.</w:t>
            </w:r>
          </w:p>
        </w:tc>
        <w:tc>
          <w:tcPr>
            <w:tcW w:w="3060" w:type="dxa"/>
            <w:vAlign w:val="bottom"/>
          </w:tcPr>
          <w:p>
            <w:pPr>
              <w:ind w:left="540"/>
              <w:spacing w:after="0"/>
              <w:rPr>
                <w:sz w:val="20"/>
                <w:szCs w:val="20"/>
                <w:color w:val="auto"/>
              </w:rPr>
            </w:pPr>
            <w:r>
              <w:rPr>
                <w:rFonts w:ascii="Arial" w:cs="Arial" w:eastAsia="Arial" w:hAnsi="Arial"/>
                <w:sz w:val="16"/>
                <w:szCs w:val="16"/>
                <w:color w:val="auto"/>
              </w:rPr>
              <w:t>Juno Therapeutics, Inc.</w:t>
            </w:r>
          </w:p>
        </w:tc>
        <w:tc>
          <w:tcPr>
            <w:tcW w:w="3420" w:type="dxa"/>
            <w:vAlign w:val="bottom"/>
          </w:tcPr>
          <w:p>
            <w:pPr>
              <w:ind w:left="600"/>
              <w:spacing w:after="0"/>
              <w:rPr>
                <w:sz w:val="20"/>
                <w:szCs w:val="20"/>
                <w:color w:val="auto"/>
              </w:rPr>
            </w:pPr>
            <w:r>
              <w:rPr>
                <w:rFonts w:ascii="Arial" w:cs="Arial" w:eastAsia="Arial" w:hAnsi="Arial"/>
                <w:sz w:val="16"/>
                <w:szCs w:val="16"/>
                <w:color w:val="auto"/>
              </w:rPr>
              <w:t>Ultragenyx Pharmaceutical Inc.</w:t>
            </w:r>
          </w:p>
        </w:tc>
      </w:tr>
      <w:tr>
        <w:trPr>
          <w:trHeight w:val="203"/>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Amicus Therapeutics, Inc.</w:t>
            </w:r>
          </w:p>
        </w:tc>
        <w:tc>
          <w:tcPr>
            <w:tcW w:w="3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Loxo Oncology, Inc.</w:t>
            </w:r>
          </w:p>
        </w:tc>
        <w:tc>
          <w:tcPr>
            <w:tcW w:w="34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Xencor, Inc.</w:t>
            </w: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AveXis, Inc.</w:t>
            </w:r>
          </w:p>
        </w:tc>
        <w:tc>
          <w:tcPr>
            <w:tcW w:w="3060" w:type="dxa"/>
            <w:vAlign w:val="bottom"/>
          </w:tcPr>
          <w:p>
            <w:pPr>
              <w:ind w:left="540"/>
              <w:spacing w:after="0"/>
              <w:rPr>
                <w:sz w:val="20"/>
                <w:szCs w:val="20"/>
                <w:color w:val="auto"/>
              </w:rPr>
            </w:pPr>
            <w:r>
              <w:rPr>
                <w:rFonts w:ascii="Arial" w:cs="Arial" w:eastAsia="Arial" w:hAnsi="Arial"/>
                <w:sz w:val="16"/>
                <w:szCs w:val="16"/>
                <w:color w:val="auto"/>
              </w:rPr>
              <w:t>MacroGenics, Inc.</w:t>
            </w:r>
          </w:p>
        </w:tc>
        <w:tc>
          <w:tcPr>
            <w:tcW w:w="3420" w:type="dxa"/>
            <w:vAlign w:val="bottom"/>
          </w:tcPr>
          <w:p>
            <w:pPr>
              <w:ind w:left="600"/>
              <w:spacing w:after="0"/>
              <w:rPr>
                <w:sz w:val="20"/>
                <w:szCs w:val="20"/>
                <w:color w:val="auto"/>
              </w:rPr>
            </w:pPr>
            <w:r>
              <w:rPr>
                <w:rFonts w:ascii="Arial" w:cs="Arial" w:eastAsia="Arial" w:hAnsi="Arial"/>
                <w:sz w:val="16"/>
                <w:szCs w:val="16"/>
                <w:color w:val="auto"/>
              </w:rPr>
              <w:t>ZIOPHARM Oncology, Inc.</w:t>
            </w:r>
          </w:p>
        </w:tc>
      </w:tr>
      <w:tr>
        <w:trPr>
          <w:trHeight w:val="203"/>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bluebird bio, Inc.</w:t>
            </w:r>
          </w:p>
        </w:tc>
        <w:tc>
          <w:tcPr>
            <w:tcW w:w="306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r>
    </w:tbl>
    <w:p>
      <w:pPr>
        <w:spacing w:after="0" w:line="193"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The compensation committee believes the compensation practices of our peer group provide us with appropriate compensation benchmarks for evaluating the compensation of our named executive officers. Notwithstanding the similarities of our peer group to Blueprint Medicines, due to the nature of our business, we compete for executive talent with many companies that are larger and more established than we are or that possess greater resources than we do, as well as with prestigious academic and non-profit institutions. Other considerations, including market factors, the experience level of the executive and the executive’s performance against established corporate goals and individual objectives, may require that our compensation committee vary from its historic compensation practices or deviate from its general compensation philosophy under certain circumstances. We believe that the compensation practices of our 2018 peer group provided us with appropriate compensation benchmarks for evaluating the compensation of our named executive officers during 2018.</w:t>
      </w:r>
    </w:p>
    <w:p>
      <w:pPr>
        <w:spacing w:after="0" w:line="89" w:lineRule="exact"/>
        <w:rPr>
          <w:sz w:val="20"/>
          <w:szCs w:val="20"/>
          <w:color w:val="auto"/>
        </w:rPr>
      </w:pPr>
    </w:p>
    <w:p>
      <w:pPr>
        <w:ind w:firstLine="648"/>
        <w:spacing w:after="0" w:line="293" w:lineRule="auto"/>
        <w:rPr>
          <w:sz w:val="20"/>
          <w:szCs w:val="20"/>
          <w:color w:val="auto"/>
        </w:rPr>
      </w:pPr>
      <w:r>
        <w:rPr>
          <w:rFonts w:ascii="Arial" w:cs="Arial" w:eastAsia="Arial" w:hAnsi="Arial"/>
          <w:sz w:val="15"/>
          <w:szCs w:val="15"/>
          <w:color w:val="auto"/>
        </w:rPr>
        <w:t>For purposes of compensation for 2019, our compensation committee, with the advice of Radford, examined our 2018 peer group in light of our continued growth throughout 2018, which we anticipate to continue in 2019, the stage of development of our clinical programs and changes in our market capitalization. With reference to market capitalization, therapeutic area, stage of development, number of employees and other key business metrics, as well as whether the companies in our 2018 peer group suffered any clinical setbacks or experienced reduced growth, our compensation committee approved the following 16 companies as our 2019 peer group:</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Acceleron Pharma Inc.</w:t>
            </w:r>
          </w:p>
        </w:tc>
        <w:tc>
          <w:tcPr>
            <w:tcW w:w="3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Global Blood Therapeutics, Inc. *</w:t>
            </w:r>
          </w:p>
        </w:tc>
        <w:tc>
          <w:tcPr>
            <w:tcW w:w="3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Sage Therapeutics, Inc.</w:t>
            </w:r>
          </w:p>
        </w:tc>
      </w:tr>
      <w:tr>
        <w:trPr>
          <w:trHeight w:val="203"/>
        </w:trPr>
        <w:tc>
          <w:tcPr>
            <w:tcW w:w="2720" w:type="dxa"/>
            <w:vAlign w:val="bottom"/>
            <w:gridSpan w:val="2"/>
          </w:tcPr>
          <w:p>
            <w:pPr>
              <w:spacing w:after="0"/>
              <w:rPr>
                <w:sz w:val="20"/>
                <w:szCs w:val="20"/>
                <w:color w:val="auto"/>
              </w:rPr>
            </w:pPr>
            <w:r>
              <w:rPr>
                <w:rFonts w:ascii="Arial" w:cs="Arial" w:eastAsia="Arial" w:hAnsi="Arial"/>
                <w:sz w:val="16"/>
                <w:szCs w:val="16"/>
                <w:color w:val="auto"/>
              </w:rPr>
              <w:t>Agios Pharmaceuticals, Inc.</w:t>
            </w:r>
          </w:p>
        </w:tc>
        <w:tc>
          <w:tcPr>
            <w:tcW w:w="3060" w:type="dxa"/>
            <w:vAlign w:val="bottom"/>
          </w:tcPr>
          <w:p>
            <w:pPr>
              <w:ind w:left="400"/>
              <w:spacing w:after="0"/>
              <w:rPr>
                <w:sz w:val="20"/>
                <w:szCs w:val="20"/>
                <w:color w:val="auto"/>
              </w:rPr>
            </w:pPr>
            <w:r>
              <w:rPr>
                <w:rFonts w:ascii="Arial" w:cs="Arial" w:eastAsia="Arial" w:hAnsi="Arial"/>
                <w:sz w:val="16"/>
                <w:szCs w:val="16"/>
                <w:color w:val="auto"/>
              </w:rPr>
              <w:t>Insmed Incorporated *</w:t>
            </w:r>
          </w:p>
        </w:tc>
        <w:tc>
          <w:tcPr>
            <w:tcW w:w="3280" w:type="dxa"/>
            <w:vAlign w:val="bottom"/>
          </w:tcPr>
          <w:p>
            <w:pPr>
              <w:ind w:left="460"/>
              <w:spacing w:after="0"/>
              <w:rPr>
                <w:sz w:val="20"/>
                <w:szCs w:val="20"/>
                <w:color w:val="auto"/>
              </w:rPr>
            </w:pPr>
            <w:r>
              <w:rPr>
                <w:rFonts w:ascii="Arial" w:cs="Arial" w:eastAsia="Arial" w:hAnsi="Arial"/>
                <w:sz w:val="16"/>
                <w:szCs w:val="16"/>
                <w:color w:val="auto"/>
              </w:rPr>
              <w:t>Sangamo Therapeutics, Inc.</w:t>
            </w:r>
          </w:p>
        </w:tc>
      </w:tr>
      <w:tr>
        <w:trPr>
          <w:trHeight w:val="203"/>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Alder BioPharmaceuticals, Inc.</w:t>
            </w:r>
          </w:p>
        </w:tc>
        <w:tc>
          <w:tcPr>
            <w:tcW w:w="3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Loxo Oncology, Inc.</w:t>
            </w:r>
          </w:p>
        </w:tc>
        <w:tc>
          <w:tcPr>
            <w:tcW w:w="3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Spark Therapeutics, Inc.</w:t>
            </w:r>
          </w:p>
        </w:tc>
      </w:tr>
      <w:tr>
        <w:trPr>
          <w:trHeight w:val="203"/>
        </w:trPr>
        <w:tc>
          <w:tcPr>
            <w:tcW w:w="2720" w:type="dxa"/>
            <w:vAlign w:val="bottom"/>
            <w:gridSpan w:val="2"/>
          </w:tcPr>
          <w:p>
            <w:pPr>
              <w:spacing w:after="0"/>
              <w:rPr>
                <w:sz w:val="20"/>
                <w:szCs w:val="20"/>
                <w:color w:val="auto"/>
              </w:rPr>
            </w:pPr>
            <w:r>
              <w:rPr>
                <w:rFonts w:ascii="Arial" w:cs="Arial" w:eastAsia="Arial" w:hAnsi="Arial"/>
                <w:sz w:val="16"/>
                <w:szCs w:val="16"/>
                <w:color w:val="auto"/>
              </w:rPr>
              <w:t>Amicus Therapeutics, Inc.</w:t>
            </w:r>
          </w:p>
        </w:tc>
        <w:tc>
          <w:tcPr>
            <w:tcW w:w="3060" w:type="dxa"/>
            <w:vAlign w:val="bottom"/>
          </w:tcPr>
          <w:p>
            <w:pPr>
              <w:ind w:left="400"/>
              <w:spacing w:after="0"/>
              <w:rPr>
                <w:sz w:val="20"/>
                <w:szCs w:val="20"/>
                <w:color w:val="auto"/>
              </w:rPr>
            </w:pPr>
            <w:r>
              <w:rPr>
                <w:rFonts w:ascii="Arial" w:cs="Arial" w:eastAsia="Arial" w:hAnsi="Arial"/>
                <w:sz w:val="16"/>
                <w:szCs w:val="16"/>
                <w:color w:val="auto"/>
              </w:rPr>
              <w:t>MacroGenics, Inc.</w:t>
            </w:r>
          </w:p>
        </w:tc>
        <w:tc>
          <w:tcPr>
            <w:tcW w:w="3280" w:type="dxa"/>
            <w:vAlign w:val="bottom"/>
          </w:tcPr>
          <w:p>
            <w:pPr>
              <w:ind w:left="460"/>
              <w:spacing w:after="0"/>
              <w:rPr>
                <w:sz w:val="20"/>
                <w:szCs w:val="20"/>
                <w:color w:val="auto"/>
              </w:rPr>
            </w:pPr>
            <w:r>
              <w:rPr>
                <w:rFonts w:ascii="Arial" w:cs="Arial" w:eastAsia="Arial" w:hAnsi="Arial"/>
                <w:sz w:val="16"/>
                <w:szCs w:val="16"/>
                <w:color w:val="auto"/>
              </w:rPr>
              <w:t>Xencor, Inc.</w:t>
            </w:r>
          </w:p>
        </w:tc>
      </w:tr>
      <w:tr>
        <w:trPr>
          <w:trHeight w:val="203"/>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bluebird bio, Inc.</w:t>
            </w:r>
          </w:p>
        </w:tc>
        <w:tc>
          <w:tcPr>
            <w:tcW w:w="3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REGENXBIO, Inc. *</w:t>
            </w:r>
          </w:p>
        </w:tc>
        <w:tc>
          <w:tcPr>
            <w:tcW w:w="3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ZIOPHARM Oncology, Inc.</w:t>
            </w:r>
          </w:p>
        </w:tc>
      </w:tr>
      <w:tr>
        <w:trPr>
          <w:trHeight w:val="206"/>
        </w:trPr>
        <w:tc>
          <w:tcPr>
            <w:tcW w:w="2720" w:type="dxa"/>
            <w:vAlign w:val="bottom"/>
            <w:gridSpan w:val="2"/>
          </w:tcPr>
          <w:p>
            <w:pPr>
              <w:spacing w:after="0"/>
              <w:rPr>
                <w:sz w:val="20"/>
                <w:szCs w:val="20"/>
                <w:color w:val="auto"/>
              </w:rPr>
            </w:pPr>
            <w:r>
              <w:rPr>
                <w:rFonts w:ascii="Arial" w:cs="Arial" w:eastAsia="Arial" w:hAnsi="Arial"/>
                <w:sz w:val="16"/>
                <w:szCs w:val="16"/>
                <w:color w:val="auto"/>
              </w:rPr>
              <w:t>Editas Medicine, Inc.</w:t>
            </w:r>
          </w:p>
        </w:tc>
        <w:tc>
          <w:tcPr>
            <w:tcW w:w="306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104"/>
        </w:trPr>
        <w:tc>
          <w:tcPr>
            <w:tcW w:w="22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280" w:type="dxa"/>
            <w:vAlign w:val="bottom"/>
          </w:tcPr>
          <w:p>
            <w:pPr>
              <w:spacing w:after="0"/>
              <w:rPr>
                <w:sz w:val="9"/>
                <w:szCs w:val="9"/>
                <w:color w:val="auto"/>
              </w:rPr>
            </w:pPr>
          </w:p>
        </w:tc>
      </w:tr>
      <w:tr>
        <w:trPr>
          <w:trHeight w:val="298"/>
        </w:trPr>
        <w:tc>
          <w:tcPr>
            <w:tcW w:w="2720" w:type="dxa"/>
            <w:vAlign w:val="bottom"/>
            <w:gridSpan w:val="2"/>
          </w:tcPr>
          <w:p>
            <w:pPr>
              <w:spacing w:after="0"/>
              <w:rPr>
                <w:sz w:val="20"/>
                <w:szCs w:val="20"/>
                <w:color w:val="auto"/>
              </w:rPr>
            </w:pPr>
            <w:r>
              <w:rPr>
                <w:rFonts w:ascii="Arial" w:cs="Arial" w:eastAsia="Arial" w:hAnsi="Arial"/>
                <w:sz w:val="16"/>
                <w:szCs w:val="16"/>
                <w:color w:val="auto"/>
              </w:rPr>
              <w:t>* addition to 2019 peer group</w:t>
            </w:r>
          </w:p>
        </w:tc>
        <w:tc>
          <w:tcPr>
            <w:tcW w:w="30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324"/>
        </w:trPr>
        <w:tc>
          <w:tcPr>
            <w:tcW w:w="27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Executive Compensation Elements</w:t>
            </w:r>
          </w:p>
        </w:tc>
        <w:tc>
          <w:tcPr>
            <w:tcW w:w="3060" w:type="dxa"/>
            <w:vAlign w:val="bottom"/>
          </w:tcPr>
          <w:p>
            <w:pPr>
              <w:spacing w:after="0"/>
              <w:rPr>
                <w:sz w:val="24"/>
                <w:szCs w:val="24"/>
                <w:color w:val="auto"/>
              </w:rPr>
            </w:pPr>
          </w:p>
        </w:tc>
        <w:tc>
          <w:tcPr>
            <w:tcW w:w="3280" w:type="dxa"/>
            <w:vAlign w:val="bottom"/>
          </w:tcPr>
          <w:p>
            <w:pPr>
              <w:spacing w:after="0"/>
              <w:rPr>
                <w:sz w:val="24"/>
                <w:szCs w:val="24"/>
                <w:color w:val="auto"/>
              </w:rPr>
            </w:pPr>
          </w:p>
        </w:tc>
      </w:tr>
    </w:tbl>
    <w:p>
      <w:pPr>
        <w:spacing w:after="0" w:line="104" w:lineRule="exact"/>
        <w:rPr>
          <w:sz w:val="20"/>
          <w:szCs w:val="20"/>
          <w:color w:val="auto"/>
        </w:rPr>
      </w:pPr>
    </w:p>
    <w:p>
      <w:pPr>
        <w:ind w:right="40" w:firstLine="648"/>
        <w:spacing w:after="0" w:line="287" w:lineRule="auto"/>
        <w:rPr>
          <w:sz w:val="20"/>
          <w:szCs w:val="20"/>
          <w:color w:val="auto"/>
        </w:rPr>
      </w:pPr>
      <w:r>
        <w:rPr>
          <w:rFonts w:ascii="Arial" w:cs="Arial" w:eastAsia="Arial" w:hAnsi="Arial"/>
          <w:sz w:val="15"/>
          <w:szCs w:val="15"/>
          <w:color w:val="auto"/>
        </w:rPr>
        <w:t>The primary elements of our executive compensation program are base salary, annual performance-based cash incentives and equity incentive awards. Our compensation committee uses sound judgment to allocate long-term and short-term compensation for our named executive officers, in alignment with our pay-for-performance philosophy and the long-term interests of stockholders. After reviewing information provided by our compensation consultant and other relevant data, our compensation committee exercises its judgment to determine what it believes to be the appropriate level and mix of the various compensation components. We generally strive to provide our named executive officers with a balance of short-term and long-term incentives to encourage consistently strong performance. Ultimately, the objective in allocating between long-term and currently paid compensation is to ensure adequate base compensation to attract and retain talent, while providing incentives to maximize long-term value for our company and our stockholders. Therefore, we provide cash compensation in the form of base salary to meet competitive salary norms and reward performance on an annual basis and in the form of incentive compensation to incent and reward performance based on specific annual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26" w:name="page27"/>
    <w:bookmarkEnd w:id="26"/>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goals. To further focus our executives on longer-term performance, we rely upon equity-based awards that vest over a meaningful period of time, thereby reinforcing stockholder value creation. In addition, we provide our executives with benefits that are available to all employees, including medical, vision and dental insurance; life and disability insurance; medical and dependent care flexible spending accounts; a 401(k) plan; and an opportunity to invest in our company pursuant to our employee stock purchase plan. Finally, we offer our executives severance benefits upon an involuntary or constructive termination, as we believe such post-employment compensation protections are appropriate in light of similar benefits available to executive officers at companies in our peer group. We also offer our executives additional severance benefits in connection with change-in-control situations.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Salary</w:t>
      </w:r>
    </w:p>
    <w:p>
      <w:pPr>
        <w:spacing w:after="0" w:line="12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5"/>
          <w:szCs w:val="15"/>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However, on an annual basis, our compensation committee reviews and evaluates, with input from our chief executive officer, the need for adjustment of the base salaries of our executive officers (other than our chief executive officer), and our compensation committee reviews and evaluates, without input from our chief executive officer, the need for adjustment of the base salary of our chief executive officer, in each case, based on among other things, changes and expected changes in the scope of an executive officer’s responsibilities, including promotions, the individual contributions made by and performance of the executive officer during the prior year, our overall growth and development as a company and general salary or other market trends in our industry.</w:t>
      </w:r>
    </w:p>
    <w:p>
      <w:pPr>
        <w:spacing w:after="0" w:line="75" w:lineRule="exact"/>
        <w:rPr>
          <w:sz w:val="20"/>
          <w:szCs w:val="20"/>
          <w:color w:val="auto"/>
        </w:rPr>
      </w:pPr>
    </w:p>
    <w:p>
      <w:pPr>
        <w:ind w:right="200" w:firstLine="648"/>
        <w:spacing w:after="0" w:line="293" w:lineRule="auto"/>
        <w:rPr>
          <w:sz w:val="20"/>
          <w:szCs w:val="20"/>
          <w:color w:val="auto"/>
        </w:rPr>
      </w:pPr>
      <w:r>
        <w:rPr>
          <w:rFonts w:ascii="Arial" w:cs="Arial" w:eastAsia="Arial" w:hAnsi="Arial"/>
          <w:sz w:val="15"/>
          <w:szCs w:val="15"/>
          <w:color w:val="auto"/>
        </w:rPr>
        <w:t>In February 2018, our compensation committee approved salary increases for each of our named executive officers (other than Ms. Rossi, who joined the company in October 2018) based on a review of market data provided by Radford, the current compensation levels of our named executive officers, the company’s performance against the 2017 corporate performance goals and, in the case of executive officers other than our chief executive officer, each executive officer’s achievement of individual goals. The table below sets forth the adjustments to base salary, in dollars and as a percentage, for each of our named executive officers: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02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w w:val="99"/>
              </w:rPr>
              <w:t>Increase (%)</w:t>
            </w:r>
          </w:p>
        </w:tc>
        <w:tc>
          <w:tcPr>
            <w:tcW w:w="0" w:type="dxa"/>
            <w:vAlign w:val="bottom"/>
          </w:tcPr>
          <w:p>
            <w:pPr>
              <w:spacing w:after="0"/>
              <w:rPr>
                <w:sz w:val="1"/>
                <w:szCs w:val="1"/>
                <w:color w:val="auto"/>
              </w:rPr>
            </w:pPr>
          </w:p>
        </w:tc>
      </w:tr>
      <w:tr>
        <w:trPr>
          <w:trHeight w:val="171"/>
        </w:trPr>
        <w:tc>
          <w:tcPr>
            <w:tcW w:w="5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 xml:space="preserve">Base Salary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515,375</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w w:val="93"/>
              </w:rPr>
              <w:t>541,144</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5560" w:type="dxa"/>
            <w:vAlign w:val="bottom"/>
            <w:gridSpan w:val="2"/>
          </w:tcPr>
          <w:p>
            <w:pPr>
              <w:spacing w:after="0"/>
              <w:rPr>
                <w:sz w:val="20"/>
                <w:szCs w:val="20"/>
                <w:color w:val="auto"/>
              </w:rPr>
            </w:pPr>
            <w:r>
              <w:rPr>
                <w:rFonts w:ascii="Arial" w:cs="Arial" w:eastAsia="Arial" w:hAnsi="Arial"/>
                <w:sz w:val="16"/>
                <w:szCs w:val="16"/>
                <w:color w:val="auto"/>
              </w:rPr>
              <w:t>Michael Landsittel</w:t>
            </w:r>
          </w:p>
        </w:tc>
        <w:tc>
          <w:tcPr>
            <w:tcW w:w="38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260,936</w:t>
            </w:r>
          </w:p>
        </w:tc>
        <w:tc>
          <w:tcPr>
            <w:tcW w:w="36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760" w:type="dxa"/>
            <w:vAlign w:val="bottom"/>
          </w:tcPr>
          <w:p>
            <w:pPr>
              <w:ind w:left="200"/>
              <w:spacing w:after="0"/>
              <w:rPr>
                <w:sz w:val="20"/>
                <w:szCs w:val="20"/>
                <w:color w:val="auto"/>
              </w:rPr>
            </w:pPr>
            <w:r>
              <w:rPr>
                <w:rFonts w:ascii="Arial" w:cs="Arial" w:eastAsia="Arial" w:hAnsi="Arial"/>
                <w:sz w:val="16"/>
                <w:szCs w:val="16"/>
                <w:color w:val="auto"/>
                <w:w w:val="93"/>
              </w:rPr>
              <w:t>281,678</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7.95 %</w:t>
            </w:r>
          </w:p>
        </w:tc>
        <w:tc>
          <w:tcPr>
            <w:tcW w:w="0" w:type="dxa"/>
            <w:vAlign w:val="bottom"/>
          </w:tcPr>
          <w:p>
            <w:pPr>
              <w:spacing w:after="0"/>
              <w:rPr>
                <w:sz w:val="1"/>
                <w:szCs w:val="1"/>
                <w:color w:val="auto"/>
              </w:rPr>
            </w:pPr>
          </w:p>
        </w:tc>
      </w:tr>
      <w:tr>
        <w:trPr>
          <w:trHeight w:val="203"/>
        </w:trPr>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L. Boral, M.D., Ph.D.</w:t>
            </w:r>
          </w:p>
        </w:tc>
        <w:tc>
          <w:tcPr>
            <w:tcW w:w="38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411,000</w:t>
            </w:r>
          </w:p>
        </w:tc>
        <w:tc>
          <w:tcPr>
            <w:tcW w:w="36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3"/>
              </w:rPr>
              <w:t>447,440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8.87 %</w:t>
            </w:r>
          </w:p>
        </w:tc>
        <w:tc>
          <w:tcPr>
            <w:tcW w:w="0" w:type="dxa"/>
            <w:vAlign w:val="bottom"/>
          </w:tcPr>
          <w:p>
            <w:pPr>
              <w:spacing w:after="0"/>
              <w:rPr>
                <w:sz w:val="1"/>
                <w:szCs w:val="1"/>
                <w:color w:val="auto"/>
              </w:rPr>
            </w:pPr>
          </w:p>
        </w:tc>
      </w:tr>
      <w:tr>
        <w:trPr>
          <w:trHeight w:val="203"/>
        </w:trPr>
        <w:tc>
          <w:tcPr>
            <w:tcW w:w="5560" w:type="dxa"/>
            <w:vAlign w:val="bottom"/>
            <w:gridSpan w:val="2"/>
          </w:tcPr>
          <w:p>
            <w:pPr>
              <w:spacing w:after="0"/>
              <w:rPr>
                <w:sz w:val="20"/>
                <w:szCs w:val="20"/>
                <w:color w:val="auto"/>
              </w:rPr>
            </w:pPr>
            <w:r>
              <w:rPr>
                <w:rFonts w:ascii="Arial" w:cs="Arial" w:eastAsia="Arial" w:hAnsi="Arial"/>
                <w:sz w:val="16"/>
                <w:szCs w:val="16"/>
                <w:color w:val="auto"/>
              </w:rPr>
              <w:t>Tracey L. McCain, Esq.</w:t>
            </w:r>
          </w:p>
        </w:tc>
        <w:tc>
          <w:tcPr>
            <w:tcW w:w="38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408,861</w:t>
            </w:r>
          </w:p>
        </w:tc>
        <w:tc>
          <w:tcPr>
            <w:tcW w:w="36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760" w:type="dxa"/>
            <w:vAlign w:val="bottom"/>
          </w:tcPr>
          <w:p>
            <w:pPr>
              <w:ind w:left="200"/>
              <w:spacing w:after="0"/>
              <w:rPr>
                <w:sz w:val="20"/>
                <w:szCs w:val="20"/>
                <w:color w:val="auto"/>
              </w:rPr>
            </w:pPr>
            <w:r>
              <w:rPr>
                <w:rFonts w:ascii="Arial" w:cs="Arial" w:eastAsia="Arial" w:hAnsi="Arial"/>
                <w:sz w:val="16"/>
                <w:szCs w:val="16"/>
                <w:color w:val="auto"/>
                <w:w w:val="93"/>
              </w:rPr>
              <w:t>425,216</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4.00 %</w:t>
            </w:r>
          </w:p>
        </w:tc>
        <w:tc>
          <w:tcPr>
            <w:tcW w:w="0" w:type="dxa"/>
            <w:vAlign w:val="bottom"/>
          </w:tcPr>
          <w:p>
            <w:pPr>
              <w:spacing w:after="0"/>
              <w:rPr>
                <w:sz w:val="1"/>
                <w:szCs w:val="1"/>
                <w:color w:val="auto"/>
              </w:rPr>
            </w:pPr>
          </w:p>
        </w:tc>
      </w:tr>
      <w:tr>
        <w:trPr>
          <w:trHeight w:val="203"/>
        </w:trPr>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Christina Rossi</w:t>
            </w:r>
          </w:p>
        </w:tc>
        <w:tc>
          <w:tcPr>
            <w:tcW w:w="38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36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0"/>
              </w:rPr>
              <w:t>390,000 (1)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N/A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00" w:hanging="317"/>
        <w:spacing w:after="0" w:line="253" w:lineRule="auto"/>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Ms. Rossi joined the company as our chief commercial officer in October 2018. This amount represents her annualized base salary for the year ended December 31, 2018, which was determined based on the negotiated terms of her offer of employment.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Performance-Based Cash Incentives</w:t>
      </w:r>
    </w:p>
    <w:p>
      <w:pPr>
        <w:spacing w:after="0" w:line="127" w:lineRule="exact"/>
        <w:rPr>
          <w:sz w:val="20"/>
          <w:szCs w:val="20"/>
          <w:color w:val="auto"/>
        </w:rPr>
      </w:pPr>
    </w:p>
    <w:p>
      <w:pPr>
        <w:ind w:firstLine="648"/>
        <w:spacing w:after="0" w:line="286" w:lineRule="auto"/>
        <w:rPr>
          <w:sz w:val="20"/>
          <w:szCs w:val="20"/>
          <w:color w:val="auto"/>
        </w:rPr>
      </w:pPr>
      <w:r>
        <w:rPr>
          <w:rFonts w:ascii="Arial" w:cs="Arial" w:eastAsia="Arial" w:hAnsi="Arial"/>
          <w:sz w:val="15"/>
          <w:szCs w:val="15"/>
          <w:color w:val="auto"/>
        </w:rPr>
        <w:t>Our board of directors has adopted a senior executive cash incentive bonus plan, or the executive bonus plan, which provides for cash bonus payments to eligible executives based upon the attainment of performance targets established by the compensation committee for each executive during the first quarter of the applicable fiscal year. The payment targets are related to individual performance measures or objectives (other than for our chief executive officer), which we refer to as individual performance goals, and corporate financial and operational measures or objectives, which we refer to as corporate performance goals. Each executive officer who is selected to participate in the executive bonus plan has a target bonus opportunity set for each performance period. Subject to the rights contained in any agreement between the executive officer and the company, an executive officer must be employed by the company on the bonus payment date to be eligible to receive a bonus payment. The executive bonus plan also permits the compensation committee to approve additional bonuses to executive officers in its sole discretion. Each of our named executive officers is eligible to participate in the executive bonus plan. Beginning in 2018, our compensation committee determined to formally cap annual cash incentive program payouts in any given year at 150% of the target payout level.</w:t>
      </w:r>
    </w:p>
    <w:p>
      <w:pPr>
        <w:spacing w:after="0" w:line="75" w:lineRule="exact"/>
        <w:rPr>
          <w:sz w:val="20"/>
          <w:szCs w:val="20"/>
          <w:color w:val="auto"/>
        </w:rPr>
      </w:pPr>
    </w:p>
    <w:p>
      <w:pPr>
        <w:ind w:right="160" w:firstLine="648"/>
        <w:spacing w:after="0" w:line="278" w:lineRule="auto"/>
        <w:rPr>
          <w:sz w:val="20"/>
          <w:szCs w:val="20"/>
          <w:color w:val="auto"/>
        </w:rPr>
      </w:pPr>
      <w:r>
        <w:rPr>
          <w:rFonts w:ascii="Arial" w:cs="Arial" w:eastAsia="Arial" w:hAnsi="Arial"/>
          <w:sz w:val="16"/>
          <w:szCs w:val="16"/>
          <w:color w:val="auto"/>
        </w:rPr>
        <w:t>Below is the list of the company’s 2018 corporate performance goals and relative weighting assigned to each goal, which were approved by our board of directors and considered by our executive leadership team and compensation committee in their respective assessment of the company’s achievement of corporate performance goals for 2018:</w:t>
      </w:r>
    </w:p>
    <w:p>
      <w:pPr>
        <w:spacing w:after="0" w:line="76" w:lineRule="exact"/>
        <w:rPr>
          <w:sz w:val="20"/>
          <w:szCs w:val="20"/>
          <w:color w:val="auto"/>
        </w:rPr>
      </w:pPr>
    </w:p>
    <w:p>
      <w:pPr>
        <w:ind w:left="980" w:right="280" w:hanging="329"/>
        <w:spacing w:after="0" w:line="293"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Demonstrate meaningful patient benefit in genomically selected patients to rapidly deliver differentiated medicines to patients globally [relative weighting: 40%]</w:t>
      </w:r>
    </w:p>
    <w:p>
      <w:pPr>
        <w:spacing w:after="0" w:line="63"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5"/>
          <w:szCs w:val="15"/>
          <w:color w:val="auto"/>
        </w:rPr>
        <w:t>§   Lock the submission database for the initial GIST accelerated approval new drug application by the end of 2018;</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27" w:name="page28"/>
    <w:bookmarkEnd w:id="27"/>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1300" w:hanging="325"/>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Obtain two breakthrough therapy designations; and</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Initiate at least three new pivotal/registration studies.*</w:t>
      </w:r>
    </w:p>
    <w:p>
      <w:pPr>
        <w:spacing w:after="0" w:line="126" w:lineRule="exact"/>
        <w:rPr>
          <w:rFonts w:ascii="Arial" w:cs="Arial" w:eastAsia="Arial" w:hAnsi="Arial"/>
          <w:sz w:val="16"/>
          <w:szCs w:val="16"/>
          <w:color w:val="auto"/>
        </w:rPr>
      </w:pPr>
    </w:p>
    <w:p>
      <w:pPr>
        <w:ind w:left="980" w:right="540" w:hanging="329"/>
        <w:spacing w:after="0" w:line="293"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build a diverse discovery pipeline of potentially transformative medicines targeting kinases that drive genomically defined diseases [relative weighting: 30%]</w:t>
      </w:r>
    </w:p>
    <w:p>
      <w:pPr>
        <w:spacing w:after="0" w:line="63" w:lineRule="exact"/>
        <w:rPr>
          <w:rFonts w:ascii="Arial" w:cs="Arial" w:eastAsia="Arial" w:hAnsi="Arial"/>
          <w:sz w:val="16"/>
          <w:szCs w:val="16"/>
          <w:color w:val="auto"/>
        </w:rPr>
      </w:pPr>
    </w:p>
    <w:p>
      <w:pPr>
        <w:ind w:left="1300" w:hanging="325"/>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Initiate Phase 2-enabling toxicology studies for BLU-782 by the end of the second quarter of 2018;</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File an investigational new drug application by the end of 2018 for FOP;</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Nominate two new development candidates by the end of 2018;* and</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Nominate additional discovery programs.*</w:t>
      </w:r>
    </w:p>
    <w:p>
      <w:pPr>
        <w:spacing w:after="0" w:line="126" w:lineRule="exact"/>
        <w:rPr>
          <w:rFonts w:ascii="Arial" w:cs="Arial" w:eastAsia="Arial" w:hAnsi="Arial"/>
          <w:sz w:val="16"/>
          <w:szCs w:val="16"/>
          <w:color w:val="auto"/>
        </w:rPr>
      </w:pPr>
    </w:p>
    <w:p>
      <w:pPr>
        <w:ind w:left="980" w:right="40" w:hanging="329"/>
        <w:spacing w:after="0" w:line="293"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Build a fully-integrated biotechnology company that responsibly manages a portfolio of therapeutics, both independently and through collaboration [relative weighting: 30%]</w:t>
      </w:r>
    </w:p>
    <w:p>
      <w:pPr>
        <w:spacing w:after="0" w:line="63" w:lineRule="exact"/>
        <w:rPr>
          <w:rFonts w:ascii="Arial" w:cs="Arial" w:eastAsia="Arial" w:hAnsi="Arial"/>
          <w:sz w:val="16"/>
          <w:szCs w:val="16"/>
          <w:color w:val="auto"/>
        </w:rPr>
      </w:pPr>
    </w:p>
    <w:p>
      <w:pPr>
        <w:ind w:left="1300" w:right="80" w:hanging="325"/>
        <w:spacing w:after="0" w:line="293"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Remain on track for simultaneous submission of new drug application and premarket approval application for GIST in second quarter of 2019;*</w:t>
      </w:r>
    </w:p>
    <w:p>
      <w:pPr>
        <w:spacing w:after="0" w:line="63" w:lineRule="exact"/>
        <w:rPr>
          <w:rFonts w:ascii="Arial" w:cs="Arial" w:eastAsia="Arial" w:hAnsi="Arial"/>
          <w:sz w:val="16"/>
          <w:szCs w:val="16"/>
          <w:color w:val="auto"/>
        </w:rPr>
      </w:pPr>
    </w:p>
    <w:p>
      <w:pPr>
        <w:ind w:left="1300" w:hanging="325"/>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Ensure a specified cash balance as of December 31, 2018;*</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Complete additional collaborations in line with the company’s overall portfolio and commercial strategy;* and</w:t>
      </w:r>
    </w:p>
    <w:p>
      <w:pPr>
        <w:spacing w:after="0" w:line="126" w:lineRule="exact"/>
        <w:rPr>
          <w:rFonts w:ascii="Arial" w:cs="Arial" w:eastAsia="Arial" w:hAnsi="Arial"/>
          <w:sz w:val="16"/>
          <w:szCs w:val="16"/>
          <w:color w:val="auto"/>
        </w:rPr>
      </w:pPr>
    </w:p>
    <w:p>
      <w:pPr>
        <w:ind w:left="1300" w:right="260" w:hanging="325"/>
        <w:spacing w:after="0" w:line="293"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Foster a differentiated culture which empowers continuous innovation while driving employee engagement at a rate that is 10% higher than the average of our peers by the end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115570</wp:posOffset>
            </wp:positionV>
            <wp:extent cx="13379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92" w:lineRule="exact"/>
        <w:rPr>
          <w:sz w:val="20"/>
          <w:szCs w:val="20"/>
          <w:color w:val="auto"/>
        </w:rPr>
      </w:pPr>
    </w:p>
    <w:p>
      <w:pPr>
        <w:ind w:left="980" w:right="40" w:hanging="329"/>
        <w:spacing w:after="0" w:line="263" w:lineRule="auto"/>
        <w:tabs>
          <w:tab w:leader="none" w:pos="939" w:val="left"/>
        </w:tabs>
        <w:numPr>
          <w:ilvl w:val="0"/>
          <w:numId w:val="64"/>
        </w:numPr>
        <w:rPr>
          <w:rFonts w:ascii="Arial" w:cs="Arial" w:eastAsia="Arial" w:hAnsi="Arial"/>
          <w:sz w:val="14"/>
          <w:szCs w:val="14"/>
          <w:color w:val="auto"/>
        </w:rPr>
      </w:pPr>
      <w:r>
        <w:rPr>
          <w:rFonts w:ascii="Arial" w:cs="Arial" w:eastAsia="Arial" w:hAnsi="Arial"/>
          <w:sz w:val="13"/>
          <w:szCs w:val="13"/>
          <w:color w:val="auto"/>
        </w:rPr>
        <w:t>These corporate performance goals include highly sensitive competitive data, including pre-clinical, clinical and financial targets. We do not disclose the specific portions of these goals because we believe that such disclosure would result in competitive harm to us. We purposely set these goals at challenging levels. Revealing certain elements of these goals could potentially reveal insights about our pre-clinical, clinical and strategic plans or objectives that our competitors or potential collaborators could use against us.</w:t>
      </w:r>
    </w:p>
    <w:p>
      <w:pPr>
        <w:spacing w:after="0" w:line="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5"/>
          <w:szCs w:val="15"/>
          <w:color w:val="auto"/>
        </w:rPr>
        <w:t>In December 2018, our chief executive officer recommended to our compensation committee that our company’s performance against 2018 corporate performance goals be achieved at a range between 98.0% to 104.0%, based on the significant achievements in 2018 as discussed in “Compensation Discussion and Analysis—Executive Summary” above, and our compensation committee determined that our company achieved the 2018 corporate performance goals at 104.0%, as set forth in the table below.</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37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Relative</w:t>
            </w:r>
          </w:p>
        </w:tc>
        <w:tc>
          <w:tcPr>
            <w:tcW w:w="2100" w:type="dxa"/>
            <w:vAlign w:val="bottom"/>
            <w:tcBorders>
              <w:top w:val="single" w:sz="8" w:color="auto"/>
            </w:tcBorders>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88"/>
              </w:rPr>
              <w:t>Assessment of Actual</w:t>
            </w:r>
          </w:p>
        </w:tc>
        <w:tc>
          <w:tcPr>
            <w:tcW w:w="14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2018 Corporate Goals</w:t>
            </w:r>
          </w:p>
        </w:tc>
        <w:tc>
          <w:tcPr>
            <w:tcW w:w="1500" w:type="dxa"/>
            <w:vAlign w:val="bottom"/>
            <w:gridSpan w:val="2"/>
            <w:vMerge w:val="continue"/>
          </w:tcPr>
          <w:p>
            <w:pPr>
              <w:spacing w:after="0"/>
              <w:rPr>
                <w:sz w:val="12"/>
                <w:szCs w:val="12"/>
                <w:color w:val="auto"/>
              </w:rPr>
            </w:pPr>
          </w:p>
        </w:tc>
        <w:tc>
          <w:tcPr>
            <w:tcW w:w="2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Achievement for 2018</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20" w:type="dxa"/>
            <w:vAlign w:val="bottom"/>
            <w:gridSpan w:val="2"/>
            <w:vMerge w:val="continue"/>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Weighting</w:t>
            </w:r>
          </w:p>
        </w:tc>
        <w:tc>
          <w:tcPr>
            <w:tcW w:w="2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(as a % of target)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93"/>
        </w:trPr>
        <w:tc>
          <w:tcPr>
            <w:tcW w:w="3740" w:type="dxa"/>
            <w:vAlign w:val="bottom"/>
            <w:tcBorders>
              <w:bottom w:val="single" w:sz="8" w:color="auto"/>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740" w:type="dxa"/>
            <w:vAlign w:val="bottom"/>
            <w:shd w:val="clear" w:color="auto" w:fill="CCEEFF"/>
          </w:tcPr>
          <w:p>
            <w:pPr>
              <w:ind w:left="100"/>
              <w:spacing w:after="0"/>
              <w:rPr>
                <w:sz w:val="20"/>
                <w:szCs w:val="20"/>
                <w:color w:val="auto"/>
              </w:rPr>
            </w:pPr>
            <w:r>
              <w:rPr>
                <w:rFonts w:ascii="Arial" w:cs="Arial" w:eastAsia="Arial" w:hAnsi="Arial"/>
                <w:sz w:val="16"/>
                <w:szCs w:val="16"/>
                <w:i w:val="1"/>
                <w:iCs w:val="1"/>
                <w:color w:val="auto"/>
              </w:rPr>
              <w:t>Demonstrate meaningful patient benefit in</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40.0%</w:t>
            </w:r>
          </w:p>
        </w:tc>
        <w:tc>
          <w:tcPr>
            <w:tcW w:w="28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110.0%</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44.0%</w:t>
            </w: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6"/>
                <w:szCs w:val="16"/>
                <w:i w:val="1"/>
                <w:iCs w:val="1"/>
                <w:color w:val="auto"/>
              </w:rPr>
              <w:t>genomically selected patients to rapidly deliver</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6"/>
                <w:szCs w:val="16"/>
                <w:i w:val="1"/>
                <w:iCs w:val="1"/>
                <w:color w:val="auto"/>
              </w:rPr>
              <w:t>differentiated medicines to patients globally</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7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4020" w:type="dxa"/>
            <w:vAlign w:val="bottom"/>
            <w:gridSpan w:val="2"/>
          </w:tcPr>
          <w:p>
            <w:pPr>
              <w:ind w:left="100"/>
              <w:spacing w:after="0"/>
              <w:rPr>
                <w:sz w:val="20"/>
                <w:szCs w:val="20"/>
                <w:color w:val="auto"/>
              </w:rPr>
            </w:pPr>
            <w:r>
              <w:rPr>
                <w:rFonts w:ascii="Arial" w:cs="Arial" w:eastAsia="Arial" w:hAnsi="Arial"/>
                <w:sz w:val="16"/>
                <w:szCs w:val="16"/>
                <w:i w:val="1"/>
                <w:iCs w:val="1"/>
                <w:color w:val="auto"/>
              </w:rPr>
              <w:t>Continue to build a diverse discovery pipeline of</w:t>
            </w: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2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2"/>
              </w:rPr>
              <w:t>97.0%</w:t>
            </w:r>
          </w:p>
        </w:tc>
        <w:tc>
          <w:tcPr>
            <w:tcW w:w="3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29.1%</w:t>
            </w:r>
          </w:p>
        </w:tc>
        <w:tc>
          <w:tcPr>
            <w:tcW w:w="0" w:type="dxa"/>
            <w:vAlign w:val="bottom"/>
          </w:tcPr>
          <w:p>
            <w:pPr>
              <w:spacing w:after="0"/>
              <w:rPr>
                <w:sz w:val="1"/>
                <w:szCs w:val="1"/>
                <w:color w:val="auto"/>
              </w:rPr>
            </w:pPr>
          </w:p>
        </w:tc>
      </w:tr>
      <w:tr>
        <w:trPr>
          <w:trHeight w:val="203"/>
        </w:trPr>
        <w:tc>
          <w:tcPr>
            <w:tcW w:w="4020" w:type="dxa"/>
            <w:vAlign w:val="bottom"/>
            <w:gridSpan w:val="2"/>
          </w:tcPr>
          <w:p>
            <w:pPr>
              <w:ind w:left="100"/>
              <w:spacing w:after="0"/>
              <w:rPr>
                <w:sz w:val="20"/>
                <w:szCs w:val="20"/>
                <w:color w:val="auto"/>
              </w:rPr>
            </w:pPr>
            <w:r>
              <w:rPr>
                <w:rFonts w:ascii="Arial" w:cs="Arial" w:eastAsia="Arial" w:hAnsi="Arial"/>
                <w:sz w:val="16"/>
                <w:szCs w:val="16"/>
                <w:i w:val="1"/>
                <w:iCs w:val="1"/>
                <w:color w:val="auto"/>
              </w:rPr>
              <w:t>potentially transformative medicines targeting</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gridSpan w:val="2"/>
          </w:tcPr>
          <w:p>
            <w:pPr>
              <w:ind w:left="100"/>
              <w:spacing w:after="0"/>
              <w:rPr>
                <w:sz w:val="20"/>
                <w:szCs w:val="20"/>
                <w:color w:val="auto"/>
              </w:rPr>
            </w:pPr>
            <w:r>
              <w:rPr>
                <w:rFonts w:ascii="Arial" w:cs="Arial" w:eastAsia="Arial" w:hAnsi="Arial"/>
                <w:sz w:val="16"/>
                <w:szCs w:val="16"/>
                <w:i w:val="1"/>
                <w:iCs w:val="1"/>
                <w:color w:val="auto"/>
              </w:rPr>
              <w:t>kinases that drive genomically defined diseases</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6"/>
                <w:szCs w:val="16"/>
                <w:i w:val="1"/>
                <w:iCs w:val="1"/>
                <w:color w:val="auto"/>
              </w:rPr>
              <w:t>Build a fully-integrated biotechnology company that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28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103.0%</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30.9%</w:t>
            </w: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6"/>
                <w:szCs w:val="16"/>
                <w:i w:val="1"/>
                <w:iCs w:val="1"/>
                <w:color w:val="auto"/>
              </w:rPr>
              <w:t>responsibly manages a portfolio of therapeutics, both</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6"/>
                <w:szCs w:val="16"/>
                <w:i w:val="1"/>
                <w:iCs w:val="1"/>
                <w:color w:val="auto"/>
              </w:rPr>
              <w:t>independently and through collaboration</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74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80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4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02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Total</w:t>
            </w:r>
          </w:p>
        </w:tc>
        <w:tc>
          <w:tcPr>
            <w:tcW w:w="122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2"/>
              </w:rPr>
              <w:t>100.0%</w:t>
            </w: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2"/>
              </w:rPr>
              <w:t>104.0%</w:t>
            </w:r>
          </w:p>
        </w:tc>
        <w:tc>
          <w:tcPr>
            <w:tcW w:w="0" w:type="dxa"/>
            <w:vAlign w:val="bottom"/>
          </w:tcPr>
          <w:p>
            <w:pPr>
              <w:spacing w:after="0"/>
              <w:rPr>
                <w:sz w:val="1"/>
                <w:szCs w:val="1"/>
                <w:color w:val="auto"/>
              </w:rPr>
            </w:pPr>
          </w:p>
        </w:tc>
      </w:tr>
      <w:tr>
        <w:trPr>
          <w:trHeight w:val="104"/>
        </w:trPr>
        <w:tc>
          <w:tcPr>
            <w:tcW w:w="3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individual objectives in 2018 assigned to our named executive officers other than our chief executive officer were as follows:</w:t>
      </w:r>
    </w:p>
    <w:p>
      <w:pPr>
        <w:spacing w:after="0" w:line="150" w:lineRule="exact"/>
        <w:rPr>
          <w:sz w:val="20"/>
          <w:szCs w:val="20"/>
          <w:color w:val="auto"/>
        </w:rPr>
      </w:pPr>
    </w:p>
    <w:p>
      <w:pPr>
        <w:ind w:left="980" w:right="20" w:hanging="329"/>
        <w:spacing w:after="0" w:line="303" w:lineRule="auto"/>
        <w:tabs>
          <w:tab w:leader="none" w:pos="980" w:val="left"/>
        </w:tabs>
        <w:numPr>
          <w:ilvl w:val="0"/>
          <w:numId w:val="6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Michael Landsittel. </w:t>
      </w:r>
      <w:r>
        <w:rPr>
          <w:rFonts w:ascii="Arial" w:cs="Arial" w:eastAsia="Arial" w:hAnsi="Arial"/>
          <w:sz w:val="14"/>
          <w:szCs w:val="14"/>
          <w:color w:val="auto"/>
        </w:rPr>
        <w:t>Mr. Landsittel was assigned objectives related to (1) providing leadership for the company, (2) ensuring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cross-functional effectiveness related to the expansion of our international operations and clinical development plans for avapritinib in GIST, (3) increasing operational capacity and efficiency for the finance, accounting and facilities functions,</w:t>
      </w:r>
    </w:p>
    <w:p>
      <w:pPr>
        <w:spacing w:after="0" w:line="1" w:lineRule="exact"/>
        <w:rPr>
          <w:rFonts w:ascii="Arial" w:cs="Arial" w:eastAsia="Arial" w:hAnsi="Arial"/>
          <w:sz w:val="14"/>
          <w:szCs w:val="14"/>
          <w:color w:val="auto"/>
        </w:rPr>
      </w:pPr>
    </w:p>
    <w:p>
      <w:pPr>
        <w:ind w:left="980"/>
        <w:spacing w:after="0"/>
        <w:rPr>
          <w:rFonts w:ascii="Arial" w:cs="Arial" w:eastAsia="Arial" w:hAnsi="Arial"/>
          <w:sz w:val="14"/>
          <w:szCs w:val="14"/>
          <w:color w:val="auto"/>
        </w:rPr>
      </w:pPr>
      <w:r>
        <w:rPr>
          <w:rFonts w:ascii="Arial" w:cs="Arial" w:eastAsia="Arial" w:hAnsi="Arial"/>
          <w:sz w:val="16"/>
          <w:szCs w:val="16"/>
          <w:color w:val="auto"/>
        </w:rPr>
        <w:t>(4) increased investor and analyst engagement and (5) executing on the company’s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28" w:name="page29"/>
    <w:bookmarkEnd w:id="28"/>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980" w:right="180"/>
        <w:spacing w:after="0" w:line="293" w:lineRule="auto"/>
        <w:rPr>
          <w:sz w:val="20"/>
          <w:szCs w:val="20"/>
          <w:color w:val="auto"/>
        </w:rPr>
      </w:pPr>
      <w:r>
        <w:rPr>
          <w:rFonts w:ascii="Arial" w:cs="Arial" w:eastAsia="Arial" w:hAnsi="Arial"/>
          <w:sz w:val="16"/>
          <w:szCs w:val="16"/>
          <w:color w:val="auto"/>
        </w:rPr>
        <w:t>capital markets and fundraising activities. For 2018, the compensation committee determined that Mr. Landsittel achieved 114.4% of his individual objectives.</w:t>
      </w:r>
    </w:p>
    <w:p>
      <w:pPr>
        <w:spacing w:after="0" w:line="64" w:lineRule="exact"/>
        <w:rPr>
          <w:sz w:val="20"/>
          <w:szCs w:val="20"/>
          <w:color w:val="auto"/>
        </w:rPr>
      </w:pPr>
    </w:p>
    <w:p>
      <w:pPr>
        <w:ind w:left="980" w:hanging="329"/>
        <w:spacing w:after="0" w:line="269"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Anthony L. Boral, M.D., Ph.D. </w:t>
      </w:r>
      <w:r>
        <w:rPr>
          <w:rFonts w:ascii="Arial" w:cs="Arial" w:eastAsia="Arial" w:hAnsi="Arial"/>
          <w:sz w:val="16"/>
          <w:szCs w:val="16"/>
          <w:color w:val="auto"/>
        </w:rPr>
        <w:t>Dr. Boral was assigned objectives related to (1) providing leadership for the company,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ensuring cross-functional effectiveness related to the expansion of our international operations and clinical development plans for avapritinib in GIST, (3) hiring key employees to support the expansion of our clinical and medical affairs functions, (4) achieving clinical milestones related to the initiation of additional clinical trials for avapritinib in SM and achieving regulatory milestones related to FDA and EMA interactions for avapritinib and (5) increasing operational capacity and functional expertise related to our lead drug candidates. For 2018, the compensation committee determined that Dr. Boral achieved 93.6% of his individual objectives.</w:t>
      </w:r>
    </w:p>
    <w:p>
      <w:pPr>
        <w:spacing w:after="0" w:line="82" w:lineRule="exact"/>
        <w:rPr>
          <w:rFonts w:ascii="Arial" w:cs="Arial" w:eastAsia="Arial" w:hAnsi="Arial"/>
          <w:sz w:val="16"/>
          <w:szCs w:val="16"/>
          <w:color w:val="auto"/>
        </w:rPr>
      </w:pPr>
    </w:p>
    <w:p>
      <w:pPr>
        <w:ind w:left="980" w:right="280" w:hanging="329"/>
        <w:spacing w:after="0" w:line="271"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Tracey L. McCain, Esq. </w:t>
      </w:r>
      <w:r>
        <w:rPr>
          <w:rFonts w:ascii="Arial" w:cs="Arial" w:eastAsia="Arial" w:hAnsi="Arial"/>
          <w:sz w:val="16"/>
          <w:szCs w:val="16"/>
          <w:color w:val="auto"/>
        </w:rPr>
        <w:t>Ms. McCain was assigned objectives related to (1) providing leadership for the company,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ensuring cross-functional effectiveness related to the expansion of our international operations and clinical development plans for avapritinib in GIST, (3) providing legal and policy advice and counsel to the company and (4) increasing operational capacity in areas under her supervision. For 2018, the compensation committee determined that Ms. McCain achieved 104.0% of her individual objectives.</w:t>
      </w:r>
    </w:p>
    <w:p>
      <w:pPr>
        <w:spacing w:after="0" w:line="82" w:lineRule="exact"/>
        <w:rPr>
          <w:rFonts w:ascii="Arial" w:cs="Arial" w:eastAsia="Arial" w:hAnsi="Arial"/>
          <w:sz w:val="16"/>
          <w:szCs w:val="16"/>
          <w:color w:val="auto"/>
        </w:rPr>
      </w:pPr>
    </w:p>
    <w:p>
      <w:pPr>
        <w:ind w:left="980" w:right="160" w:hanging="329"/>
        <w:spacing w:after="0" w:line="305" w:lineRule="auto"/>
        <w:tabs>
          <w:tab w:leader="none" w:pos="980" w:val="left"/>
        </w:tabs>
        <w:numPr>
          <w:ilvl w:val="0"/>
          <w:numId w:val="6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Christina Rossi. </w:t>
      </w:r>
      <w:r>
        <w:rPr>
          <w:rFonts w:ascii="Arial" w:cs="Arial" w:eastAsia="Arial" w:hAnsi="Arial"/>
          <w:sz w:val="15"/>
          <w:szCs w:val="15"/>
          <w:color w:val="auto"/>
        </w:rPr>
        <w:t>Ms. Rossi was assigned objectives related to (1) providing leadership for the company and (2) expanding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company’s commercial function in preparation for planned NDA filings and potential FDA approvals. For 2018, the compensation committee determined that Ms. Rossi achieved 104.0% of her individual objectives.</w:t>
      </w:r>
    </w:p>
    <w:p>
      <w:pPr>
        <w:spacing w:after="0" w:line="58" w:lineRule="exact"/>
        <w:rPr>
          <w:sz w:val="20"/>
          <w:szCs w:val="20"/>
          <w:color w:val="auto"/>
        </w:rPr>
      </w:pPr>
    </w:p>
    <w:p>
      <w:pPr>
        <w:ind w:right="520" w:firstLine="648"/>
        <w:spacing w:after="0" w:line="293" w:lineRule="auto"/>
        <w:rPr>
          <w:sz w:val="20"/>
          <w:szCs w:val="20"/>
          <w:color w:val="auto"/>
        </w:rPr>
      </w:pPr>
      <w:r>
        <w:rPr>
          <w:rFonts w:ascii="Arial" w:cs="Arial" w:eastAsia="Arial" w:hAnsi="Arial"/>
          <w:sz w:val="16"/>
          <w:szCs w:val="16"/>
          <w:color w:val="auto"/>
        </w:rPr>
        <w:t>Based on company and individual performance, the compensation committee approved the following 2018 cash incentive payments for each of our named executive officers: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ind w:right="299"/>
              <w:spacing w:after="0"/>
              <w:rPr>
                <w:sz w:val="20"/>
                <w:szCs w:val="20"/>
                <w:color w:val="auto"/>
              </w:rPr>
            </w:pPr>
            <w:r>
              <w:rPr>
                <w:rFonts w:ascii="Arial" w:cs="Arial" w:eastAsia="Arial" w:hAnsi="Arial"/>
                <w:sz w:val="14"/>
                <w:szCs w:val="14"/>
                <w:b w:val="1"/>
                <w:bCs w:val="1"/>
                <w:color w:val="auto"/>
                <w:w w:val="93"/>
              </w:rPr>
              <w:t>Target Award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10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2"/>
              </w:rPr>
              <w:t>2018 Actual</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Actual Cash</w:t>
            </w:r>
          </w:p>
        </w:tc>
        <w:tc>
          <w:tcPr>
            <w:tcW w:w="220" w:type="dxa"/>
            <w:vAlign w:val="bottom"/>
          </w:tcPr>
          <w:p>
            <w:pPr>
              <w:spacing w:after="0"/>
              <w:rPr>
                <w:sz w:val="12"/>
                <w:szCs w:val="12"/>
                <w:color w:val="auto"/>
              </w:rPr>
            </w:pPr>
          </w:p>
        </w:tc>
        <w:tc>
          <w:tcPr>
            <w:tcW w:w="110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Cash Incentive</w:t>
            </w:r>
          </w:p>
        </w:tc>
        <w:tc>
          <w:tcPr>
            <w:tcW w:w="0" w:type="dxa"/>
            <w:vAlign w:val="bottom"/>
          </w:tcPr>
          <w:p>
            <w:pPr>
              <w:spacing w:after="0"/>
              <w:rPr>
                <w:sz w:val="1"/>
                <w:szCs w:val="1"/>
                <w:color w:val="auto"/>
              </w:rPr>
            </w:pPr>
          </w:p>
        </w:tc>
      </w:tr>
      <w:tr>
        <w:trPr>
          <w:trHeight w:val="149"/>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299"/>
              <w:spacing w:after="0" w:line="149" w:lineRule="exact"/>
              <w:rPr>
                <w:sz w:val="20"/>
                <w:szCs w:val="20"/>
                <w:color w:val="auto"/>
              </w:rPr>
            </w:pPr>
            <w:r>
              <w:rPr>
                <w:rFonts w:ascii="Arial" w:cs="Arial" w:eastAsia="Arial" w:hAnsi="Arial"/>
                <w:sz w:val="14"/>
                <w:szCs w:val="14"/>
                <w:b w:val="1"/>
                <w:bCs w:val="1"/>
                <w:color w:val="auto"/>
                <w:w w:val="94"/>
              </w:rPr>
              <w:t>(% of Base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Incentive</w:t>
            </w:r>
          </w:p>
        </w:tc>
        <w:tc>
          <w:tcPr>
            <w:tcW w:w="220" w:type="dxa"/>
            <w:vAlign w:val="bottom"/>
          </w:tcPr>
          <w:p>
            <w:pPr>
              <w:spacing w:after="0"/>
              <w:rPr>
                <w:sz w:val="12"/>
                <w:szCs w:val="12"/>
                <w:color w:val="auto"/>
              </w:rPr>
            </w:pPr>
          </w:p>
        </w:tc>
        <w:tc>
          <w:tcPr>
            <w:tcW w:w="110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Payment (% of</w:t>
            </w:r>
          </w:p>
        </w:tc>
        <w:tc>
          <w:tcPr>
            <w:tcW w:w="0" w:type="dxa"/>
            <w:vAlign w:val="bottom"/>
          </w:tcPr>
          <w:p>
            <w:pPr>
              <w:spacing w:after="0"/>
              <w:rPr>
                <w:sz w:val="1"/>
                <w:szCs w:val="1"/>
                <w:color w:val="auto"/>
              </w:rPr>
            </w:pPr>
          </w:p>
        </w:tc>
      </w:tr>
      <w:tr>
        <w:trPr>
          <w:trHeight w:val="171"/>
        </w:trPr>
        <w:tc>
          <w:tcPr>
            <w:tcW w:w="5660" w:type="dxa"/>
            <w:vAlign w:val="bottom"/>
            <w:gridSpan w:val="3"/>
            <w:vMerge w:val="continue"/>
          </w:tcPr>
          <w:p>
            <w:pPr>
              <w:spacing w:after="0"/>
              <w:rPr>
                <w:sz w:val="14"/>
                <w:szCs w:val="14"/>
                <w:color w:val="auto"/>
              </w:rPr>
            </w:pPr>
          </w:p>
        </w:tc>
        <w:tc>
          <w:tcPr>
            <w:tcW w:w="130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4"/>
              </w:rPr>
              <w:t>Salary)</w:t>
            </w:r>
          </w:p>
        </w:tc>
        <w:tc>
          <w:tcPr>
            <w:tcW w:w="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 xml:space="preserve">Payment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220" w:type="dxa"/>
            <w:vAlign w:val="bottom"/>
          </w:tcPr>
          <w:p>
            <w:pPr>
              <w:spacing w:after="0"/>
              <w:rPr>
                <w:sz w:val="14"/>
                <w:szCs w:val="14"/>
                <w:color w:val="auto"/>
              </w:rPr>
            </w:pPr>
          </w:p>
        </w:tc>
        <w:tc>
          <w:tcPr>
            <w:tcW w:w="110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3"/>
              </w:rPr>
              <w:t>Target Award)</w:t>
            </w:r>
          </w:p>
        </w:tc>
        <w:tc>
          <w:tcPr>
            <w:tcW w:w="0" w:type="dxa"/>
            <w:vAlign w:val="bottom"/>
          </w:tcPr>
          <w:p>
            <w:pPr>
              <w:spacing w:after="0"/>
              <w:rPr>
                <w:sz w:val="1"/>
                <w:szCs w:val="1"/>
                <w:color w:val="auto"/>
              </w:rPr>
            </w:pPr>
          </w:p>
        </w:tc>
      </w:tr>
      <w:tr>
        <w:trPr>
          <w:trHeight w:val="196"/>
        </w:trPr>
        <w:tc>
          <w:tcPr>
            <w:tcW w:w="5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4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 (1)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309,534</w:t>
            </w: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5660" w:type="dxa"/>
            <w:vAlign w:val="bottom"/>
            <w:gridSpan w:val="3"/>
          </w:tcPr>
          <w:p>
            <w:pPr>
              <w:spacing w:after="0"/>
              <w:rPr>
                <w:sz w:val="20"/>
                <w:szCs w:val="20"/>
                <w:color w:val="auto"/>
              </w:rPr>
            </w:pPr>
            <w:r>
              <w:rPr>
                <w:rFonts w:ascii="Arial" w:cs="Arial" w:eastAsia="Arial" w:hAnsi="Arial"/>
                <w:sz w:val="16"/>
                <w:szCs w:val="16"/>
                <w:color w:val="auto"/>
              </w:rPr>
              <w:t>Michael Landsittel</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30 % (2)</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92,278</w:t>
            </w:r>
          </w:p>
        </w:tc>
        <w:tc>
          <w:tcPr>
            <w:tcW w:w="2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109.2 %</w:t>
            </w:r>
          </w:p>
        </w:tc>
        <w:tc>
          <w:tcPr>
            <w:tcW w:w="0" w:type="dxa"/>
            <w:vAlign w:val="bottom"/>
          </w:tcPr>
          <w:p>
            <w:pPr>
              <w:spacing w:after="0"/>
              <w:rPr>
                <w:sz w:val="1"/>
                <w:szCs w:val="1"/>
                <w:color w:val="auto"/>
              </w:rPr>
            </w:pPr>
          </w:p>
        </w:tc>
      </w:tr>
      <w:tr>
        <w:trPr>
          <w:trHeight w:val="203"/>
        </w:trPr>
        <w:tc>
          <w:tcPr>
            <w:tcW w:w="5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Anthony L. Boral, M.D., Ph.D.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 (3)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181,482</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101.4 %</w:t>
            </w:r>
          </w:p>
        </w:tc>
        <w:tc>
          <w:tcPr>
            <w:tcW w:w="0" w:type="dxa"/>
            <w:vAlign w:val="bottom"/>
          </w:tcPr>
          <w:p>
            <w:pPr>
              <w:spacing w:after="0"/>
              <w:rPr>
                <w:sz w:val="1"/>
                <w:szCs w:val="1"/>
                <w:color w:val="auto"/>
              </w:rPr>
            </w:pPr>
          </w:p>
        </w:tc>
      </w:tr>
      <w:tr>
        <w:trPr>
          <w:trHeight w:val="203"/>
        </w:trPr>
        <w:tc>
          <w:tcPr>
            <w:tcW w:w="5660" w:type="dxa"/>
            <w:vAlign w:val="bottom"/>
            <w:gridSpan w:val="3"/>
          </w:tcPr>
          <w:p>
            <w:pPr>
              <w:spacing w:after="0"/>
              <w:rPr>
                <w:sz w:val="20"/>
                <w:szCs w:val="20"/>
                <w:color w:val="auto"/>
              </w:rPr>
            </w:pPr>
            <w:r>
              <w:rPr>
                <w:rFonts w:ascii="Arial" w:cs="Arial" w:eastAsia="Arial" w:hAnsi="Arial"/>
                <w:sz w:val="16"/>
                <w:szCs w:val="16"/>
                <w:color w:val="auto"/>
              </w:rPr>
              <w:t>Tracey L. McCain, Esq.</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40 % (3)</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176,890</w:t>
            </w:r>
          </w:p>
        </w:tc>
        <w:tc>
          <w:tcPr>
            <w:tcW w:w="2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104.0 %</w:t>
            </w:r>
          </w:p>
        </w:tc>
        <w:tc>
          <w:tcPr>
            <w:tcW w:w="0" w:type="dxa"/>
            <w:vAlign w:val="bottom"/>
          </w:tcPr>
          <w:p>
            <w:pPr>
              <w:spacing w:after="0"/>
              <w:rPr>
                <w:sz w:val="1"/>
                <w:szCs w:val="1"/>
                <w:color w:val="auto"/>
              </w:rPr>
            </w:pPr>
          </w:p>
        </w:tc>
      </w:tr>
      <w:tr>
        <w:trPr>
          <w:trHeight w:val="203"/>
        </w:trPr>
        <w:tc>
          <w:tcPr>
            <w:tcW w:w="5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Christina Rossi</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 (4)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104.0 %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400" w:hanging="317"/>
        <w:spacing w:after="0" w:line="253"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2018, Mr. Albers’ target bonus opportunity was based solely on corporate performance goals. Mr. Albers’ target award percentage remained unchanged from 2017.</w:t>
      </w:r>
    </w:p>
    <w:p>
      <w:pPr>
        <w:spacing w:after="0" w:line="65" w:lineRule="exact"/>
        <w:rPr>
          <w:rFonts w:ascii="Arial" w:cs="Arial" w:eastAsia="Arial" w:hAnsi="Arial"/>
          <w:sz w:val="14"/>
          <w:szCs w:val="14"/>
          <w:color w:val="auto"/>
        </w:rPr>
      </w:pPr>
    </w:p>
    <w:p>
      <w:pPr>
        <w:ind w:left="320" w:right="500" w:hanging="317"/>
        <w:spacing w:after="0" w:line="253"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target bonus opportunity for Mr. Landsittel was based 50% on individual performance goals and 50% on corporate performance goals. Mr. Landsittel’s target award percentage remained unchanged from 2017.</w:t>
      </w:r>
    </w:p>
    <w:p>
      <w:pPr>
        <w:spacing w:after="0" w:line="65" w:lineRule="exact"/>
        <w:rPr>
          <w:rFonts w:ascii="Arial" w:cs="Arial" w:eastAsia="Arial" w:hAnsi="Arial"/>
          <w:sz w:val="14"/>
          <w:szCs w:val="14"/>
          <w:color w:val="auto"/>
        </w:rPr>
      </w:pPr>
    </w:p>
    <w:p>
      <w:pPr>
        <w:ind w:left="320" w:right="20" w:hanging="317"/>
        <w:spacing w:after="0" w:line="238"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target bonus opportunity for Dr. Boral and Ms. McCain was based 25% on individual performance goals and 75% on corporate performance goals. For each of Dr. Boral and Ms. McCain, the target award percentage for 2018 increased by 5% relative to the target award percentage for 2017 due to a market adjustment.</w:t>
      </w:r>
    </w:p>
    <w:p>
      <w:pPr>
        <w:spacing w:after="0" w:line="74" w:lineRule="exact"/>
        <w:rPr>
          <w:rFonts w:ascii="Arial" w:cs="Arial" w:eastAsia="Arial" w:hAnsi="Arial"/>
          <w:sz w:val="14"/>
          <w:szCs w:val="14"/>
          <w:color w:val="auto"/>
        </w:rPr>
      </w:pPr>
    </w:p>
    <w:p>
      <w:pPr>
        <w:ind w:left="320" w:right="180" w:hanging="317"/>
        <w:spacing w:after="0" w:line="238"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Ms. Rossi joined the company as our chief commercial officer in October 2018. The target bonus opportunity for Ms. Rossi was based 25% on individual performance goals and 75% on corporate performance goals. Under the terms of Ms. Rossi’s employment agreement, she was eligible to receive a pro-rata bonus for the year ended December 31, 2018.</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Incentive Awards</w:t>
      </w:r>
    </w:p>
    <w:p>
      <w:pPr>
        <w:spacing w:after="0" w:line="127" w:lineRule="exact"/>
        <w:rPr>
          <w:sz w:val="20"/>
          <w:szCs w:val="20"/>
          <w:color w:val="auto"/>
        </w:rPr>
      </w:pPr>
    </w:p>
    <w:p>
      <w:pPr>
        <w:ind w:right="60" w:firstLine="648"/>
        <w:spacing w:after="0" w:line="286" w:lineRule="auto"/>
        <w:rPr>
          <w:sz w:val="20"/>
          <w:szCs w:val="20"/>
          <w:color w:val="auto"/>
        </w:rPr>
      </w:pPr>
      <w:r>
        <w:rPr>
          <w:rFonts w:ascii="Arial" w:cs="Arial" w:eastAsia="Arial" w:hAnsi="Arial"/>
          <w:sz w:val="15"/>
          <w:szCs w:val="15"/>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compensation committee and board of directors periodically review the equity incentive compensation of our named executive officers and from time to time may grant equity incentive awards to them in the form of stock options and, beginning in July 2018, restricted stock units. In deciding to begin granting RSUs as part of our equity incentive compensation program, our compensation committee considered a host of factors in comparison to our named peers, including the following: annual long-term incentive values, annual equity awards expressed as a percent of total shares outstanding, total annual and cumulative dilution, the retentive value of outstanding awards and total equity ownership and the equity compensation practices of other companies in our industry that compete with us for talent.</w:t>
      </w:r>
    </w:p>
    <w:p>
      <w:pPr>
        <w:spacing w:after="0" w:line="7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5"/>
          <w:szCs w:val="15"/>
          <w:color w:val="auto"/>
        </w:rPr>
        <w:t>Equity compensation represents the largest at-risk component of our named executive officers’ compensation arrangements. We believe that it is appropriate to align the interests of our named executive officers with those of our stockholders to achieve and sustain long-term stock price growth. We typically use stock options to compensate executive officers in the form of initial grants in connection with the commencement of employment. We used stock options and RSUs to compensate Ms. Rossi in the form of initial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29" w:name="page30"/>
    <w:bookmarkEnd w:id="29"/>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grants in connection with the commencement of her employment. In addition, prior to 2019, we generally granted stock options to our executive officers on an annual basis. In May 2019, we implemented a new program that permits employees below the vice president level to elect to receive equity compensation (other than initial equity awards in connection with the commencement of employment) in the form of stock options, RSUs or a combination of both, which we refer to as our “equity choice program.” Our equity choice program is intended to differentiate our company in the marketplace to attract and retain top employee talent, to allow employees below the vice president level to elect to receive their equity awards to conform to their particular risk tolerance profile and to further promote employee engagement. In connection with the introduction of the equity choice program, we granted stock options and RSUs to our executive officers in connection with annual equity awards for 2019, and we expect to generally grant stock options and RSUs to executive officers on an annual basis in subsequent years. None of our named executive officers are currently party to an employment agreement that provides for an automatic award of stock options, RSUs or performance-based stock awards.</w:t>
      </w:r>
    </w:p>
    <w:p>
      <w:pPr>
        <w:spacing w:after="0" w:line="71" w:lineRule="exact"/>
        <w:rPr>
          <w:sz w:val="20"/>
          <w:szCs w:val="20"/>
          <w:color w:val="auto"/>
        </w:rPr>
      </w:pPr>
    </w:p>
    <w:p>
      <w:pPr>
        <w:ind w:firstLine="648"/>
        <w:spacing w:after="0" w:line="282" w:lineRule="auto"/>
        <w:rPr>
          <w:sz w:val="20"/>
          <w:szCs w:val="20"/>
          <w:color w:val="auto"/>
        </w:rPr>
      </w:pPr>
      <w:r>
        <w:rPr>
          <w:rFonts w:ascii="Arial" w:cs="Arial" w:eastAsia="Arial" w:hAnsi="Arial"/>
          <w:sz w:val="15"/>
          <w:szCs w:val="15"/>
          <w:color w:val="auto"/>
        </w:rPr>
        <w:t>Any initial equity awards granted to executive officers in connection with the commencement of their employment are typically granted on the first day of the calendar month following the date of such new hires’ first date of regular employment, and any annual equity awards granted to executive officers are typically granted in the first quarter of the year following the applicable performance period. Any stock options granted to our executive officers will have an exercise price equal to the closing price of our common stock as reported on the Nasdaq Global Select Market on the date of grant, will have time-based vesting and will expire ten years after the date of grant. The initial stock options granted to executive officers upon the commencement of their employment vest as to 25% of the shares underlying the option on the first anniversary of the grant date and as to an additional 1/48</w:t>
      </w:r>
      <w:r>
        <w:rPr>
          <w:rFonts w:ascii="Arial" w:cs="Arial" w:eastAsia="Arial" w:hAnsi="Arial"/>
          <w:sz w:val="16"/>
          <w:szCs w:val="16"/>
          <w:color w:val="auto"/>
          <w:vertAlign w:val="superscript"/>
        </w:rPr>
        <w:t>th</w:t>
      </w:r>
      <w:r>
        <w:rPr>
          <w:rFonts w:ascii="Arial" w:cs="Arial" w:eastAsia="Arial" w:hAnsi="Arial"/>
          <w:sz w:val="15"/>
          <w:szCs w:val="15"/>
          <w:color w:val="auto"/>
        </w:rPr>
        <w:t xml:space="preserve"> of the shares underlying the option monthly thereafter, subject to the executive officer’s continued employment. The annual stock options granted to executive officers vest as to 1/48</w:t>
      </w:r>
      <w:r>
        <w:rPr>
          <w:rFonts w:ascii="Arial" w:cs="Arial" w:eastAsia="Arial" w:hAnsi="Arial"/>
          <w:sz w:val="16"/>
          <w:szCs w:val="16"/>
          <w:color w:val="auto"/>
          <w:vertAlign w:val="superscript"/>
        </w:rPr>
        <w:t>th</w:t>
      </w:r>
      <w:r>
        <w:rPr>
          <w:rFonts w:ascii="Arial" w:cs="Arial" w:eastAsia="Arial" w:hAnsi="Arial"/>
          <w:sz w:val="15"/>
          <w:szCs w:val="15"/>
          <w:color w:val="auto"/>
        </w:rPr>
        <w:t xml:space="preserve"> of the shares underlying the option on the one-month anniversary of the grant date and as to an additional 1/48</w:t>
      </w:r>
      <w:r>
        <w:rPr>
          <w:rFonts w:ascii="Arial" w:cs="Arial" w:eastAsia="Arial" w:hAnsi="Arial"/>
          <w:sz w:val="16"/>
          <w:szCs w:val="16"/>
          <w:color w:val="auto"/>
          <w:vertAlign w:val="superscript"/>
        </w:rPr>
        <w:t>th</w:t>
      </w:r>
      <w:r>
        <w:rPr>
          <w:rFonts w:ascii="Arial" w:cs="Arial" w:eastAsia="Arial" w:hAnsi="Arial"/>
          <w:sz w:val="15"/>
          <w:szCs w:val="15"/>
          <w:color w:val="auto"/>
        </w:rPr>
        <w:t xml:space="preserve"> of the shares underlying the option monthly thereafter, subject to the executive officer’s continued employment. Upon a termination of employment, vesting for any stock options granted to executive officers will cease and exercise rights will generally cease three months thereafter. Each RSU granted to our executive officers will have time-based vesting and will entitle the executive officer to one share of our common stock if and when the RSU vests. Any initial RSUs granted to executive officers upon the commencement of their employment and any annual RSUs granted to executive officers vest as to 25% of the shares underlying the RSU award on the first anniversary of the grant date and as to an additional 25% of the shares underlying the RSU award annually thereafter, subject to the executive officer’s continued employment. Vesting for any RSUs granted to executive officers will cease upon termination of employment. In specified termination and change-in-control circumstances, equity awards held by our named executive officers are subject to accelerated vesting. See “—Severance and Change-in-Control Benefits” below for further information.</w:t>
      </w:r>
    </w:p>
    <w:p>
      <w:pPr>
        <w:spacing w:after="0" w:line="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In determining the size of the equity awards to our named executive officers, our compensation committee, with the assistance from Radford, considers our company performance, individual performance, the potential for enhancing the creation of value for our stockholders, the company’s broader organizational equity needs and overall dilution, as well as industry and peer group benchmark data. We evaluate our equity award program on an annual basis to ensure that it appropriately links to our long-term performance by aligning the interests of our executives and our stockholders, remains competitive with industry and peer benchmarks and is consistent with our overall equity needs and dilution levels.</w:t>
      </w:r>
    </w:p>
    <w:p>
      <w:pPr>
        <w:spacing w:after="0" w:line="82" w:lineRule="exact"/>
        <w:rPr>
          <w:sz w:val="20"/>
          <w:szCs w:val="20"/>
          <w:color w:val="auto"/>
        </w:rPr>
      </w:pPr>
    </w:p>
    <w:p>
      <w:pPr>
        <w:ind w:firstLine="648"/>
        <w:spacing w:after="0" w:line="273" w:lineRule="auto"/>
        <w:rPr>
          <w:sz w:val="20"/>
          <w:szCs w:val="20"/>
          <w:color w:val="auto"/>
        </w:rPr>
      </w:pPr>
      <w:r>
        <w:rPr>
          <w:rFonts w:ascii="Arial" w:cs="Arial" w:eastAsia="Arial" w:hAnsi="Arial"/>
          <w:sz w:val="16"/>
          <w:szCs w:val="16"/>
          <w:color w:val="auto"/>
        </w:rPr>
        <w:t>In February 2018, our compensation committee granted stock options to our named executive officers (other than Ms. Rossi, who joined the company in October 2018) in the amounts set forth in the table below. In November 2018, in connection with Ms. Rossi’s commencement of employment, our compensation committee granted stock options and RSUs to Ms. Rossi in the amounts set forth in the table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Option Award</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7"/>
              </w:rPr>
              <w:t>RSU Award</w:t>
            </w:r>
          </w:p>
        </w:tc>
        <w:tc>
          <w:tcPr>
            <w:tcW w:w="0" w:type="dxa"/>
            <w:vAlign w:val="bottom"/>
          </w:tcPr>
          <w:p>
            <w:pPr>
              <w:spacing w:after="0"/>
              <w:rPr>
                <w:sz w:val="1"/>
                <w:szCs w:val="1"/>
                <w:color w:val="auto"/>
              </w:rPr>
            </w:pPr>
          </w:p>
        </w:tc>
      </w:tr>
      <w:tr>
        <w:trPr>
          <w:trHeight w:val="171"/>
        </w:trPr>
        <w:tc>
          <w:tcPr>
            <w:tcW w:w="5040" w:type="dxa"/>
            <w:vAlign w:val="bottom"/>
            <w:gridSpan w:val="3"/>
            <w:vMerge w:val="continue"/>
          </w:tcPr>
          <w:p>
            <w:pPr>
              <w:spacing w:after="0"/>
              <w:rPr>
                <w:sz w:val="14"/>
                <w:szCs w:val="14"/>
                <w:color w:val="auto"/>
              </w:rPr>
            </w:pPr>
          </w:p>
        </w:tc>
        <w:tc>
          <w:tcPr>
            <w:tcW w:w="1440" w:type="dxa"/>
            <w:vAlign w:val="bottom"/>
          </w:tcPr>
          <w:p>
            <w:pPr>
              <w:jc w:val="center"/>
              <w:ind w:left="508"/>
              <w:spacing w:after="0"/>
              <w:rPr>
                <w:sz w:val="20"/>
                <w:szCs w:val="20"/>
                <w:color w:val="auto"/>
              </w:rPr>
            </w:pPr>
            <w:r>
              <w:rPr>
                <w:rFonts w:ascii="Arial" w:cs="Arial" w:eastAsia="Arial" w:hAnsi="Arial"/>
                <w:sz w:val="14"/>
                <w:szCs w:val="14"/>
                <w:b w:val="1"/>
                <w:bCs w:val="1"/>
                <w:color w:val="auto"/>
                <w:w w:val="87"/>
              </w:rPr>
              <w:t>(# shares)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 shares)</w:t>
            </w:r>
          </w:p>
        </w:tc>
        <w:tc>
          <w:tcPr>
            <w:tcW w:w="0" w:type="dxa"/>
            <w:vAlign w:val="bottom"/>
          </w:tcPr>
          <w:p>
            <w:pPr>
              <w:spacing w:after="0"/>
              <w:rPr>
                <w:sz w:val="1"/>
                <w:szCs w:val="1"/>
                <w:color w:val="auto"/>
              </w:rPr>
            </w:pPr>
          </w:p>
        </w:tc>
      </w:tr>
      <w:tr>
        <w:trPr>
          <w:trHeight w:val="196"/>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3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170,000</w:t>
            </w:r>
          </w:p>
        </w:tc>
        <w:tc>
          <w:tcPr>
            <w:tcW w:w="2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5040" w:type="dxa"/>
            <w:vAlign w:val="bottom"/>
            <w:gridSpan w:val="3"/>
          </w:tcPr>
          <w:p>
            <w:pPr>
              <w:spacing w:after="0"/>
              <w:rPr>
                <w:sz w:val="20"/>
                <w:szCs w:val="20"/>
                <w:color w:val="auto"/>
              </w:rPr>
            </w:pPr>
            <w:r>
              <w:rPr>
                <w:rFonts w:ascii="Arial" w:cs="Arial" w:eastAsia="Arial" w:hAnsi="Arial"/>
                <w:sz w:val="16"/>
                <w:szCs w:val="16"/>
                <w:color w:val="auto"/>
              </w:rPr>
              <w:t>Michael Landsittel</w:t>
            </w:r>
          </w:p>
        </w:tc>
        <w:tc>
          <w:tcPr>
            <w:tcW w:w="1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26,000</w:t>
            </w: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Anthony L. Boral, M.D., Ph.D.</w:t>
            </w: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5040" w:type="dxa"/>
            <w:vAlign w:val="bottom"/>
            <w:gridSpan w:val="3"/>
          </w:tcPr>
          <w:p>
            <w:pPr>
              <w:spacing w:after="0"/>
              <w:rPr>
                <w:sz w:val="20"/>
                <w:szCs w:val="20"/>
                <w:color w:val="auto"/>
              </w:rPr>
            </w:pPr>
            <w:r>
              <w:rPr>
                <w:rFonts w:ascii="Arial" w:cs="Arial" w:eastAsia="Arial" w:hAnsi="Arial"/>
                <w:sz w:val="16"/>
                <w:szCs w:val="16"/>
                <w:color w:val="auto"/>
              </w:rPr>
              <w:t>Tracey L. McCain, Esq.</w:t>
            </w:r>
          </w:p>
        </w:tc>
        <w:tc>
          <w:tcPr>
            <w:tcW w:w="1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39,000</w:t>
            </w: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Christina Rossi (1)</w:t>
            </w: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4,500</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00" w:hanging="317"/>
        <w:spacing w:after="0" w:line="238"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Ms. Rossi joined the company as our chief commercial officer in October 2018. Under the terms of Ms. Rossi’s employment agreement, in November 2018, Ms. Rossi was granted a stock option to purchase 80,000 shares of our common stock and 4,500 RSUs. Ms. Rossi did not receive an annual equity incentive award in 2018.</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Compensation Policies and Practices</w:t>
      </w:r>
    </w:p>
    <w:p>
      <w:pPr>
        <w:spacing w:after="0" w:line="127" w:lineRule="exact"/>
        <w:rPr>
          <w:sz w:val="20"/>
          <w:szCs w:val="20"/>
          <w:color w:val="auto"/>
        </w:rPr>
      </w:pPr>
    </w:p>
    <w:p>
      <w:pPr>
        <w:ind w:right="240" w:firstLine="648"/>
        <w:spacing w:after="0" w:line="278" w:lineRule="auto"/>
        <w:rPr>
          <w:sz w:val="20"/>
          <w:szCs w:val="20"/>
          <w:color w:val="auto"/>
        </w:rPr>
      </w:pPr>
      <w:r>
        <w:rPr>
          <w:rFonts w:ascii="Arial" w:cs="Arial" w:eastAsia="Arial" w:hAnsi="Arial"/>
          <w:sz w:val="16"/>
          <w:szCs w:val="16"/>
          <w:i w:val="1"/>
          <w:iCs w:val="1"/>
          <w:color w:val="auto"/>
        </w:rPr>
        <w:t xml:space="preserve">Health and Welfare Benefits. </w:t>
      </w:r>
      <w:r>
        <w:rPr>
          <w:rFonts w:ascii="Arial" w:cs="Arial" w:eastAsia="Arial" w:hAnsi="Arial"/>
          <w:sz w:val="16"/>
          <w:szCs w:val="16"/>
          <w:color w:val="auto"/>
        </w:rPr>
        <w:t>Our named executive officers are eligible to participate in all of our employee benefit plans,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our medical, dental, vision, life and disability insurance plans and commuting benefits plan, in each case, on the same basis as other employees.</w:t>
      </w:r>
    </w:p>
    <w:p>
      <w:pPr>
        <w:spacing w:after="0" w:line="76" w:lineRule="exact"/>
        <w:rPr>
          <w:sz w:val="20"/>
          <w:szCs w:val="20"/>
          <w:color w:val="auto"/>
        </w:rPr>
      </w:pPr>
    </w:p>
    <w:p>
      <w:pPr>
        <w:ind w:right="80" w:firstLine="648"/>
        <w:spacing w:after="0" w:line="305" w:lineRule="auto"/>
        <w:rPr>
          <w:sz w:val="20"/>
          <w:szCs w:val="20"/>
          <w:color w:val="auto"/>
        </w:rPr>
      </w:pPr>
      <w:r>
        <w:rPr>
          <w:rFonts w:ascii="Arial" w:cs="Arial" w:eastAsia="Arial" w:hAnsi="Arial"/>
          <w:sz w:val="15"/>
          <w:szCs w:val="15"/>
          <w:i w:val="1"/>
          <w:iCs w:val="1"/>
          <w:color w:val="auto"/>
        </w:rPr>
        <w:t xml:space="preserve">401(k) Plan. </w:t>
      </w:r>
      <w:r>
        <w:rPr>
          <w:rFonts w:ascii="Arial" w:cs="Arial" w:eastAsia="Arial" w:hAnsi="Arial"/>
          <w:sz w:val="15"/>
          <w:szCs w:val="15"/>
          <w:color w:val="auto"/>
        </w:rPr>
        <w:t>We maintain a 401(k) plan that is intended to qualify under Section 401(k) of the Internal Revenue Service Code of</w:t>
      </w:r>
      <w:r>
        <w:rPr>
          <w:rFonts w:ascii="Arial" w:cs="Arial" w:eastAsia="Arial" w:hAnsi="Arial"/>
          <w:sz w:val="15"/>
          <w:szCs w:val="15"/>
          <w:i w:val="1"/>
          <w:iCs w:val="1"/>
          <w:color w:val="auto"/>
        </w:rPr>
        <w:t xml:space="preserve"> </w:t>
      </w:r>
      <w:r>
        <w:rPr>
          <w:rFonts w:ascii="Arial" w:cs="Arial" w:eastAsia="Arial" w:hAnsi="Arial"/>
          <w:sz w:val="15"/>
          <w:szCs w:val="15"/>
          <w:color w:val="auto"/>
        </w:rPr>
        <w:t>1986, as amended, or the Internal Revenue Code. In general, all of our employees, including our named executive officers, are eligible to participate in the 401(k) plan. Under the 401(k) plan, employees may elect to reduce their current compensation by up</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30" w:name="page31"/>
    <w:bookmarkEnd w:id="30"/>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to the statutorily prescribed annual limit, equal to $18,500 in 2018, and to have the amount of such reduction contributed to the</w:t>
      </w:r>
    </w:p>
    <w:p>
      <w:pPr>
        <w:spacing w:after="0" w:line="22"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401(k) plan. Participants who will turn age 50 in 2018 are also eligible to make “catch-up” contributions, which in 2018 may be up to an additional $6,000 above the statutory limit. We currently match 50% of an employee’s 401(k) contributions up to a maximum of 3% of the participant’s compensation. Matching contributions are 100% vested immediately. Matching contributions made to each of our named executive officers are included in the “Summary Compensation Table” below.</w:t>
      </w:r>
    </w:p>
    <w:p>
      <w:pPr>
        <w:spacing w:after="0" w:line="80"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i w:val="1"/>
          <w:iCs w:val="1"/>
          <w:color w:val="auto"/>
        </w:rPr>
        <w:t xml:space="preserve">Employee Stock Purchase Plan. </w:t>
      </w:r>
      <w:r>
        <w:rPr>
          <w:rFonts w:ascii="Arial" w:cs="Arial" w:eastAsia="Arial" w:hAnsi="Arial"/>
          <w:sz w:val="16"/>
          <w:szCs w:val="16"/>
          <w:color w:val="auto"/>
        </w:rPr>
        <w:t>Pursuant to our employee stock purchase plan, employees, including our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have an opportunity to purchase our common stock at a discount on a tax-qualified basis through payroll deductions. The employee stock purchase plan is designed to qualify as an “employee stock purchase plan” under Section 423 of the Internal Revenue Code. The purpose of the employee stock purchase plan is to encourage our employees, including our named executive officers, to become our stockholders and better align their interests with those of our other stockholders.</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Perquisites. </w:t>
      </w:r>
      <w:r>
        <w:rPr>
          <w:rFonts w:ascii="Arial" w:cs="Arial" w:eastAsia="Arial" w:hAnsi="Arial"/>
          <w:sz w:val="16"/>
          <w:szCs w:val="16"/>
          <w:color w:val="auto"/>
        </w:rPr>
        <w:t>We do not provide perquisites or personal benefits to our named executive officers.</w:t>
      </w:r>
    </w:p>
    <w:p>
      <w:pPr>
        <w:spacing w:after="0" w:line="127" w:lineRule="exact"/>
        <w:rPr>
          <w:sz w:val="20"/>
          <w:szCs w:val="20"/>
          <w:color w:val="auto"/>
        </w:rPr>
      </w:pPr>
    </w:p>
    <w:p>
      <w:pPr>
        <w:ind w:right="40" w:firstLine="648"/>
        <w:spacing w:after="0" w:line="278" w:lineRule="auto"/>
        <w:rPr>
          <w:sz w:val="20"/>
          <w:szCs w:val="20"/>
          <w:color w:val="auto"/>
        </w:rPr>
      </w:pPr>
      <w:r>
        <w:rPr>
          <w:rFonts w:ascii="Arial" w:cs="Arial" w:eastAsia="Arial" w:hAnsi="Arial"/>
          <w:sz w:val="16"/>
          <w:szCs w:val="16"/>
          <w:i w:val="1"/>
          <w:iCs w:val="1"/>
          <w:color w:val="auto"/>
        </w:rPr>
        <w:t xml:space="preserve">Anti-Hedging and Pledging Policy. </w:t>
      </w:r>
      <w:r>
        <w:rPr>
          <w:rFonts w:ascii="Arial" w:cs="Arial" w:eastAsia="Arial" w:hAnsi="Arial"/>
          <w:sz w:val="16"/>
          <w:szCs w:val="16"/>
          <w:color w:val="auto"/>
        </w:rPr>
        <w:t>Our insider trading policy expressly prohibits all of our employees, including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as well as our directors, from engaging in speculative transactions in our stock, including short sales, puts/calls, hedging transactions and margin accounts or pledges, in each case, without prior approval of our audit committee.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No Tax Gross-ups. </w:t>
      </w:r>
      <w:r>
        <w:rPr>
          <w:rFonts w:ascii="Arial" w:cs="Arial" w:eastAsia="Arial" w:hAnsi="Arial"/>
          <w:sz w:val="16"/>
          <w:szCs w:val="16"/>
          <w:color w:val="auto"/>
        </w:rPr>
        <w:t>We do not provide for any tax gross-up payments to our named executive officers.</w:t>
      </w:r>
    </w:p>
    <w:p>
      <w:pPr>
        <w:spacing w:after="0" w:line="127" w:lineRule="exact"/>
        <w:rPr>
          <w:sz w:val="20"/>
          <w:szCs w:val="20"/>
          <w:color w:val="auto"/>
        </w:rPr>
      </w:pPr>
    </w:p>
    <w:p>
      <w:pPr>
        <w:ind w:firstLine="648"/>
        <w:spacing w:after="0" w:line="284" w:lineRule="auto"/>
        <w:rPr>
          <w:sz w:val="20"/>
          <w:szCs w:val="20"/>
          <w:color w:val="auto"/>
        </w:rPr>
      </w:pPr>
      <w:r>
        <w:rPr>
          <w:rFonts w:ascii="Arial" w:cs="Arial" w:eastAsia="Arial" w:hAnsi="Arial"/>
          <w:sz w:val="15"/>
          <w:szCs w:val="15"/>
          <w:i w:val="1"/>
          <w:iCs w:val="1"/>
          <w:color w:val="auto"/>
        </w:rPr>
        <w:t xml:space="preserve">Accounting and Tax Considerations. </w:t>
      </w:r>
      <w:r>
        <w:rPr>
          <w:rFonts w:ascii="Arial" w:cs="Arial" w:eastAsia="Arial" w:hAnsi="Arial"/>
          <w:sz w:val="15"/>
          <w:szCs w:val="15"/>
          <w:color w:val="auto"/>
        </w:rPr>
        <w:t>We account for equity compensation paid to our employees under the rules of the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Standards Board Accounting Standards Codification Topic 718, or FASB Codification Topic 718, which rules require us to estimate and record an expense over the service period of any such award. Accounting rules also require us to record cash compensation as an expense at the time the obligation is accrued. To date, these accounting requirements have not impacted our executive compensation programs and practices. Prior to January 1, 2018, when the Tax Cuts and Jobs Act of 2017, or the Tax Act, became effective, Section 162(m) of the Internal Revenue Code, or Section 162(m), generally limited to $1 million the deduction that a public company could claim in any tax year with respect to compensation paid to each of its chief executive officer and three other named executive officers whose compensation was required to be disclosed in the proxy statement (other than the chief financial officer), unless such compensation was performance-based as determined under the Section 162(m) regulations. Under the Tax Act, the performance-based compensation exception has been repealed, subject to certain transition rules. In addition, the deduction limitation now applies to anyone serving as the chief executive officer or chief financial officer at any time during the tax year and the top three other most highly compensated officers serving on the last day of the tax year. The new rules generally apply to taxable years beginning after December 31, 2017 but do not apply to compensation paid pursuant to a written binding contract in effect on November 2, 2017 that is not modified in any material respect after that date. As a result, for fiscal years beginning after December 31, 2017, all compensation in excess of $1 million paid to the specified executives will not be deductible, subject to the transition relief. In designing our executive compensation program and determining the compensation of our executive officers, including our named executive officers, our compensation committee considers a variety of factors, including the potential impact of the Section 162(m) deduction limit. However, to maintain flexibility to compensate our executive officers in a manner designed to promote our short-term and long-term corporate goals, our compensation committee has not adopted a policy that all compensation must be deductible. Our compensation committee believes that our stockholders' interests are best served if its discretion and flexibility in awarding compensation is not restricted, even though some compensation awards may result in non-deductible compensation expense.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We have not adopted stock ownership guidelines for our executives.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Clawback Policy. </w:t>
      </w:r>
      <w:r>
        <w:rPr>
          <w:rFonts w:ascii="Arial" w:cs="Arial" w:eastAsia="Arial" w:hAnsi="Arial"/>
          <w:sz w:val="16"/>
          <w:szCs w:val="16"/>
          <w:color w:val="auto"/>
        </w:rPr>
        <w:t>We have not adopted a clawback policy for executive compensation.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31" w:name="page32"/>
    <w:bookmarkEnd w:id="31"/>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2019 Executive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Base Salary Compensation for Our Named Executive Officers in 2019</w:t>
      </w:r>
    </w:p>
    <w:p>
      <w:pPr>
        <w:spacing w:after="0" w:line="127" w:lineRule="exact"/>
        <w:rPr>
          <w:sz w:val="20"/>
          <w:szCs w:val="20"/>
          <w:color w:val="auto"/>
        </w:rPr>
      </w:pPr>
    </w:p>
    <w:p>
      <w:pPr>
        <w:ind w:right="60" w:firstLine="648"/>
        <w:spacing w:after="0" w:line="313" w:lineRule="auto"/>
        <w:rPr>
          <w:sz w:val="20"/>
          <w:szCs w:val="20"/>
          <w:color w:val="auto"/>
        </w:rPr>
      </w:pPr>
      <w:r>
        <w:rPr>
          <w:rFonts w:ascii="Arial" w:cs="Arial" w:eastAsia="Arial" w:hAnsi="Arial"/>
          <w:sz w:val="14"/>
          <w:szCs w:val="14"/>
          <w:color w:val="auto"/>
        </w:rPr>
        <w:t>With respect to Mr. Albers, our chief executive officer, in the first quarter of 2019, our compensation committee reviewed Mr. Albers’ overall compensation and determined, based on his accomplishments during the year and comparison to the base salaries of chief executive officers in our 2019 peer group, to increase his annual base salary from $541,144 to $590,000 effective January 1, 2019. In addition, in the first quarter of 2019, our compensation committee approved merit increases in base salary for each of our other named executive officers effective January 1, 2019, based upon the company’s achievement of 2018 corporate performance goals, each executive officer’s achievement of individual performance goals and the comparison to the base salary of similar executive officers in our 2019 peer group. The table below sets forth the adjustments to base salary, in dollars and as a percentage, for each of our named executive officers: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2018 Base Salary</w:t>
            </w:r>
          </w:p>
        </w:tc>
        <w:tc>
          <w:tcPr>
            <w:tcW w:w="16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2019 Base Salary</w:t>
            </w:r>
          </w:p>
        </w:tc>
        <w:tc>
          <w:tcPr>
            <w:tcW w:w="10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Increase (%)</w:t>
            </w:r>
          </w:p>
        </w:tc>
      </w:tr>
      <w:tr>
        <w:trPr>
          <w:trHeight w:val="196"/>
        </w:trPr>
        <w:tc>
          <w:tcPr>
            <w:tcW w:w="5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541,144</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590,000</w:t>
            </w: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3"/>
        </w:trPr>
        <w:tc>
          <w:tcPr>
            <w:tcW w:w="5220" w:type="dxa"/>
            <w:vAlign w:val="bottom"/>
            <w:gridSpan w:val="3"/>
          </w:tcPr>
          <w:p>
            <w:pPr>
              <w:spacing w:after="0"/>
              <w:rPr>
                <w:sz w:val="20"/>
                <w:szCs w:val="20"/>
                <w:color w:val="auto"/>
              </w:rPr>
            </w:pPr>
            <w:r>
              <w:rPr>
                <w:rFonts w:ascii="Arial" w:cs="Arial" w:eastAsia="Arial" w:hAnsi="Arial"/>
                <w:sz w:val="16"/>
                <w:szCs w:val="16"/>
                <w:color w:val="auto"/>
              </w:rPr>
              <w:t>Michael Landsittel (1)</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281,678</w:t>
            </w:r>
          </w:p>
        </w:tc>
        <w:tc>
          <w:tcPr>
            <w:tcW w:w="520" w:type="dxa"/>
            <w:vAlign w:val="bottom"/>
            <w:gridSpan w:val="2"/>
          </w:tcPr>
          <w:p>
            <w:pPr>
              <w:jc w:val="right"/>
              <w:ind w:right="206"/>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345,000</w:t>
            </w:r>
          </w:p>
        </w:tc>
        <w:tc>
          <w:tcPr>
            <w:tcW w:w="1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22.5 %</w:t>
            </w:r>
          </w:p>
        </w:tc>
      </w:tr>
      <w:tr>
        <w:trPr>
          <w:trHeight w:val="203"/>
        </w:trPr>
        <w:tc>
          <w:tcPr>
            <w:tcW w:w="5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Anthony L. Boral, M.D., Ph.D.</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447,440</w:t>
            </w:r>
          </w:p>
        </w:tc>
        <w:tc>
          <w:tcPr>
            <w:tcW w:w="520" w:type="dxa"/>
            <w:vAlign w:val="bottom"/>
            <w:gridSpan w:val="2"/>
            <w:shd w:val="clear" w:color="auto" w:fill="CCEEFF"/>
          </w:tcPr>
          <w:p>
            <w:pPr>
              <w:jc w:val="right"/>
              <w:ind w:right="206"/>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460,864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03"/>
        </w:trPr>
        <w:tc>
          <w:tcPr>
            <w:tcW w:w="5220" w:type="dxa"/>
            <w:vAlign w:val="bottom"/>
            <w:gridSpan w:val="3"/>
          </w:tcPr>
          <w:p>
            <w:pPr>
              <w:spacing w:after="0"/>
              <w:rPr>
                <w:sz w:val="20"/>
                <w:szCs w:val="20"/>
                <w:color w:val="auto"/>
              </w:rPr>
            </w:pPr>
            <w:r>
              <w:rPr>
                <w:rFonts w:ascii="Arial" w:cs="Arial" w:eastAsia="Arial" w:hAnsi="Arial"/>
                <w:sz w:val="16"/>
                <w:szCs w:val="16"/>
                <w:color w:val="auto"/>
              </w:rPr>
              <w:t>Tracey L. McCain, Esq.</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425,216</w:t>
            </w:r>
          </w:p>
        </w:tc>
        <w:tc>
          <w:tcPr>
            <w:tcW w:w="520" w:type="dxa"/>
            <w:vAlign w:val="bottom"/>
            <w:gridSpan w:val="2"/>
          </w:tcPr>
          <w:p>
            <w:pPr>
              <w:jc w:val="right"/>
              <w:ind w:right="206"/>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437,972</w:t>
            </w:r>
          </w:p>
        </w:tc>
        <w:tc>
          <w:tcPr>
            <w:tcW w:w="1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3.0 %</w:t>
            </w:r>
          </w:p>
        </w:tc>
      </w:tr>
      <w:tr>
        <w:trPr>
          <w:trHeight w:val="203"/>
        </w:trPr>
        <w:tc>
          <w:tcPr>
            <w:tcW w:w="5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Christina Rossi (2)</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390,000</w:t>
            </w:r>
          </w:p>
        </w:tc>
        <w:tc>
          <w:tcPr>
            <w:tcW w:w="520" w:type="dxa"/>
            <w:vAlign w:val="bottom"/>
            <w:gridSpan w:val="2"/>
            <w:shd w:val="clear" w:color="auto" w:fill="CCEEFF"/>
          </w:tcPr>
          <w:p>
            <w:pPr>
              <w:jc w:val="right"/>
              <w:ind w:right="206"/>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392,051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0.53 %</w:t>
            </w:r>
          </w:p>
        </w:tc>
      </w:tr>
      <w:tr>
        <w:trPr>
          <w:trHeight w:val="108"/>
        </w:trPr>
        <w:tc>
          <w:tcPr>
            <w:tcW w:w="228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89" w:lineRule="exact"/>
        <w:rPr>
          <w:sz w:val="20"/>
          <w:szCs w:val="20"/>
          <w:color w:val="auto"/>
        </w:rPr>
      </w:pPr>
    </w:p>
    <w:p>
      <w:pPr>
        <w:ind w:left="320" w:right="40" w:hanging="317"/>
        <w:spacing w:after="0" w:line="291" w:lineRule="auto"/>
        <w:tabs>
          <w:tab w:leader="none" w:pos="3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 January 2019, our board of directors promoted Mr. Landsittel from vice president, finance to chief financial officer. Mr. Landsittel’s increase in base salary for 2019 reflects his new role and responsibilities within the company and is comparable to similar executive officers in our 2019 peer group.</w:t>
      </w:r>
    </w:p>
    <w:p>
      <w:pPr>
        <w:spacing w:after="0" w:line="42" w:lineRule="exact"/>
        <w:rPr>
          <w:rFonts w:ascii="Arial" w:cs="Arial" w:eastAsia="Arial" w:hAnsi="Arial"/>
          <w:sz w:val="13"/>
          <w:szCs w:val="13"/>
          <w:color w:val="auto"/>
        </w:rPr>
      </w:pPr>
    </w:p>
    <w:p>
      <w:pPr>
        <w:ind w:left="320" w:right="180" w:hanging="317"/>
        <w:spacing w:after="0" w:line="253" w:lineRule="auto"/>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Ms. Rossi joined the company as our chief commercial officer in October 2018 and was eligible to receive a pro-rata merit increase in base salary for the year ended December 31, 2019.</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Incentive Compensation for Our Named Executive Officers in 2019</w:t>
      </w:r>
    </w:p>
    <w:p>
      <w:pPr>
        <w:spacing w:after="0" w:line="127" w:lineRule="exact"/>
        <w:rPr>
          <w:sz w:val="20"/>
          <w:szCs w:val="20"/>
          <w:color w:val="auto"/>
        </w:rPr>
      </w:pPr>
    </w:p>
    <w:p>
      <w:pPr>
        <w:ind w:right="120" w:firstLine="648"/>
        <w:spacing w:after="0" w:line="318" w:lineRule="auto"/>
        <w:rPr>
          <w:sz w:val="20"/>
          <w:szCs w:val="20"/>
          <w:color w:val="auto"/>
        </w:rPr>
      </w:pPr>
      <w:r>
        <w:rPr>
          <w:rFonts w:ascii="Arial" w:cs="Arial" w:eastAsia="Arial" w:hAnsi="Arial"/>
          <w:sz w:val="14"/>
          <w:szCs w:val="14"/>
          <w:color w:val="auto"/>
        </w:rPr>
        <w:t>In the first quarter of 2019, our compensation committee approved target bonus opportunities for each of our named executive officers for 2019. The target bonus opportunity for Mr. Albers, our chief executive officer, for 2019 will be based solely on 2019 corporate performance goals, and the target bonus opportunity for each of our other named executive officers for 2019 will be based 25% on individual performance goals and 75% on 2019 corporate performance goals. The table below shows the target award as a percentage of each named executive officer’s annual base salary in 2019, as well as the target cash incentive payment in dollars for 2019.</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2019 Target Award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2019 Target Cash</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66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w w:val="97"/>
              </w:rPr>
              <w:t>(% of Base Salary) (1)</w:t>
            </w:r>
          </w:p>
        </w:tc>
        <w:tc>
          <w:tcPr>
            <w:tcW w:w="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Incentive Payment ($)</w:t>
            </w:r>
          </w:p>
        </w:tc>
        <w:tc>
          <w:tcPr>
            <w:tcW w:w="0" w:type="dxa"/>
            <w:vAlign w:val="bottom"/>
          </w:tcPr>
          <w:p>
            <w:pPr>
              <w:spacing w:after="0"/>
              <w:rPr>
                <w:sz w:val="1"/>
                <w:szCs w:val="1"/>
                <w:color w:val="auto"/>
              </w:rPr>
            </w:pPr>
          </w:p>
        </w:tc>
      </w:tr>
      <w:tr>
        <w:trPr>
          <w:trHeight w:val="196"/>
        </w:trPr>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354,000</w:t>
            </w: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rPr>
                <w:sz w:val="20"/>
                <w:szCs w:val="20"/>
                <w:color w:val="auto"/>
              </w:rPr>
            </w:pPr>
            <w:r>
              <w:rPr>
                <w:rFonts w:ascii="Arial" w:cs="Arial" w:eastAsia="Arial" w:hAnsi="Arial"/>
                <w:sz w:val="16"/>
                <w:szCs w:val="16"/>
                <w:color w:val="auto"/>
              </w:rPr>
              <w:t>Michael Landsittel</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120,750</w:t>
            </w:r>
          </w:p>
        </w:tc>
        <w:tc>
          <w:tcPr>
            <w:tcW w:w="0" w:type="dxa"/>
            <w:vAlign w:val="bottom"/>
          </w:tcPr>
          <w:p>
            <w:pPr>
              <w:spacing w:after="0"/>
              <w:rPr>
                <w:sz w:val="1"/>
                <w:szCs w:val="1"/>
                <w:color w:val="auto"/>
              </w:rPr>
            </w:pPr>
          </w:p>
        </w:tc>
      </w:tr>
      <w:tr>
        <w:trPr>
          <w:trHeight w:val="203"/>
        </w:trPr>
        <w:tc>
          <w:tcPr>
            <w:tcW w:w="5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L. Boral, M.D., Ph.D.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184,346</w:t>
            </w: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rPr>
                <w:sz w:val="20"/>
                <w:szCs w:val="20"/>
                <w:color w:val="auto"/>
              </w:rPr>
            </w:pPr>
            <w:r>
              <w:rPr>
                <w:rFonts w:ascii="Arial" w:cs="Arial" w:eastAsia="Arial" w:hAnsi="Arial"/>
                <w:sz w:val="16"/>
                <w:szCs w:val="16"/>
                <w:color w:val="auto"/>
              </w:rPr>
              <w:t>Tracey L. McCain, Esq.</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175,189</w:t>
            </w:r>
          </w:p>
        </w:tc>
        <w:tc>
          <w:tcPr>
            <w:tcW w:w="0" w:type="dxa"/>
            <w:vAlign w:val="bottom"/>
          </w:tcPr>
          <w:p>
            <w:pPr>
              <w:spacing w:after="0"/>
              <w:rPr>
                <w:sz w:val="1"/>
                <w:szCs w:val="1"/>
                <w:color w:val="auto"/>
              </w:rPr>
            </w:pPr>
          </w:p>
        </w:tc>
      </w:tr>
      <w:tr>
        <w:trPr>
          <w:trHeight w:val="203"/>
        </w:trPr>
        <w:tc>
          <w:tcPr>
            <w:tcW w:w="5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Christina Rossi</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99" w:lineRule="exact"/>
        <w:rPr>
          <w:sz w:val="20"/>
          <w:szCs w:val="20"/>
          <w:color w:val="auto"/>
        </w:rPr>
      </w:pPr>
    </w:p>
    <w:p>
      <w:pPr>
        <w:ind w:left="320" w:right="160" w:hanging="317"/>
        <w:spacing w:after="0" w:line="234" w:lineRule="auto"/>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 January 2019, our board of directors promoted Mr. Landsittel from vice president, finance to chief financial officer. For 2019, the compensation committee approved a 5% increase in the target award percentages for Mr. Albers and Mr. Landsittel, in each case, due to a market adjustment, and in the case of Mr. Landsittel, as a result of his new role and responsibilities within the company. The target award percentage for our other named executive officers remained unchanged from 2018.</w:t>
      </w:r>
    </w:p>
    <w:p>
      <w:pPr>
        <w:spacing w:after="0" w:line="83" w:lineRule="exact"/>
        <w:rPr>
          <w:sz w:val="20"/>
          <w:szCs w:val="20"/>
          <w:color w:val="auto"/>
        </w:rPr>
      </w:pPr>
    </w:p>
    <w:p>
      <w:pPr>
        <w:ind w:right="160" w:firstLine="648"/>
        <w:spacing w:after="0" w:line="271" w:lineRule="auto"/>
        <w:rPr>
          <w:sz w:val="20"/>
          <w:szCs w:val="20"/>
          <w:color w:val="auto"/>
        </w:rPr>
      </w:pPr>
      <w:r>
        <w:rPr>
          <w:rFonts w:ascii="Arial" w:cs="Arial" w:eastAsia="Arial" w:hAnsi="Arial"/>
          <w:sz w:val="16"/>
          <w:szCs w:val="16"/>
          <w:color w:val="auto"/>
        </w:rPr>
        <w:t>In determining the 2019 actual cash incentive compensation for our named executive officers, our compensation committee and board of directors will review the performance of the company during 2019. Our compensation committee retains the discretion to adjust upward or downward any bonus award as it deems appropriate. However, as noted above, any annual performance-based cash incentive program payouts will be capped at 150% of the target payout level. We expect to pay any cash incentive compensation in the first quarter of 2020.</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20" w:top="130" w:right="1379" w:bottom="1440" w:gutter="0" w:footer="0" w:header="0"/>
        </w:sectPr>
      </w:pPr>
    </w:p>
    <w:bookmarkStart w:id="32" w:name="page33"/>
    <w:bookmarkEnd w:id="32"/>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131" w:lineRule="exact"/>
        <w:rPr>
          <w:sz w:val="20"/>
          <w:szCs w:val="20"/>
          <w:color w:val="auto"/>
        </w:rPr>
      </w:pPr>
    </w:p>
    <w:p>
      <w:pPr>
        <w:ind w:right="500" w:firstLine="648"/>
        <w:spacing w:after="0" w:line="293" w:lineRule="auto"/>
        <w:rPr>
          <w:sz w:val="20"/>
          <w:szCs w:val="20"/>
          <w:color w:val="auto"/>
        </w:rPr>
      </w:pPr>
      <w:r>
        <w:rPr>
          <w:rFonts w:ascii="Arial" w:cs="Arial" w:eastAsia="Arial" w:hAnsi="Arial"/>
          <w:sz w:val="16"/>
          <w:szCs w:val="16"/>
          <w:color w:val="auto"/>
        </w:rPr>
        <w:t>The following table sets forth information regarding compensation earned by each of our named executive officers during the years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Non-Equity</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All Other</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 xml:space="preserve">Salary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2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xml:space="preserve">Bonus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720" w:type="dxa"/>
            <w:vAlign w:val="bottom"/>
            <w:gridSpan w:val="2"/>
          </w:tcPr>
          <w:p>
            <w:pPr>
              <w:jc w:val="center"/>
              <w:ind w:left="21"/>
              <w:spacing w:after="0"/>
              <w:rPr>
                <w:sz w:val="20"/>
                <w:szCs w:val="20"/>
                <w:color w:val="auto"/>
              </w:rPr>
            </w:pPr>
            <w:r>
              <w:rPr>
                <w:rFonts w:ascii="Arial" w:cs="Arial" w:eastAsia="Arial" w:hAnsi="Arial"/>
                <w:sz w:val="14"/>
                <w:szCs w:val="14"/>
                <w:b w:val="1"/>
                <w:bCs w:val="1"/>
                <w:color w:val="auto"/>
                <w:w w:val="99"/>
              </w:rPr>
              <w:t>($)(1)</w:t>
            </w: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Jeffrey W. Albers (4)</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2018</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541,144</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8,881,871</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309,534</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8,250</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9,740,799</w:t>
            </w:r>
          </w:p>
        </w:tc>
        <w:tc>
          <w:tcPr>
            <w:tcW w:w="0" w:type="dxa"/>
            <w:vAlign w:val="bottom"/>
          </w:tcPr>
          <w:p>
            <w:pPr>
              <w:spacing w:after="0"/>
              <w:rPr>
                <w:sz w:val="1"/>
                <w:szCs w:val="1"/>
                <w:color w:val="auto"/>
              </w:rPr>
            </w:pPr>
          </w:p>
        </w:tc>
      </w:tr>
      <w:tr>
        <w:trPr>
          <w:trHeight w:val="193"/>
        </w:trPr>
        <w:tc>
          <w:tcPr>
            <w:tcW w:w="2500" w:type="dxa"/>
            <w:vAlign w:val="bottom"/>
          </w:tcPr>
          <w:p>
            <w:pPr>
              <w:ind w:left="120"/>
              <w:spacing w:after="0"/>
              <w:rPr>
                <w:sz w:val="20"/>
                <w:szCs w:val="20"/>
                <w:color w:val="auto"/>
              </w:rPr>
            </w:pPr>
            <w:r>
              <w:rPr>
                <w:rFonts w:ascii="Arial" w:cs="Arial" w:eastAsia="Arial" w:hAnsi="Arial"/>
                <w:sz w:val="16"/>
                <w:szCs w:val="16"/>
                <w:i w:val="1"/>
                <w:iCs w:val="1"/>
                <w:color w:val="auto"/>
              </w:rPr>
              <w:t>President and Chief Executive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40"/>
              <w:spacing w:after="0"/>
              <w:rPr>
                <w:sz w:val="20"/>
                <w:szCs w:val="20"/>
                <w:color w:val="auto"/>
              </w:rPr>
            </w:pPr>
            <w:r>
              <w:rPr>
                <w:rFonts w:ascii="Arial" w:cs="Arial" w:eastAsia="Arial" w:hAnsi="Arial"/>
                <w:sz w:val="16"/>
                <w:szCs w:val="16"/>
                <w:i w:val="1"/>
                <w:iCs w:val="1"/>
                <w:color w:val="auto"/>
              </w:rPr>
              <w:t>Officer</w:t>
            </w: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2017</w:t>
            </w:r>
          </w:p>
        </w:tc>
        <w:tc>
          <w:tcPr>
            <w:tcW w:w="620" w:type="dxa"/>
            <w:vAlign w:val="bottom"/>
          </w:tcPr>
          <w:p>
            <w:pPr>
              <w:jc w:val="right"/>
              <w:spacing w:after="0"/>
              <w:rPr>
                <w:sz w:val="20"/>
                <w:szCs w:val="20"/>
                <w:color w:val="auto"/>
              </w:rPr>
            </w:pPr>
            <w:r>
              <w:rPr>
                <w:rFonts w:ascii="Arial" w:cs="Arial" w:eastAsia="Arial" w:hAnsi="Arial"/>
                <w:sz w:val="16"/>
                <w:szCs w:val="16"/>
                <w:color w:val="auto"/>
              </w:rPr>
              <w:t>515,375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6"/>
                <w:szCs w:val="16"/>
                <w:color w:val="auto"/>
              </w:rPr>
              <w:t>— 4,088,976</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325,975</w:t>
            </w:r>
          </w:p>
        </w:tc>
        <w:tc>
          <w:tcPr>
            <w:tcW w:w="940" w:type="dxa"/>
            <w:vAlign w:val="bottom"/>
          </w:tcPr>
          <w:p>
            <w:pPr>
              <w:jc w:val="right"/>
              <w:spacing w:after="0"/>
              <w:rPr>
                <w:sz w:val="20"/>
                <w:szCs w:val="20"/>
                <w:color w:val="auto"/>
              </w:rPr>
            </w:pPr>
            <w:r>
              <w:rPr>
                <w:rFonts w:ascii="Arial" w:cs="Arial" w:eastAsia="Arial" w:hAnsi="Arial"/>
                <w:sz w:val="16"/>
                <w:szCs w:val="16"/>
                <w:color w:val="auto"/>
              </w:rPr>
              <w:t>8,100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4,938,426</w:t>
            </w:r>
          </w:p>
        </w:tc>
        <w:tc>
          <w:tcPr>
            <w:tcW w:w="0" w:type="dxa"/>
            <w:vAlign w:val="bottom"/>
          </w:tcPr>
          <w:p>
            <w:pPr>
              <w:spacing w:after="0"/>
              <w:rPr>
                <w:sz w:val="1"/>
                <w:szCs w:val="1"/>
                <w:color w:val="auto"/>
              </w:rPr>
            </w:pPr>
          </w:p>
        </w:tc>
      </w:tr>
      <w:tr>
        <w:trPr>
          <w:trHeight w:val="206"/>
        </w:trPr>
        <w:tc>
          <w:tcPr>
            <w:tcW w:w="25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2016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476,827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 1,407,644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273,125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2,165,546</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Michael Landsittel (6)</w:t>
            </w: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2018</w:t>
            </w:r>
          </w:p>
        </w:tc>
        <w:tc>
          <w:tcPr>
            <w:tcW w:w="620" w:type="dxa"/>
            <w:vAlign w:val="bottom"/>
          </w:tcPr>
          <w:p>
            <w:pPr>
              <w:jc w:val="right"/>
              <w:spacing w:after="0"/>
              <w:rPr>
                <w:sz w:val="20"/>
                <w:szCs w:val="20"/>
                <w:color w:val="auto"/>
              </w:rPr>
            </w:pPr>
            <w:r>
              <w:rPr>
                <w:rFonts w:ascii="Arial" w:cs="Arial" w:eastAsia="Arial" w:hAnsi="Arial"/>
                <w:sz w:val="16"/>
                <w:szCs w:val="16"/>
                <w:color w:val="auto"/>
              </w:rPr>
              <w:t>281,678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6"/>
                <w:szCs w:val="16"/>
                <w:color w:val="auto"/>
              </w:rPr>
              <w:t>— 1,358,404</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92,278</w:t>
            </w:r>
          </w:p>
        </w:tc>
        <w:tc>
          <w:tcPr>
            <w:tcW w:w="940" w:type="dxa"/>
            <w:vAlign w:val="bottom"/>
          </w:tcPr>
          <w:p>
            <w:pPr>
              <w:jc w:val="right"/>
              <w:spacing w:after="0"/>
              <w:rPr>
                <w:sz w:val="20"/>
                <w:szCs w:val="20"/>
                <w:color w:val="auto"/>
              </w:rPr>
            </w:pPr>
            <w:r>
              <w:rPr>
                <w:rFonts w:ascii="Arial" w:cs="Arial" w:eastAsia="Arial" w:hAnsi="Arial"/>
                <w:sz w:val="16"/>
                <w:szCs w:val="16"/>
                <w:color w:val="auto"/>
              </w:rPr>
              <w:t>8,250</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1,740,610</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Chief Financial Officer</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2017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260,936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481,056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93,154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842,892</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Anthony L. Boral, M.D., Ph.D.</w:t>
            </w: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2018</w:t>
            </w:r>
          </w:p>
        </w:tc>
        <w:tc>
          <w:tcPr>
            <w:tcW w:w="620" w:type="dxa"/>
            <w:vAlign w:val="bottom"/>
          </w:tcPr>
          <w:p>
            <w:pPr>
              <w:jc w:val="right"/>
              <w:spacing w:after="0"/>
              <w:rPr>
                <w:sz w:val="20"/>
                <w:szCs w:val="20"/>
                <w:color w:val="auto"/>
              </w:rPr>
            </w:pPr>
            <w:r>
              <w:rPr>
                <w:rFonts w:ascii="Arial" w:cs="Arial" w:eastAsia="Arial" w:hAnsi="Arial"/>
                <w:sz w:val="16"/>
                <w:szCs w:val="16"/>
                <w:color w:val="auto"/>
              </w:rPr>
              <w:t>447,400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6"/>
                <w:szCs w:val="16"/>
                <w:color w:val="auto"/>
              </w:rPr>
              <w:t>— 2,037,606</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181,482</w:t>
            </w:r>
          </w:p>
        </w:tc>
        <w:tc>
          <w:tcPr>
            <w:tcW w:w="940" w:type="dxa"/>
            <w:vAlign w:val="bottom"/>
          </w:tcPr>
          <w:p>
            <w:pPr>
              <w:jc w:val="right"/>
              <w:spacing w:after="0"/>
              <w:rPr>
                <w:sz w:val="20"/>
                <w:szCs w:val="20"/>
                <w:color w:val="auto"/>
              </w:rPr>
            </w:pPr>
            <w:r>
              <w:rPr>
                <w:rFonts w:ascii="Arial" w:cs="Arial" w:eastAsia="Arial" w:hAnsi="Arial"/>
                <w:sz w:val="16"/>
                <w:szCs w:val="16"/>
                <w:color w:val="auto"/>
              </w:rPr>
              <w:t>8,250</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2,674,738</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Chief Medical Officer</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2017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411,000</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 1,082,376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162,551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1,664,027</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Tracey L. McCain, Esq. (6)</w:t>
            </w: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2018</w:t>
            </w:r>
          </w:p>
        </w:tc>
        <w:tc>
          <w:tcPr>
            <w:tcW w:w="620" w:type="dxa"/>
            <w:vAlign w:val="bottom"/>
          </w:tcPr>
          <w:p>
            <w:pPr>
              <w:jc w:val="right"/>
              <w:spacing w:after="0"/>
              <w:rPr>
                <w:sz w:val="20"/>
                <w:szCs w:val="20"/>
                <w:color w:val="auto"/>
              </w:rPr>
            </w:pPr>
            <w:r>
              <w:rPr>
                <w:rFonts w:ascii="Arial" w:cs="Arial" w:eastAsia="Arial" w:hAnsi="Arial"/>
                <w:sz w:val="16"/>
                <w:szCs w:val="16"/>
                <w:color w:val="auto"/>
              </w:rPr>
              <w:t>425,216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6"/>
                <w:szCs w:val="16"/>
                <w:color w:val="auto"/>
              </w:rPr>
              <w:t>— 2,037,606</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176,890</w:t>
            </w:r>
          </w:p>
        </w:tc>
        <w:tc>
          <w:tcPr>
            <w:tcW w:w="940" w:type="dxa"/>
            <w:vAlign w:val="bottom"/>
          </w:tcPr>
          <w:p>
            <w:pPr>
              <w:jc w:val="right"/>
              <w:spacing w:after="0"/>
              <w:rPr>
                <w:sz w:val="20"/>
                <w:szCs w:val="20"/>
                <w:color w:val="auto"/>
              </w:rPr>
            </w:pPr>
            <w:r>
              <w:rPr>
                <w:rFonts w:ascii="Arial" w:cs="Arial" w:eastAsia="Arial" w:hAnsi="Arial"/>
                <w:sz w:val="16"/>
                <w:szCs w:val="16"/>
                <w:color w:val="auto"/>
              </w:rPr>
              <w:t>8,250</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2,647,962</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w w:val="93"/>
              </w:rPr>
              <w:t>Chief Legal and Compliance Officer</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2017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408,861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120,264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161,705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698,930</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2016</w:t>
            </w:r>
          </w:p>
        </w:tc>
        <w:tc>
          <w:tcPr>
            <w:tcW w:w="620" w:type="dxa"/>
            <w:vAlign w:val="bottom"/>
          </w:tcPr>
          <w:p>
            <w:pPr>
              <w:jc w:val="right"/>
              <w:spacing w:after="0"/>
              <w:rPr>
                <w:sz w:val="20"/>
                <w:szCs w:val="20"/>
                <w:color w:val="auto"/>
              </w:rPr>
            </w:pPr>
            <w:r>
              <w:rPr>
                <w:rFonts w:ascii="Arial" w:cs="Arial" w:eastAsia="Arial" w:hAnsi="Arial"/>
                <w:sz w:val="16"/>
                <w:szCs w:val="16"/>
                <w:color w:val="auto"/>
              </w:rPr>
              <w:t>130,846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tcPr>
          <w:p>
            <w:pPr>
              <w:ind w:left="40"/>
              <w:spacing w:after="0"/>
              <w:rPr>
                <w:sz w:val="20"/>
                <w:szCs w:val="20"/>
                <w:color w:val="auto"/>
              </w:rPr>
            </w:pPr>
            <w:r>
              <w:rPr>
                <w:rFonts w:ascii="Arial" w:cs="Arial" w:eastAsia="Arial" w:hAnsi="Arial"/>
                <w:sz w:val="16"/>
                <w:szCs w:val="16"/>
                <w:color w:val="auto"/>
              </w:rPr>
              <w:t>(7)</w:t>
            </w:r>
          </w:p>
        </w:tc>
        <w:tc>
          <w:tcPr>
            <w:tcW w:w="1440" w:type="dxa"/>
            <w:vAlign w:val="bottom"/>
            <w:gridSpan w:val="4"/>
          </w:tcPr>
          <w:p>
            <w:pPr>
              <w:jc w:val="right"/>
              <w:ind w:right="80"/>
              <w:spacing w:after="0"/>
              <w:rPr>
                <w:sz w:val="20"/>
                <w:szCs w:val="20"/>
                <w:color w:val="auto"/>
              </w:rPr>
            </w:pPr>
            <w:r>
              <w:rPr>
                <w:rFonts w:ascii="Arial" w:cs="Arial" w:eastAsia="Arial" w:hAnsi="Arial"/>
                <w:sz w:val="16"/>
                <w:szCs w:val="16"/>
                <w:color w:val="auto"/>
              </w:rPr>
              <w:t>— 1,843,220</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50,117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2,124,183</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Christina Rossi (8)</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2018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67,500</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(9) 100,000</w:t>
            </w: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(10)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295,875</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8"/>
              </w:rPr>
              <w:t>3,251,408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28,448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3,745,256</w:t>
            </w:r>
          </w:p>
        </w:tc>
        <w:tc>
          <w:tcPr>
            <w:tcW w:w="0" w:type="dxa"/>
            <w:vAlign w:val="bottom"/>
          </w:tcPr>
          <w:p>
            <w:pPr>
              <w:spacing w:after="0"/>
              <w:rPr>
                <w:sz w:val="1"/>
                <w:szCs w:val="1"/>
                <w:color w:val="auto"/>
              </w:rPr>
            </w:pPr>
          </w:p>
        </w:tc>
      </w:tr>
      <w:tr>
        <w:trPr>
          <w:trHeight w:val="206"/>
        </w:trPr>
        <w:tc>
          <w:tcPr>
            <w:tcW w:w="2500" w:type="dxa"/>
            <w:vAlign w:val="bottom"/>
          </w:tcPr>
          <w:p>
            <w:pPr>
              <w:ind w:left="120"/>
              <w:spacing w:after="0"/>
              <w:rPr>
                <w:sz w:val="20"/>
                <w:szCs w:val="20"/>
                <w:color w:val="auto"/>
              </w:rPr>
            </w:pPr>
            <w:r>
              <w:rPr>
                <w:rFonts w:ascii="Arial" w:cs="Arial" w:eastAsia="Arial" w:hAnsi="Arial"/>
                <w:sz w:val="16"/>
                <w:szCs w:val="16"/>
                <w:i w:val="1"/>
                <w:iCs w:val="1"/>
                <w:color w:val="auto"/>
              </w:rPr>
              <w:t>Chief Commercial Officer</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14408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7" w:lineRule="exact"/>
        <w:rPr>
          <w:sz w:val="20"/>
          <w:szCs w:val="20"/>
          <w:color w:val="auto"/>
        </w:rPr>
      </w:pPr>
    </w:p>
    <w:p>
      <w:pPr>
        <w:ind w:left="320" w:right="40" w:hanging="317"/>
        <w:spacing w:after="0" w:line="157" w:lineRule="exact"/>
        <w:tabs>
          <w:tab w:leader="none" w:pos="3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These amounts represent the aggregate grant date fair value of stock option awards and RSU awards granted to our named executive officers in 2018, 2017 and 2016, as applicable, computed in accordance with FASB ASC Topic 718. Such aggregate grant date fair values do not take into account any estimated forfeitures related to service-based vesting conditions. See Note 10 to the audited consolidated financial statements in our Annual Report on Form 10</w:t>
      </w:r>
      <w:r>
        <w:rPr>
          <w:rFonts w:ascii="MS PGothic" w:cs="MS PGothic" w:eastAsia="MS PGothic" w:hAnsi="MS PGothic"/>
          <w:sz w:val="13"/>
          <w:szCs w:val="13"/>
          <w:color w:val="auto"/>
        </w:rPr>
        <w:t>‑</w:t>
      </w:r>
      <w:r>
        <w:rPr>
          <w:rFonts w:ascii="Arial" w:cs="Arial" w:eastAsia="Arial" w:hAnsi="Arial"/>
          <w:sz w:val="13"/>
          <w:szCs w:val="13"/>
          <w:color w:val="auto"/>
        </w:rPr>
        <w:t>K for the year ended December 31, 2018 regarding assumptions underlying the valuation of equity awards.</w:t>
      </w:r>
    </w:p>
    <w:p>
      <w:pPr>
        <w:spacing w:after="0" w:line="74" w:lineRule="exact"/>
        <w:rPr>
          <w:rFonts w:ascii="Arial" w:cs="Arial" w:eastAsia="Arial" w:hAnsi="Arial"/>
          <w:sz w:val="13"/>
          <w:szCs w:val="13"/>
          <w:color w:val="auto"/>
        </w:rPr>
      </w:pPr>
    </w:p>
    <w:p>
      <w:pPr>
        <w:jc w:val="both"/>
        <w:ind w:left="320" w:right="120" w:hanging="317"/>
        <w:spacing w:after="0" w:line="234" w:lineRule="auto"/>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Amounts represent awards to our named executive officers under our annual performance-based cash incentive program. See “Annual Performance-based Cash Incentives” for a description of that program. Annual cash incentive compensation for 2018 was earned in 2018 and paid in 2019, annual cash incentive compensation for 2017 was earned in 2017 and paid in 2018 and annual cash incentive compensation for 2016 was earned in 2016 and paid in 2017.</w:t>
      </w:r>
    </w:p>
    <w:p>
      <w:pPr>
        <w:spacing w:after="0" w:line="74" w:lineRule="exact"/>
        <w:rPr>
          <w:rFonts w:ascii="Arial" w:cs="Arial" w:eastAsia="Arial" w:hAnsi="Arial"/>
          <w:sz w:val="14"/>
          <w:szCs w:val="14"/>
          <w:color w:val="auto"/>
        </w:rPr>
      </w:pPr>
    </w:p>
    <w:p>
      <w:pPr>
        <w:ind w:left="320" w:hanging="317"/>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Amounts represent the dollar value of matching contributions made under our 401(k) plan.</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Albers also serves as a member of our board of directors but does not receive any additional compensation for his service as a director.</w:t>
      </w:r>
    </w:p>
    <w:p>
      <w:pPr>
        <w:spacing w:after="0" w:line="95" w:lineRule="exact"/>
        <w:rPr>
          <w:rFonts w:ascii="Arial" w:cs="Arial" w:eastAsia="Arial" w:hAnsi="Arial"/>
          <w:sz w:val="14"/>
          <w:szCs w:val="14"/>
          <w:color w:val="auto"/>
        </w:rPr>
      </w:pPr>
    </w:p>
    <w:p>
      <w:pPr>
        <w:ind w:left="320" w:right="580" w:hanging="317"/>
        <w:spacing w:after="0" w:line="253" w:lineRule="auto"/>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 2016, all of our employees, including our chief executive officer, received an extra payroll payment in the first quarter of 2016 equal to the employee’s 2016 daily pay rate times one day, less applicable taxes and withholding, due to 2016 being a leap year.</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Landsittel and Ms. McCain were not named executive officers for 2016.</w:t>
      </w:r>
    </w:p>
    <w:p>
      <w:pPr>
        <w:spacing w:after="0" w:line="95" w:lineRule="exact"/>
        <w:rPr>
          <w:rFonts w:ascii="Arial" w:cs="Arial" w:eastAsia="Arial" w:hAnsi="Arial"/>
          <w:sz w:val="14"/>
          <w:szCs w:val="14"/>
          <w:color w:val="auto"/>
        </w:rPr>
      </w:pPr>
    </w:p>
    <w:p>
      <w:pPr>
        <w:ind w:left="320" w:right="300" w:hanging="317"/>
        <w:spacing w:after="0" w:line="253" w:lineRule="auto"/>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 represents a cash signing bonus of $100,000 paid to Ms. McCain in connection with the commencement of her employment in September 2016.</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Ms. Rossi joined our company as chief commercial officer in October 2018 and was not a named executive officer for 2017 or 2016.</w:t>
      </w:r>
    </w:p>
    <w:p>
      <w:pPr>
        <w:spacing w:after="0" w:line="95" w:lineRule="exact"/>
        <w:rPr>
          <w:rFonts w:ascii="Arial" w:cs="Arial" w:eastAsia="Arial" w:hAnsi="Arial"/>
          <w:sz w:val="14"/>
          <w:szCs w:val="14"/>
          <w:color w:val="auto"/>
        </w:rPr>
      </w:pPr>
    </w:p>
    <w:p>
      <w:pPr>
        <w:ind w:left="320" w:right="440" w:hanging="317"/>
        <w:spacing w:after="0" w:line="253" w:lineRule="auto"/>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 represents the salary actually paid to Ms. Rossi for her services in 2018 and does not represent Ms. Rossi’s annualized base salary. Her annualized base salary was $390,000 for 2018.</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Amount represents a cash signing bonus of $100,000 paid to Ms. Rossi in connection with the commencement of her employment in October 2018.</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33" w:name="page34"/>
    <w:bookmarkEnd w:id="33"/>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w:t>
      </w:r>
    </w:p>
    <w:p>
      <w:pPr>
        <w:spacing w:after="0" w:line="131" w:lineRule="exact"/>
        <w:rPr>
          <w:sz w:val="20"/>
          <w:szCs w:val="20"/>
          <w:color w:val="auto"/>
        </w:rPr>
      </w:pPr>
    </w:p>
    <w:p>
      <w:pPr>
        <w:jc w:val="both"/>
        <w:ind w:right="320" w:firstLine="648"/>
        <w:spacing w:after="0" w:line="278" w:lineRule="auto"/>
        <w:rPr>
          <w:sz w:val="20"/>
          <w:szCs w:val="20"/>
          <w:color w:val="auto"/>
        </w:rPr>
      </w:pPr>
      <w:r>
        <w:rPr>
          <w:rFonts w:ascii="Arial" w:cs="Arial" w:eastAsia="Arial" w:hAnsi="Arial"/>
          <w:sz w:val="16"/>
          <w:szCs w:val="16"/>
          <w:color w:val="auto"/>
        </w:rPr>
        <w:t>The following tables sets forth information concerning each grant of an award made to a named executive officer during the fiscal year ended December 31, 2018 under any plan, contract, authorization or arrangement pursuant to which cash, securities, similar instruments or other property may be received: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Estimated Future</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Payouts Under Non-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Plan Awards (1)</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06"/>
        </w:trPr>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All Other Stock</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All Other Option</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7"/>
              </w:rPr>
              <w:t>Exercise or</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Date of</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Awards: Number</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Base Price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Target</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9"/>
              </w:rPr>
              <w:t>Maximum</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 Securities</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Option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Committee</w:t>
            </w:r>
          </w:p>
        </w:tc>
        <w:tc>
          <w:tcPr>
            <w:tcW w:w="7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 of Stock</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188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Approval</w:t>
            </w:r>
          </w:p>
        </w:tc>
        <w:tc>
          <w:tcPr>
            <w:tcW w:w="5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or Units (#)</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Options (#)</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0" w:type="dxa"/>
            <w:vAlign w:val="bottom"/>
          </w:tcPr>
          <w:p>
            <w:pPr>
              <w:spacing w:after="0"/>
              <w:rPr>
                <w:sz w:val="1"/>
                <w:szCs w:val="1"/>
                <w:color w:val="auto"/>
              </w:rPr>
            </w:pPr>
          </w:p>
        </w:tc>
      </w:tr>
      <w:tr>
        <w:trPr>
          <w:trHeight w:val="142"/>
        </w:trPr>
        <w:tc>
          <w:tcPr>
            <w:tcW w:w="1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Jeffrey W. Albers</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297,629</w:t>
            </w: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446,444</w:t>
            </w: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2/16/2018</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2/16/2018</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170,000</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81.44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8,881,871</w:t>
            </w:r>
          </w:p>
        </w:tc>
        <w:tc>
          <w:tcPr>
            <w:tcW w:w="0" w:type="dxa"/>
            <w:vAlign w:val="bottom"/>
          </w:tcPr>
          <w:p>
            <w:pPr>
              <w:spacing w:after="0"/>
              <w:rPr>
                <w:sz w:val="1"/>
                <w:szCs w:val="1"/>
                <w:color w:val="auto"/>
              </w:rPr>
            </w:pPr>
          </w:p>
        </w:tc>
      </w:tr>
      <w:tr>
        <w:trPr>
          <w:trHeight w:val="149"/>
        </w:trPr>
        <w:tc>
          <w:tcPr>
            <w:tcW w:w="1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Landsittel</w:t>
            </w: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84,503</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126,755</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2/16/2018</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2/16/2018</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26,000</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81.44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1,358,404</w:t>
            </w:r>
          </w:p>
        </w:tc>
        <w:tc>
          <w:tcPr>
            <w:tcW w:w="0" w:type="dxa"/>
            <w:vAlign w:val="bottom"/>
          </w:tcPr>
          <w:p>
            <w:pPr>
              <w:spacing w:after="0"/>
              <w:rPr>
                <w:sz w:val="1"/>
                <w:szCs w:val="1"/>
                <w:color w:val="auto"/>
              </w:rPr>
            </w:pPr>
          </w:p>
        </w:tc>
      </w:tr>
      <w:tr>
        <w:trPr>
          <w:trHeight w:val="130"/>
        </w:trPr>
        <w:tc>
          <w:tcPr>
            <w:tcW w:w="1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Anthony L. Boral, M.D.,</w:t>
            </w: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8"/>
              </w:rPr>
              <w:t>178,976</w:t>
            </w:r>
          </w:p>
        </w:tc>
        <w:tc>
          <w:tcPr>
            <w:tcW w:w="9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268,464</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Ph.D.</w:t>
            </w: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2/16/2018</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2/16/2018</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39,000</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81.44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2,037,606</w:t>
            </w:r>
          </w:p>
        </w:tc>
        <w:tc>
          <w:tcPr>
            <w:tcW w:w="0" w:type="dxa"/>
            <w:vAlign w:val="bottom"/>
          </w:tcPr>
          <w:p>
            <w:pPr>
              <w:spacing w:after="0"/>
              <w:rPr>
                <w:sz w:val="1"/>
                <w:szCs w:val="1"/>
                <w:color w:val="auto"/>
              </w:rPr>
            </w:pPr>
          </w:p>
        </w:tc>
      </w:tr>
      <w:tr>
        <w:trPr>
          <w:trHeight w:val="149"/>
        </w:trPr>
        <w:tc>
          <w:tcPr>
            <w:tcW w:w="1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Tracey L. McCain, Esq.</w:t>
            </w: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170,086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255,130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2/16/2018</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2/16/2018</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39,000</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81.44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2,037,606</w:t>
            </w:r>
          </w:p>
        </w:tc>
        <w:tc>
          <w:tcPr>
            <w:tcW w:w="0" w:type="dxa"/>
            <w:vAlign w:val="bottom"/>
          </w:tcPr>
          <w:p>
            <w:pPr>
              <w:spacing w:after="0"/>
              <w:rPr>
                <w:sz w:val="1"/>
                <w:szCs w:val="1"/>
                <w:color w:val="auto"/>
              </w:rPr>
            </w:pPr>
          </w:p>
        </w:tc>
      </w:tr>
      <w:tr>
        <w:trPr>
          <w:trHeight w:val="149"/>
        </w:trPr>
        <w:tc>
          <w:tcPr>
            <w:tcW w:w="1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Christina Rossi</w:t>
            </w: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27,353 (5)</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41,030 (5)</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11/01/2018</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10/4/2018</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80,000</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65.75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3,251,408</w:t>
            </w: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11/01/2018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10/4/2018</w:t>
            </w: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295,875</w:t>
            </w:r>
          </w:p>
        </w:tc>
        <w:tc>
          <w:tcPr>
            <w:tcW w:w="0" w:type="dxa"/>
            <w:vAlign w:val="bottom"/>
          </w:tcPr>
          <w:p>
            <w:pPr>
              <w:spacing w:after="0"/>
              <w:rPr>
                <w:sz w:val="1"/>
                <w:szCs w:val="1"/>
                <w:color w:val="auto"/>
              </w:rPr>
            </w:pPr>
          </w:p>
        </w:tc>
      </w:tr>
      <w:tr>
        <w:trPr>
          <w:trHeight w:val="108"/>
        </w:trPr>
        <w:tc>
          <w:tcPr>
            <w:tcW w:w="1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80" w:hanging="317"/>
        <w:spacing w:after="0" w:line="256" w:lineRule="auto"/>
        <w:tabs>
          <w:tab w:leader="none" w:pos="3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Amounts shown in the “Target ($)” and “Maximum ($)” columns reflect the target and maximum amounts payable to each named executive officer under our 2018 annual performance-based cash incentive program as described under “Annual Performance-Based Cash Incentives” above. Actual payments made for 2018 are provided in the “Summary Compensation Table.” As there are no threshold amounts with respect to these performance-based cash payments, the column “Threshold ($)” is inapplicable and therefore has been omitted from this table.</w:t>
      </w:r>
    </w:p>
    <w:p>
      <w:pPr>
        <w:spacing w:after="0" w:line="64" w:lineRule="exact"/>
        <w:rPr>
          <w:rFonts w:ascii="Arial" w:cs="Arial" w:eastAsia="Arial" w:hAnsi="Arial"/>
          <w:sz w:val="13"/>
          <w:szCs w:val="13"/>
          <w:color w:val="auto"/>
        </w:rPr>
      </w:pPr>
    </w:p>
    <w:p>
      <w:pPr>
        <w:ind w:left="320" w:right="120" w:hanging="317"/>
        <w:spacing w:after="0" w:line="253"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Beginning in 2018, our compensation committee determined to formally cap annual cash incentive program payouts in any given year at 150% of the target payout level.</w:t>
      </w:r>
    </w:p>
    <w:p>
      <w:pPr>
        <w:spacing w:after="0" w:line="65" w:lineRule="exact"/>
        <w:rPr>
          <w:rFonts w:ascii="Arial" w:cs="Arial" w:eastAsia="Arial" w:hAnsi="Arial"/>
          <w:sz w:val="14"/>
          <w:szCs w:val="14"/>
          <w:color w:val="auto"/>
        </w:rPr>
      </w:pPr>
    </w:p>
    <w:p>
      <w:pPr>
        <w:ind w:left="320" w:right="320" w:hanging="317"/>
        <w:spacing w:after="0" w:line="253"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exercise price of these stock options is equal to the closing price of our common stock as reported on the Nasdaq Global Select Market on the grant date.</w:t>
      </w:r>
    </w:p>
    <w:p>
      <w:pPr>
        <w:spacing w:after="0" w:line="65" w:lineRule="exact"/>
        <w:rPr>
          <w:rFonts w:ascii="Arial" w:cs="Arial" w:eastAsia="Arial" w:hAnsi="Arial"/>
          <w:sz w:val="14"/>
          <w:szCs w:val="14"/>
          <w:color w:val="auto"/>
        </w:rPr>
      </w:pPr>
    </w:p>
    <w:p>
      <w:pPr>
        <w:ind w:left="320" w:right="120" w:hanging="317"/>
        <w:spacing w:after="0" w:line="157" w:lineRule="exact"/>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These amounts represent the aggregate grant date fair value of awards granted to our named executive officers in 2018, computed in accordance with FASB ASC Topic 718. Such grant-date fair value does not take into account any estimated forfeitures related to service-based vesting conditions. See Note 10 to the audited consolidated financial statements in our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for the year ended December 31, 2018 regarding assumptions underlying the valuation of equity awards.</w:t>
      </w:r>
    </w:p>
    <w:p>
      <w:pPr>
        <w:spacing w:after="0" w:line="74" w:lineRule="exact"/>
        <w:rPr>
          <w:rFonts w:ascii="Arial" w:cs="Arial" w:eastAsia="Arial" w:hAnsi="Arial"/>
          <w:sz w:val="14"/>
          <w:szCs w:val="14"/>
          <w:color w:val="auto"/>
        </w:rPr>
      </w:pPr>
    </w:p>
    <w:p>
      <w:pPr>
        <w:ind w:left="320" w:right="400" w:hanging="317"/>
        <w:spacing w:after="0" w:line="253"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Ms. Rossi joined the company as our chief commercial officer in October 2018. Under the terms of Ms. Rossi’s employment agreement, she was eligible to receive a pro-rata bonus for the year ended December 31, 2018.</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34" w:name="page35"/>
    <w:bookmarkEnd w:id="34"/>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sets forth information concerning outstanding equity awards held by each of our named executive officers at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ind w:left="46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3"/>
          </w:tcPr>
          <w:p>
            <w:pPr>
              <w:ind w:left="8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8"/>
              </w:rPr>
              <w:t>Market Value of</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vMerge w:val="restart"/>
          </w:tcPr>
          <w:p>
            <w:pPr>
              <w:jc w:val="center"/>
              <w:ind w:right="108"/>
              <w:spacing w:after="0"/>
              <w:rPr>
                <w:sz w:val="20"/>
                <w:szCs w:val="20"/>
                <w:color w:val="auto"/>
              </w:rPr>
            </w:pPr>
            <w:r>
              <w:rPr>
                <w:rFonts w:ascii="Arial" w:cs="Arial" w:eastAsia="Arial" w:hAnsi="Arial"/>
                <w:sz w:val="14"/>
                <w:szCs w:val="14"/>
                <w:b w:val="1"/>
                <w:bCs w:val="1"/>
                <w:color w:val="auto"/>
                <w:w w:val="97"/>
              </w:rPr>
              <w:t>Option</w:t>
            </w: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13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13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of Stock That</w:t>
            </w:r>
          </w:p>
        </w:tc>
        <w:tc>
          <w:tcPr>
            <w:tcW w:w="0" w:type="dxa"/>
            <w:vAlign w:val="bottom"/>
          </w:tcPr>
          <w:p>
            <w:pPr>
              <w:spacing w:after="0"/>
              <w:rPr>
                <w:sz w:val="1"/>
                <w:szCs w:val="1"/>
                <w:color w:val="auto"/>
              </w:rPr>
            </w:pPr>
          </w:p>
        </w:tc>
      </w:tr>
      <w:tr>
        <w:trPr>
          <w:trHeight w:val="149"/>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Options (#)</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 (#)</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Exercise</w:t>
            </w:r>
          </w:p>
        </w:tc>
        <w:tc>
          <w:tcPr>
            <w:tcW w:w="110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96"/>
              </w:rPr>
              <w:t>Expiration</w:t>
            </w: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13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Unexercisable</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Price ($)</w:t>
            </w:r>
          </w:p>
        </w:tc>
        <w:tc>
          <w:tcPr>
            <w:tcW w:w="110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320" w:type="dxa"/>
            <w:vAlign w:val="bottom"/>
          </w:tcPr>
          <w:p>
            <w:pPr>
              <w:jc w:val="center"/>
              <w:ind w:right="108"/>
              <w:spacing w:after="0"/>
              <w:rPr>
                <w:sz w:val="20"/>
                <w:szCs w:val="20"/>
                <w:color w:val="auto"/>
              </w:rPr>
            </w:pPr>
            <w:r>
              <w:rPr>
                <w:rFonts w:ascii="Arial" w:cs="Arial" w:eastAsia="Arial" w:hAnsi="Arial"/>
                <w:sz w:val="14"/>
                <w:szCs w:val="14"/>
                <w:b w:val="1"/>
                <w:bCs w:val="1"/>
                <w:color w:val="auto"/>
                <w:w w:val="99"/>
              </w:rPr>
              <w:t>($)(12)</w:t>
            </w:r>
          </w:p>
        </w:tc>
        <w:tc>
          <w:tcPr>
            <w:tcW w:w="0" w:type="dxa"/>
            <w:vAlign w:val="bottom"/>
          </w:tcPr>
          <w:p>
            <w:pPr>
              <w:spacing w:after="0"/>
              <w:rPr>
                <w:sz w:val="1"/>
                <w:szCs w:val="1"/>
                <w:color w:val="auto"/>
              </w:rPr>
            </w:pPr>
          </w:p>
        </w:tc>
      </w:tr>
      <w:tr>
        <w:trPr>
          <w:trHeight w:val="142"/>
        </w:trPr>
        <w:tc>
          <w:tcPr>
            <w:tcW w:w="2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Jeffrey W. Albers</w:t>
            </w:r>
          </w:p>
        </w:tc>
        <w:tc>
          <w:tcPr>
            <w:tcW w:w="8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83,080</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81"/>
              </w:rPr>
              <w:t>(1)</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7/30/2024</w:t>
            </w: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w:t>
            </w:r>
          </w:p>
        </w:tc>
        <w:tc>
          <w:tcPr>
            <w:tcW w:w="1100" w:type="dxa"/>
            <w:vAlign w:val="bottom"/>
            <w:tcBorders>
              <w:top w:val="single" w:sz="8" w:color="auto"/>
            </w:tcBorders>
            <w:shd w:val="clear" w:color="auto" w:fill="CCEEFF"/>
          </w:tcPr>
          <w:p>
            <w:pPr>
              <w:jc w:val="center"/>
              <w:ind w:left="868"/>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ind w:left="9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213,901</w:t>
            </w:r>
          </w:p>
        </w:tc>
        <w:tc>
          <w:tcPr>
            <w:tcW w:w="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3"/>
              </w:rPr>
              <w:t>(1)</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14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7/30/2024 (2)</w:t>
            </w:r>
          </w:p>
        </w:tc>
        <w:tc>
          <w:tcPr>
            <w:tcW w:w="1340" w:type="dxa"/>
            <w:vAlign w:val="bottom"/>
            <w:gridSpan w:val="2"/>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104,544</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3"/>
              </w:rPr>
              <w:t>(3)</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2/10/2025 (2)</w:t>
            </w:r>
          </w:p>
        </w:tc>
        <w:tc>
          <w:tcPr>
            <w:tcW w:w="1340" w:type="dxa"/>
            <w:vAlign w:val="bottom"/>
            <w:gridSpan w:val="2"/>
            <w:shd w:val="clear" w:color="auto" w:fill="CCEEFF"/>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99,166</w:t>
            </w:r>
          </w:p>
        </w:tc>
        <w:tc>
          <w:tcPr>
            <w:tcW w:w="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3"/>
              </w:rPr>
              <w:t>(4)</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40,834</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15.01</w:t>
            </w:r>
          </w:p>
        </w:tc>
        <w:tc>
          <w:tcPr>
            <w:tcW w:w="14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2/03/2026 (5)</w:t>
            </w:r>
          </w:p>
        </w:tc>
        <w:tc>
          <w:tcPr>
            <w:tcW w:w="1340" w:type="dxa"/>
            <w:vAlign w:val="bottom"/>
            <w:gridSpan w:val="2"/>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77,916</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3"/>
              </w:rPr>
              <w:t>(6)</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92,084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2/16/2027 (5)</w:t>
            </w:r>
          </w:p>
        </w:tc>
        <w:tc>
          <w:tcPr>
            <w:tcW w:w="1340" w:type="dxa"/>
            <w:vAlign w:val="bottom"/>
            <w:gridSpan w:val="2"/>
            <w:shd w:val="clear" w:color="auto" w:fill="CCEEFF"/>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12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35,416(7)</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134,584</w:t>
            </w:r>
          </w:p>
        </w:tc>
        <w:tc>
          <w:tcPr>
            <w:tcW w:w="16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81.44</w:t>
            </w:r>
          </w:p>
        </w:tc>
        <w:tc>
          <w:tcPr>
            <w:tcW w:w="14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2/16/2028 (5)</w:t>
            </w:r>
          </w:p>
        </w:tc>
        <w:tc>
          <w:tcPr>
            <w:tcW w:w="1340" w:type="dxa"/>
            <w:vAlign w:val="bottom"/>
            <w:gridSpan w:val="2"/>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 Landsittel</w:t>
            </w:r>
          </w:p>
        </w:tc>
        <w:tc>
          <w:tcPr>
            <w:tcW w:w="112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26,363 (1)</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10/08/2024 (2)</w:t>
            </w:r>
          </w:p>
        </w:tc>
        <w:tc>
          <w:tcPr>
            <w:tcW w:w="1340" w:type="dxa"/>
            <w:vAlign w:val="bottom"/>
            <w:gridSpan w:val="2"/>
            <w:shd w:val="clear" w:color="auto" w:fill="CCEEFF"/>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1,742</w:t>
            </w:r>
          </w:p>
        </w:tc>
        <w:tc>
          <w:tcPr>
            <w:tcW w:w="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3"/>
              </w:rPr>
              <w:t>(3)</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8.80</w:t>
            </w:r>
          </w:p>
        </w:tc>
        <w:tc>
          <w:tcPr>
            <w:tcW w:w="14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2/10/2025 (2)</w:t>
            </w:r>
          </w:p>
        </w:tc>
        <w:tc>
          <w:tcPr>
            <w:tcW w:w="1340" w:type="dxa"/>
            <w:vAlign w:val="bottom"/>
            <w:gridSpan w:val="2"/>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7,083</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3"/>
              </w:rPr>
              <w:t>(4)</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2,917</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15.01</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2/03/2026 (5)</w:t>
            </w:r>
          </w:p>
        </w:tc>
        <w:tc>
          <w:tcPr>
            <w:tcW w:w="1340" w:type="dxa"/>
            <w:vAlign w:val="bottom"/>
            <w:gridSpan w:val="2"/>
            <w:shd w:val="clear" w:color="auto" w:fill="CCEEFF"/>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9,166</w:t>
            </w:r>
          </w:p>
        </w:tc>
        <w:tc>
          <w:tcPr>
            <w:tcW w:w="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3"/>
              </w:rPr>
              <w:t>(6)</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10,834</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36.05</w:t>
            </w:r>
          </w:p>
        </w:tc>
        <w:tc>
          <w:tcPr>
            <w:tcW w:w="14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2/16/2027 (5)</w:t>
            </w:r>
          </w:p>
        </w:tc>
        <w:tc>
          <w:tcPr>
            <w:tcW w:w="1340" w:type="dxa"/>
            <w:vAlign w:val="bottom"/>
            <w:gridSpan w:val="2"/>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5,416(7)</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20,584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81.44</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2/16/2028 (5)</w:t>
            </w:r>
          </w:p>
        </w:tc>
        <w:tc>
          <w:tcPr>
            <w:tcW w:w="1340" w:type="dxa"/>
            <w:vAlign w:val="bottom"/>
            <w:gridSpan w:val="2"/>
            <w:shd w:val="clear" w:color="auto" w:fill="CCEEFF"/>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Anthony L. Boral, M.D., Ph.D.</w:t>
            </w:r>
          </w:p>
        </w:tc>
        <w:tc>
          <w:tcPr>
            <w:tcW w:w="112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2,840 (3)</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569</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8.80</w:t>
            </w:r>
          </w:p>
        </w:tc>
        <w:tc>
          <w:tcPr>
            <w:tcW w:w="14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2/10/2025 (2)</w:t>
            </w:r>
          </w:p>
        </w:tc>
        <w:tc>
          <w:tcPr>
            <w:tcW w:w="1340" w:type="dxa"/>
            <w:vAlign w:val="bottom"/>
            <w:gridSpan w:val="2"/>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10,227</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3"/>
              </w:rPr>
              <w:t>(3)</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3,409</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2/10/2025 (2)</w:t>
            </w:r>
          </w:p>
        </w:tc>
        <w:tc>
          <w:tcPr>
            <w:tcW w:w="1340" w:type="dxa"/>
            <w:vAlign w:val="bottom"/>
            <w:gridSpan w:val="2"/>
            <w:shd w:val="clear" w:color="auto" w:fill="CCEEFF"/>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33,030</w:t>
            </w:r>
          </w:p>
        </w:tc>
        <w:tc>
          <w:tcPr>
            <w:tcW w:w="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3"/>
              </w:rPr>
              <w:t>(1)</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8.80</w:t>
            </w:r>
          </w:p>
        </w:tc>
        <w:tc>
          <w:tcPr>
            <w:tcW w:w="14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2/10/2025 (2)</w:t>
            </w:r>
          </w:p>
        </w:tc>
        <w:tc>
          <w:tcPr>
            <w:tcW w:w="1340" w:type="dxa"/>
            <w:vAlign w:val="bottom"/>
            <w:gridSpan w:val="2"/>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34,089</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3"/>
              </w:rPr>
              <w:t>(8)</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3,789</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2/10/2025 (2)</w:t>
            </w:r>
          </w:p>
        </w:tc>
        <w:tc>
          <w:tcPr>
            <w:tcW w:w="1340" w:type="dxa"/>
            <w:vAlign w:val="bottom"/>
            <w:gridSpan w:val="2"/>
            <w:shd w:val="clear" w:color="auto" w:fill="CCEEFF"/>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 (4)</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5,774</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15.01</w:t>
            </w:r>
          </w:p>
        </w:tc>
        <w:tc>
          <w:tcPr>
            <w:tcW w:w="14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2/03/2026 (5)</w:t>
            </w:r>
          </w:p>
        </w:tc>
        <w:tc>
          <w:tcPr>
            <w:tcW w:w="1340" w:type="dxa"/>
            <w:vAlign w:val="bottom"/>
            <w:gridSpan w:val="2"/>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28,333</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3"/>
              </w:rPr>
              <w:t>(4)</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15.01</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2/03/2026 (5)</w:t>
            </w:r>
          </w:p>
        </w:tc>
        <w:tc>
          <w:tcPr>
            <w:tcW w:w="1340" w:type="dxa"/>
            <w:vAlign w:val="bottom"/>
            <w:gridSpan w:val="2"/>
            <w:shd w:val="clear" w:color="auto" w:fill="CCEEFF"/>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20,625</w:t>
            </w:r>
          </w:p>
        </w:tc>
        <w:tc>
          <w:tcPr>
            <w:tcW w:w="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3"/>
              </w:rPr>
              <w:t>(6)</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24,375</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36.05</w:t>
            </w:r>
          </w:p>
        </w:tc>
        <w:tc>
          <w:tcPr>
            <w:tcW w:w="14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2/16/2027 (5)</w:t>
            </w:r>
          </w:p>
        </w:tc>
        <w:tc>
          <w:tcPr>
            <w:tcW w:w="1340" w:type="dxa"/>
            <w:vAlign w:val="bottom"/>
            <w:gridSpan w:val="2"/>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8,125</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3"/>
              </w:rPr>
              <w:t>(7)</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30,875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81.44</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2/16/2028 (5)</w:t>
            </w:r>
          </w:p>
        </w:tc>
        <w:tc>
          <w:tcPr>
            <w:tcW w:w="1340" w:type="dxa"/>
            <w:vAlign w:val="bottom"/>
            <w:gridSpan w:val="2"/>
            <w:shd w:val="clear" w:color="auto" w:fill="CCEEFF"/>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Tracey L. McCain, Esq.</w:t>
            </w:r>
          </w:p>
        </w:tc>
        <w:tc>
          <w:tcPr>
            <w:tcW w:w="112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46,250(9)</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43,750</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28.36</w:t>
            </w:r>
          </w:p>
        </w:tc>
        <w:tc>
          <w:tcPr>
            <w:tcW w:w="14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10/03/2026 (5)</w:t>
            </w:r>
          </w:p>
        </w:tc>
        <w:tc>
          <w:tcPr>
            <w:tcW w:w="1340" w:type="dxa"/>
            <w:vAlign w:val="bottom"/>
            <w:gridSpan w:val="2"/>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2,291(6)</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2,709</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2/16/2027 (5)</w:t>
            </w:r>
          </w:p>
        </w:tc>
        <w:tc>
          <w:tcPr>
            <w:tcW w:w="1340" w:type="dxa"/>
            <w:vAlign w:val="bottom"/>
            <w:gridSpan w:val="2"/>
            <w:shd w:val="clear" w:color="auto" w:fill="CCEEFF"/>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12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8,125(7)</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30,875</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81.44</w:t>
            </w:r>
          </w:p>
        </w:tc>
        <w:tc>
          <w:tcPr>
            <w:tcW w:w="14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2/16/2028 (5)</w:t>
            </w:r>
          </w:p>
        </w:tc>
        <w:tc>
          <w:tcPr>
            <w:tcW w:w="1340" w:type="dxa"/>
            <w:vAlign w:val="bottom"/>
            <w:gridSpan w:val="2"/>
          </w:tcPr>
          <w:p>
            <w:pPr>
              <w:jc w:val="center"/>
              <w:ind w:left="62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Christina Rossi</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11/01/2028 (5)</w:t>
            </w:r>
          </w:p>
        </w:tc>
        <w:tc>
          <w:tcPr>
            <w:tcW w:w="1340" w:type="dxa"/>
            <w:vAlign w:val="bottom"/>
            <w:gridSpan w:val="2"/>
            <w:shd w:val="clear" w:color="auto" w:fill="CCEEFF"/>
          </w:tcPr>
          <w:p>
            <w:pPr>
              <w:jc w:val="center"/>
              <w:ind w:left="668"/>
              <w:spacing w:after="0" w:line="149" w:lineRule="exact"/>
              <w:rPr>
                <w:sz w:val="20"/>
                <w:szCs w:val="20"/>
                <w:color w:val="auto"/>
              </w:rPr>
            </w:pPr>
            <w:r>
              <w:rPr>
                <w:rFonts w:ascii="Arial" w:cs="Arial" w:eastAsia="Arial" w:hAnsi="Arial"/>
                <w:sz w:val="14"/>
                <w:szCs w:val="14"/>
                <w:color w:val="auto"/>
                <w:w w:val="93"/>
              </w:rPr>
              <w:t>4,500 (11)</w:t>
            </w:r>
          </w:p>
        </w:tc>
        <w:tc>
          <w:tcPr>
            <w:tcW w:w="13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94"/>
              </w:rPr>
              <w:t>242,595 (5)</w:t>
            </w:r>
          </w:p>
        </w:tc>
        <w:tc>
          <w:tcPr>
            <w:tcW w:w="0" w:type="dxa"/>
            <w:vAlign w:val="bottom"/>
          </w:tcPr>
          <w:p>
            <w:pPr>
              <w:spacing w:after="0"/>
              <w:rPr>
                <w:sz w:val="1"/>
                <w:szCs w:val="1"/>
                <w:color w:val="auto"/>
              </w:rPr>
            </w:pPr>
          </w:p>
        </w:tc>
      </w:tr>
      <w:tr>
        <w:trPr>
          <w:trHeight w:val="108"/>
        </w:trPr>
        <w:tc>
          <w:tcPr>
            <w:tcW w:w="2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This option has fully vested.</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This equity award was granted under our 2011 Stock Option and Grant Plan, as amended.</w:t>
      </w:r>
    </w:p>
    <w:p>
      <w:pPr>
        <w:spacing w:after="0" w:line="95" w:lineRule="exact"/>
        <w:rPr>
          <w:rFonts w:ascii="Arial" w:cs="Arial" w:eastAsia="Arial" w:hAnsi="Arial"/>
          <w:sz w:val="14"/>
          <w:szCs w:val="14"/>
          <w:color w:val="auto"/>
        </w:rPr>
      </w:pPr>
    </w:p>
    <w:p>
      <w:pPr>
        <w:jc w:val="both"/>
        <w:ind w:left="320" w:right="520" w:hanging="317"/>
        <w:spacing w:after="0" w:line="291" w:lineRule="auto"/>
        <w:tabs>
          <w:tab w:leader="none" w:pos="3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This option vested with respect to 1/48</w:t>
      </w:r>
      <w:r>
        <w:rPr>
          <w:rFonts w:ascii="Arial" w:cs="Arial" w:eastAsia="Arial" w:hAnsi="Arial"/>
          <w:sz w:val="13"/>
          <w:szCs w:val="13"/>
          <w:color w:val="auto"/>
          <w:vertAlign w:val="superscript"/>
        </w:rPr>
        <w:t>th</w:t>
      </w:r>
      <w:r>
        <w:rPr>
          <w:rFonts w:ascii="Arial" w:cs="Arial" w:eastAsia="Arial" w:hAnsi="Arial"/>
          <w:sz w:val="13"/>
          <w:szCs w:val="13"/>
          <w:color w:val="auto"/>
        </w:rPr>
        <w:t xml:space="preserve"> of the shares underlying the option on March 10, 2015 and vests as to an additional 1/48</w:t>
      </w:r>
      <w:r>
        <w:rPr>
          <w:rFonts w:ascii="Arial" w:cs="Arial" w:eastAsia="Arial" w:hAnsi="Arial"/>
          <w:sz w:val="13"/>
          <w:szCs w:val="13"/>
          <w:color w:val="auto"/>
          <w:vertAlign w:val="superscript"/>
        </w:rPr>
        <w:t>th</w:t>
      </w:r>
      <w:r>
        <w:rPr>
          <w:rFonts w:ascii="Arial" w:cs="Arial" w:eastAsia="Arial" w:hAnsi="Arial"/>
          <w:sz w:val="13"/>
          <w:szCs w:val="13"/>
          <w:color w:val="auto"/>
        </w:rPr>
        <w:t xml:space="preserve"> of the shares underlying the option each month thereafter through February 10, 2019, subject to continued employment through each applicable vesting date.</w:t>
      </w:r>
    </w:p>
    <w:p>
      <w:pPr>
        <w:spacing w:after="0" w:line="42" w:lineRule="exact"/>
        <w:rPr>
          <w:rFonts w:ascii="Arial" w:cs="Arial" w:eastAsia="Arial" w:hAnsi="Arial"/>
          <w:sz w:val="13"/>
          <w:szCs w:val="13"/>
          <w:color w:val="auto"/>
        </w:rPr>
      </w:pPr>
    </w:p>
    <w:p>
      <w:pPr>
        <w:jc w:val="both"/>
        <w:ind w:left="320" w:right="600" w:hanging="317"/>
        <w:spacing w:after="0" w:line="335" w:lineRule="auto"/>
        <w:tabs>
          <w:tab w:leader="none" w:pos="3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This option vested with respect to 1/48</w:t>
      </w:r>
      <w:r>
        <w:rPr>
          <w:rFonts w:ascii="Arial" w:cs="Arial" w:eastAsia="Arial" w:hAnsi="Arial"/>
          <w:sz w:val="12"/>
          <w:szCs w:val="12"/>
          <w:color w:val="auto"/>
          <w:vertAlign w:val="superscript"/>
        </w:rPr>
        <w:t>th</w:t>
      </w:r>
      <w:r>
        <w:rPr>
          <w:rFonts w:ascii="Arial" w:cs="Arial" w:eastAsia="Arial" w:hAnsi="Arial"/>
          <w:sz w:val="12"/>
          <w:szCs w:val="12"/>
          <w:color w:val="auto"/>
        </w:rPr>
        <w:t xml:space="preserve"> of the shares underlying the option on March 3, 2016 and vests as to an additional 1/48</w:t>
      </w:r>
      <w:r>
        <w:rPr>
          <w:rFonts w:ascii="Arial" w:cs="Arial" w:eastAsia="Arial" w:hAnsi="Arial"/>
          <w:sz w:val="12"/>
          <w:szCs w:val="12"/>
          <w:color w:val="auto"/>
          <w:vertAlign w:val="superscript"/>
        </w:rPr>
        <w:t>th</w:t>
      </w:r>
      <w:r>
        <w:rPr>
          <w:rFonts w:ascii="Arial" w:cs="Arial" w:eastAsia="Arial" w:hAnsi="Arial"/>
          <w:sz w:val="12"/>
          <w:szCs w:val="12"/>
          <w:color w:val="auto"/>
        </w:rPr>
        <w:t xml:space="preserve"> of the shares underlying the option each month thereafter through February 3, 2020, subject to continued employment through each applicable vesting date.</w:t>
      </w:r>
    </w:p>
    <w:p>
      <w:pPr>
        <w:spacing w:after="0" w:line="19" w:lineRule="exact"/>
        <w:rPr>
          <w:rFonts w:ascii="Arial" w:cs="Arial" w:eastAsia="Arial" w:hAnsi="Arial"/>
          <w:sz w:val="12"/>
          <w:szCs w:val="12"/>
          <w:color w:val="auto"/>
        </w:rPr>
      </w:pPr>
    </w:p>
    <w:p>
      <w:pPr>
        <w:ind w:left="320" w:hanging="317"/>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This equity award was granted under our 2015 Stock Option and Incentive Plan.</w:t>
      </w:r>
    </w:p>
    <w:p>
      <w:pPr>
        <w:spacing w:after="0" w:line="95" w:lineRule="exact"/>
        <w:rPr>
          <w:rFonts w:ascii="Arial" w:cs="Arial" w:eastAsia="Arial" w:hAnsi="Arial"/>
          <w:sz w:val="14"/>
          <w:szCs w:val="14"/>
          <w:color w:val="auto"/>
        </w:rPr>
      </w:pPr>
    </w:p>
    <w:p>
      <w:pPr>
        <w:jc w:val="both"/>
        <w:ind w:left="320" w:right="500" w:hanging="317"/>
        <w:spacing w:after="0" w:line="335" w:lineRule="auto"/>
        <w:tabs>
          <w:tab w:leader="none" w:pos="3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This option vested with respect to 1/48th of the shares underlying the option on March 16, 2017 and vests as to an additional 1/48</w:t>
      </w:r>
      <w:r>
        <w:rPr>
          <w:rFonts w:ascii="Arial" w:cs="Arial" w:eastAsia="Arial" w:hAnsi="Arial"/>
          <w:sz w:val="12"/>
          <w:szCs w:val="12"/>
          <w:color w:val="auto"/>
          <w:vertAlign w:val="superscript"/>
        </w:rPr>
        <w:t>th</w:t>
      </w:r>
      <w:r>
        <w:rPr>
          <w:rFonts w:ascii="Arial" w:cs="Arial" w:eastAsia="Arial" w:hAnsi="Arial"/>
          <w:sz w:val="12"/>
          <w:szCs w:val="12"/>
          <w:color w:val="auto"/>
        </w:rPr>
        <w:t xml:space="preserve"> of the shares underlying the option each month thereafter through February 16, 2021, subject to continued employment through each applicable vesting date.</w:t>
      </w:r>
    </w:p>
    <w:p>
      <w:pPr>
        <w:spacing w:after="0" w:line="19" w:lineRule="exact"/>
        <w:rPr>
          <w:rFonts w:ascii="Arial" w:cs="Arial" w:eastAsia="Arial" w:hAnsi="Arial"/>
          <w:sz w:val="12"/>
          <w:szCs w:val="12"/>
          <w:color w:val="auto"/>
        </w:rPr>
      </w:pPr>
    </w:p>
    <w:p>
      <w:pPr>
        <w:jc w:val="both"/>
        <w:ind w:left="320" w:right="500" w:hanging="317"/>
        <w:spacing w:after="0" w:line="335" w:lineRule="auto"/>
        <w:tabs>
          <w:tab w:leader="none" w:pos="3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This option vested with respect to 1/48th of the shares underlying the option on March 16, 2018 and vests as to an additional 1/48</w:t>
      </w:r>
      <w:r>
        <w:rPr>
          <w:rFonts w:ascii="Arial" w:cs="Arial" w:eastAsia="Arial" w:hAnsi="Arial"/>
          <w:sz w:val="12"/>
          <w:szCs w:val="12"/>
          <w:color w:val="auto"/>
          <w:vertAlign w:val="superscript"/>
        </w:rPr>
        <w:t>th</w:t>
      </w:r>
      <w:r>
        <w:rPr>
          <w:rFonts w:ascii="Arial" w:cs="Arial" w:eastAsia="Arial" w:hAnsi="Arial"/>
          <w:sz w:val="12"/>
          <w:szCs w:val="12"/>
          <w:color w:val="auto"/>
        </w:rPr>
        <w:t xml:space="preserve"> of the shares underlying the option each month thereafter through February 16, 2022, subject to continued employment through each applicable vesting date.</w:t>
      </w:r>
    </w:p>
    <w:p>
      <w:pPr>
        <w:spacing w:after="0" w:line="19" w:lineRule="exact"/>
        <w:rPr>
          <w:rFonts w:ascii="Arial" w:cs="Arial" w:eastAsia="Arial" w:hAnsi="Arial"/>
          <w:sz w:val="12"/>
          <w:szCs w:val="12"/>
          <w:color w:val="auto"/>
        </w:rPr>
      </w:pPr>
    </w:p>
    <w:p>
      <w:pPr>
        <w:ind w:left="320" w:right="540" w:hanging="317"/>
        <w:spacing w:after="0" w:line="335" w:lineRule="auto"/>
        <w:tabs>
          <w:tab w:leader="none" w:pos="3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This option vested with respect to 25% of the shares underlying the option on February 9, 2016 and vests as to an additional 1/48</w:t>
      </w:r>
      <w:r>
        <w:rPr>
          <w:rFonts w:ascii="Arial" w:cs="Arial" w:eastAsia="Arial" w:hAnsi="Arial"/>
          <w:sz w:val="12"/>
          <w:szCs w:val="12"/>
          <w:color w:val="auto"/>
          <w:vertAlign w:val="superscript"/>
        </w:rPr>
        <w:t>th</w:t>
      </w:r>
      <w:r>
        <w:rPr>
          <w:rFonts w:ascii="Arial" w:cs="Arial" w:eastAsia="Arial" w:hAnsi="Arial"/>
          <w:sz w:val="12"/>
          <w:szCs w:val="12"/>
          <w:color w:val="auto"/>
        </w:rPr>
        <w:t xml:space="preserve"> of the shares underlying the option each month thereafter through February 9, 2019, subject to continued employment through each applicable vesting date.</w:t>
      </w:r>
    </w:p>
    <w:p>
      <w:pPr>
        <w:spacing w:after="0" w:line="19" w:lineRule="exact"/>
        <w:rPr>
          <w:rFonts w:ascii="Arial" w:cs="Arial" w:eastAsia="Arial" w:hAnsi="Arial"/>
          <w:sz w:val="12"/>
          <w:szCs w:val="12"/>
          <w:color w:val="auto"/>
        </w:rPr>
      </w:pPr>
    </w:p>
    <w:p>
      <w:pPr>
        <w:ind w:left="320" w:right="440" w:hanging="317"/>
        <w:spacing w:after="0" w:line="335" w:lineRule="auto"/>
        <w:tabs>
          <w:tab w:leader="none" w:pos="3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This option vested with respect to 25% of the shares underlying the option on September 6, 2017 and vests as to an additional 1/48</w:t>
      </w:r>
      <w:r>
        <w:rPr>
          <w:rFonts w:ascii="Arial" w:cs="Arial" w:eastAsia="Arial" w:hAnsi="Arial"/>
          <w:sz w:val="12"/>
          <w:szCs w:val="12"/>
          <w:color w:val="auto"/>
          <w:vertAlign w:val="superscript"/>
        </w:rPr>
        <w:t>th</w:t>
      </w:r>
      <w:r>
        <w:rPr>
          <w:rFonts w:ascii="Arial" w:cs="Arial" w:eastAsia="Arial" w:hAnsi="Arial"/>
          <w:sz w:val="12"/>
          <w:szCs w:val="12"/>
          <w:color w:val="auto"/>
        </w:rPr>
        <w:t xml:space="preserve"> of the shares underlying the option each month thereafter through September 6, 2020, subject to continued employment through each applicable vesting date.</w:t>
      </w:r>
    </w:p>
    <w:p>
      <w:pPr>
        <w:spacing w:after="0" w:line="19" w:lineRule="exact"/>
        <w:rPr>
          <w:rFonts w:ascii="Arial" w:cs="Arial" w:eastAsia="Arial" w:hAnsi="Arial"/>
          <w:sz w:val="12"/>
          <w:szCs w:val="12"/>
          <w:color w:val="auto"/>
        </w:rPr>
      </w:pPr>
    </w:p>
    <w:p>
      <w:pPr>
        <w:jc w:val="both"/>
        <w:ind w:left="320" w:right="500" w:hanging="317"/>
        <w:spacing w:after="0" w:line="291" w:lineRule="auto"/>
        <w:tabs>
          <w:tab w:leader="none" w:pos="3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This option vests with respect to 25% of the shares underlying the option on November 1, 2019 and vests as to an additional 1/48</w:t>
      </w:r>
      <w:r>
        <w:rPr>
          <w:rFonts w:ascii="Arial" w:cs="Arial" w:eastAsia="Arial" w:hAnsi="Arial"/>
          <w:sz w:val="13"/>
          <w:szCs w:val="13"/>
          <w:color w:val="auto"/>
          <w:vertAlign w:val="superscript"/>
        </w:rPr>
        <w:t>th</w:t>
      </w:r>
      <w:r>
        <w:rPr>
          <w:rFonts w:ascii="Arial" w:cs="Arial" w:eastAsia="Arial" w:hAnsi="Arial"/>
          <w:sz w:val="13"/>
          <w:szCs w:val="13"/>
          <w:color w:val="auto"/>
        </w:rPr>
        <w:t xml:space="preserve"> of the shares underlying the option each month thereafter through November 1, 2022, subject to continued employment through each applicable vesting date.</w:t>
      </w:r>
    </w:p>
    <w:p>
      <w:pPr>
        <w:spacing w:after="0" w:line="42" w:lineRule="exact"/>
        <w:rPr>
          <w:rFonts w:ascii="Arial" w:cs="Arial" w:eastAsia="Arial" w:hAnsi="Arial"/>
          <w:sz w:val="13"/>
          <w:szCs w:val="13"/>
          <w:color w:val="auto"/>
        </w:rPr>
      </w:pPr>
    </w:p>
    <w:p>
      <w:pPr>
        <w:ind w:left="320" w:right="520" w:hanging="317"/>
        <w:spacing w:after="0" w:line="253"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This restricted stock unit vests in four equal installments on each of November 1, 2019, 2020, 2021 and 2022, subject to continued employment through each applicable vesting date.</w:t>
      </w:r>
    </w:p>
    <w:p>
      <w:pPr>
        <w:spacing w:after="0" w:line="65" w:lineRule="exact"/>
        <w:rPr>
          <w:rFonts w:ascii="Arial" w:cs="Arial" w:eastAsia="Arial" w:hAnsi="Arial"/>
          <w:sz w:val="14"/>
          <w:szCs w:val="14"/>
          <w:color w:val="auto"/>
        </w:rPr>
      </w:pPr>
    </w:p>
    <w:p>
      <w:pPr>
        <w:ind w:left="320" w:right="240" w:hanging="317"/>
        <w:spacing w:after="0" w:line="253"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Amounts shown are based on a price of $53.51 per share, which was the closing price of our common stock as reported on the Nasdaq Global Select Market on December 31, 2018, the last trading day of the year.</w:t>
      </w: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30" w:right="1359" w:bottom="1440" w:gutter="0" w:footer="0" w:header="0"/>
        </w:sectPr>
      </w:pPr>
    </w:p>
    <w:bookmarkStart w:id="35" w:name="page36"/>
    <w:bookmarkEnd w:id="35"/>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w:t>
      </w:r>
    </w:p>
    <w:p>
      <w:pPr>
        <w:spacing w:after="0" w:line="13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following table sets forth information concerning option exercises and the vesting of restricted stock unit awards for each of our named executive officers during the fiscal year ended December 31, 2018:</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2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Option Awards</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Value Realized</w:t>
            </w:r>
          </w:p>
        </w:tc>
        <w:tc>
          <w:tcPr>
            <w:tcW w:w="9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Number of Shares Acquired on Exercise (#)</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Realized on</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2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Vesting (#)</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Vesting ($)</w:t>
            </w: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268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108,961</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7,485,756</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gridSpan w:val="2"/>
          </w:tcPr>
          <w:p>
            <w:pPr>
              <w:spacing w:after="0"/>
              <w:rPr>
                <w:sz w:val="20"/>
                <w:szCs w:val="20"/>
                <w:color w:val="auto"/>
              </w:rPr>
            </w:pPr>
            <w:r>
              <w:rPr>
                <w:rFonts w:ascii="Arial" w:cs="Arial" w:eastAsia="Arial" w:hAnsi="Arial"/>
                <w:sz w:val="16"/>
                <w:szCs w:val="16"/>
                <w:color w:val="auto"/>
              </w:rPr>
              <w:t>Michael Landsittel</w:t>
            </w:r>
          </w:p>
        </w:tc>
        <w:tc>
          <w:tcPr>
            <w:tcW w:w="2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L. Boral, M.D., Ph.D.</w:t>
            </w:r>
          </w:p>
        </w:tc>
        <w:tc>
          <w:tcPr>
            <w:tcW w:w="2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spacing w:after="0"/>
              <w:rPr>
                <w:sz w:val="20"/>
                <w:szCs w:val="20"/>
                <w:color w:val="auto"/>
              </w:rPr>
            </w:pPr>
            <w:r>
              <w:rPr>
                <w:rFonts w:ascii="Arial" w:cs="Arial" w:eastAsia="Arial" w:hAnsi="Arial"/>
                <w:sz w:val="16"/>
                <w:szCs w:val="16"/>
                <w:color w:val="auto"/>
              </w:rPr>
              <w:t>Tracey L. McCain, Esq.</w:t>
            </w:r>
          </w:p>
        </w:tc>
        <w:tc>
          <w:tcPr>
            <w:tcW w:w="2680" w:type="dxa"/>
            <w:vAlign w:val="bottom"/>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604,300</w:t>
            </w:r>
          </w:p>
        </w:tc>
        <w:tc>
          <w:tcPr>
            <w:tcW w:w="12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Christina Rossi</w:t>
            </w:r>
          </w:p>
        </w:tc>
        <w:tc>
          <w:tcPr>
            <w:tcW w:w="2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20" w:right="140" w:hanging="317"/>
        <w:spacing w:after="0" w:line="238"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value realized when the stock options were exercised represents (i) the excess of the closing price of a share of our common stock as reported on the Nasdaq Global Select Market on the date of exercise over the per share exercise price of the stock option, multiplied by (ii) the number of option shares exercised.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Severance and Change-in-Control Arrangements</w:t>
      </w:r>
    </w:p>
    <w:p>
      <w:pPr>
        <w:spacing w:after="0" w:line="131" w:lineRule="exact"/>
        <w:rPr>
          <w:sz w:val="20"/>
          <w:szCs w:val="20"/>
          <w:color w:val="auto"/>
        </w:rPr>
      </w:pPr>
    </w:p>
    <w:p>
      <w:pPr>
        <w:ind w:right="80" w:firstLine="648"/>
        <w:spacing w:after="0" w:line="287" w:lineRule="auto"/>
        <w:rPr>
          <w:sz w:val="20"/>
          <w:szCs w:val="20"/>
          <w:color w:val="auto"/>
        </w:rPr>
      </w:pPr>
      <w:r>
        <w:rPr>
          <w:rFonts w:ascii="Arial" w:cs="Arial" w:eastAsia="Arial" w:hAnsi="Arial"/>
          <w:sz w:val="15"/>
          <w:szCs w:val="15"/>
          <w:color w:val="auto"/>
        </w:rPr>
        <w:t>We have entered into employment agreements with each of our named executive officers in connection with their employment with us. These employment agreements provide for “at will” employment. Such employment agreements established the named executive officer’s title, initial compensation arrangements and eligibility to participate in the employee benefit plans generally available to full-time employees, subject to the terms of those plans. We have also agreed to provide the following benefits under the employment agreements with each of our named executive officers, including certain severance payments and benefits in connection with a change-in-control.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spacing w:after="0" w:line="71" w:lineRule="exact"/>
        <w:rPr>
          <w:sz w:val="20"/>
          <w:szCs w:val="20"/>
          <w:color w:val="auto"/>
        </w:rPr>
      </w:pPr>
    </w:p>
    <w:p>
      <w:pPr>
        <w:ind w:right="20" w:firstLine="648"/>
        <w:spacing w:after="0" w:line="302" w:lineRule="auto"/>
        <w:rPr>
          <w:sz w:val="20"/>
          <w:szCs w:val="20"/>
          <w:color w:val="auto"/>
        </w:rPr>
      </w:pPr>
      <w:r>
        <w:rPr>
          <w:rFonts w:ascii="Arial" w:cs="Arial" w:eastAsia="Arial" w:hAnsi="Arial"/>
          <w:sz w:val="14"/>
          <w:szCs w:val="14"/>
          <w:b w:val="1"/>
          <w:bCs w:val="1"/>
          <w:i w:val="1"/>
          <w:iCs w:val="1"/>
          <w:color w:val="auto"/>
        </w:rPr>
        <w:t xml:space="preserve">Jeffrey W. Albers, Chief Executive Officer. </w:t>
      </w:r>
      <w:r>
        <w:rPr>
          <w:rFonts w:ascii="Arial" w:cs="Arial" w:eastAsia="Arial" w:hAnsi="Arial"/>
          <w:sz w:val="14"/>
          <w:szCs w:val="14"/>
          <w:color w:val="auto"/>
        </w:rPr>
        <w:t>Under the employment agreement with Mr. Albers, our chief executive officer, if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Mr. Albers’ employment is terminated by us without cause (as defined in his employment agreement) or by Mr. Albers for good reason (as defined in his employment agreement), and subject to Mr. Albers’ execution of a release of potential claims against us, Mr. Albers will be entitled to receive: (i) a lump sum in cash in an amount equal to 12 months of base salary then in effect and (ii) a monthly cash payment for 12 months for medical and dental benefits or Mr. Albers’ COBRA health continuation period, whichever ends earlier. However, in the event that Mr. Albers’ employment is terminated by us without cause, or Mr. Albers terminates his employment with us for good reason, in either case within 12 months following the occurrence of a sale event (as defined in his employment agreement), in lieu of the severance payments and benefits described in the preceding sentence and subject to Mr. Albers’ execution of a release of potential claims against us, Mr. Albers will be entitled to receive: (i) a lump sum in cash in an amount equal to the sum of 18 months of Mr. Albers’ base salary then in effect plus one-and-one half times Mr. Albers’ target annual incentive compensation for the year in which the termination occurs,</w:t>
      </w:r>
    </w:p>
    <w:p>
      <w:pPr>
        <w:spacing w:after="0" w:line="4" w:lineRule="exact"/>
        <w:rPr>
          <w:sz w:val="20"/>
          <w:szCs w:val="20"/>
          <w:color w:val="auto"/>
        </w:rPr>
      </w:pPr>
    </w:p>
    <w:p>
      <w:pPr>
        <w:ind w:right="20" w:firstLine="3"/>
        <w:spacing w:after="0" w:line="276" w:lineRule="auto"/>
        <w:tabs>
          <w:tab w:leader="none" w:pos="239"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monthly cash payment for 18 months for medical and dental benefits or Mr. Albers’ COBRA health continuation period, whichever ends earlier, and (iii) full and immediate vesting and exercisability of all time-based stock options and other time-based stock-based awards held by Mr. Albers.</w:t>
      </w:r>
    </w:p>
    <w:p>
      <w:pPr>
        <w:spacing w:after="0" w:line="7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4"/>
          <w:szCs w:val="14"/>
          <w:b w:val="1"/>
          <w:bCs w:val="1"/>
          <w:i w:val="1"/>
          <w:iCs w:val="1"/>
          <w:color w:val="auto"/>
        </w:rPr>
        <w:t xml:space="preserve">Named Executive Officers Other Than Chief Executive Officer. </w:t>
      </w:r>
      <w:r>
        <w:rPr>
          <w:rFonts w:ascii="Arial" w:cs="Arial" w:eastAsia="Arial" w:hAnsi="Arial"/>
          <w:sz w:val="14"/>
          <w:szCs w:val="14"/>
          <w:color w:val="auto"/>
        </w:rPr>
        <w:t>Under the employment agreements with each of our other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named executive officers, if the executive officer’s employment is terminated by us without cause (as defined in his or her employment agreement) or by the executive officer for good reason (as defined in his or her employment agreement), and subject to the executive officer’s execution of a release of potential claims against us, the executive officer will be entitled to receive: (i) a lump sum in cash in an amount equal to 12 months of base salary and (ii) a monthly cash payment for 12 months for medical and dental benefits or the executive officer’s COBRA health continuation period, whichever ends earlier. However, in the event that the executive officer’s employment is terminated by us without cause, or the executive officer terminates his or her employment with us for good reason, in either case within</w:t>
      </w:r>
    </w:p>
    <w:p>
      <w:pPr>
        <w:spacing w:after="0" w:line="4"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12 months following the occurrence of a sale event (as defined in his or her employment agreement), in lieu of the severance payments and benefits described in the preceding sentence and subject to the executive officer’s execution of a release of potential claims against us, the executive officer will be entitled to receive: (i) a lump sum in cash in an amount equal to the sum of 12 months of the executive officer’s base salary then in effect plus the executive officer’s target annual incentive compensation for the year in which the termination occurs,</w:t>
      </w:r>
    </w:p>
    <w:p>
      <w:pPr>
        <w:spacing w:after="0" w:line="3" w:lineRule="exact"/>
        <w:rPr>
          <w:sz w:val="20"/>
          <w:szCs w:val="20"/>
          <w:color w:val="auto"/>
        </w:rPr>
      </w:pPr>
    </w:p>
    <w:p>
      <w:pPr>
        <w:jc w:val="both"/>
        <w:ind w:right="160" w:firstLine="3"/>
        <w:spacing w:after="0" w:line="276" w:lineRule="auto"/>
        <w:tabs>
          <w:tab w:leader="none" w:pos="239"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monthly cash payment for 12 months for medical and dental benefits or the executive officer’s COBRA health continuation period, whichever ends earlier, and (iii) full and immediate vesting and exercisability of all time-based stock options and other time-based stock-based awards held by the executive officer.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36" w:name="page37"/>
    <w:bookmarkEnd w:id="36"/>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Payments Upon Termination or Change-in-Control</w:t>
      </w:r>
    </w:p>
    <w:p>
      <w:pPr>
        <w:spacing w:after="0" w:line="127" w:lineRule="exact"/>
        <w:rPr>
          <w:sz w:val="20"/>
          <w:szCs w:val="20"/>
          <w:color w:val="auto"/>
        </w:rPr>
      </w:pPr>
    </w:p>
    <w:p>
      <w:pPr>
        <w:ind w:right="40" w:firstLine="648"/>
        <w:spacing w:after="0" w:line="287" w:lineRule="auto"/>
        <w:rPr>
          <w:sz w:val="20"/>
          <w:szCs w:val="20"/>
          <w:color w:val="auto"/>
        </w:rPr>
      </w:pPr>
      <w:r>
        <w:rPr>
          <w:rFonts w:ascii="Arial" w:cs="Arial" w:eastAsia="Arial" w:hAnsi="Arial"/>
          <w:sz w:val="15"/>
          <w:szCs w:val="15"/>
          <w:color w:val="auto"/>
        </w:rPr>
        <w:t>The amount of compensation and benefits payable to each named executive officer under our current employment agreements in various termination and/or change-in-control situations has been estimated in the table below, which assumes that such termination and/or change-in-control occurred on December 31, 2018 and that no noncompetition provisions will be enforced following any such termination. The value of the equity vesting acceleration was calculated based on the assumption that the change-in-control and/or executive’s employment termination occurred on December 31, 2018, the last business day of the fiscal year ended December 31, 2018. For purposes of the following table, we have used $53.91 per share, which was the closing price of our common stock on the Nasdaq Global Select Market as of December 31, 2018, the last trading day of 2018, to estimate the value of our common stock upon acceleration. The value of the option vesting acceleration was calculated by multiplying the number of unvested shares underlying stock options subject to vesting acceleration as of December 31, 2018 by the difference between the closing price of our common stock as reported on the Nasdaq Global Select Market on December 31, 2018 and the exercise price for such unvested stock options.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Triggering Event</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Resignation for Good</w:t>
            </w:r>
          </w:p>
        </w:tc>
        <w:tc>
          <w:tcPr>
            <w:tcW w:w="260" w:type="dxa"/>
            <w:vAlign w:val="bottom"/>
          </w:tcPr>
          <w:p>
            <w:pPr>
              <w:spacing w:after="0"/>
              <w:rPr>
                <w:sz w:val="10"/>
                <w:szCs w:val="10"/>
                <w:color w:val="auto"/>
              </w:rPr>
            </w:pPr>
          </w:p>
        </w:tc>
        <w:tc>
          <w:tcPr>
            <w:tcW w:w="13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Resignation for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Good Reason or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Reason or Termination</w:t>
            </w:r>
          </w:p>
        </w:tc>
        <w:tc>
          <w:tcPr>
            <w:tcW w:w="2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Sale Event Without</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Without Cause Before</w:t>
            </w:r>
          </w:p>
        </w:tc>
        <w:tc>
          <w:tcPr>
            <w:tcW w:w="2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More Than 12</w:t>
            </w:r>
          </w:p>
        </w:tc>
        <w:tc>
          <w:tcPr>
            <w:tcW w:w="2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Within 12 Months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Benefit</w:t>
            </w:r>
          </w:p>
        </w:tc>
        <w:tc>
          <w:tcPr>
            <w:tcW w:w="180" w:type="dxa"/>
            <w:vAlign w:val="bottom"/>
          </w:tcPr>
          <w:p>
            <w:pPr>
              <w:spacing w:after="0"/>
              <w:rPr>
                <w:sz w:val="12"/>
                <w:szCs w:val="12"/>
                <w:color w:val="auto"/>
              </w:rPr>
            </w:pPr>
          </w:p>
        </w:tc>
        <w:tc>
          <w:tcPr>
            <w:tcW w:w="1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Termination of</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Months Following a</w:t>
            </w:r>
          </w:p>
        </w:tc>
        <w:tc>
          <w:tcPr>
            <w:tcW w:w="2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Following a</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Employment ($)</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Sale Event ($)</w:t>
            </w:r>
          </w:p>
        </w:tc>
        <w:tc>
          <w:tcPr>
            <w:tcW w:w="2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Sale Event ($)</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Jeffrey W. Albers</w:t>
            </w:r>
          </w:p>
        </w:tc>
        <w:tc>
          <w:tcPr>
            <w:tcW w:w="180" w:type="dxa"/>
            <w:vAlign w:val="bottom"/>
            <w:tcBorders>
              <w:top w:val="single" w:sz="8" w:color="CCEEFF"/>
            </w:tcBorders>
            <w:shd w:val="clear" w:color="auto" w:fill="CCEEFF"/>
          </w:tcPr>
          <w:p>
            <w:pPr>
              <w:spacing w:after="0"/>
              <w:rPr>
                <w:sz w:val="10"/>
                <w:szCs w:val="10"/>
                <w:color w:val="auto"/>
              </w:rPr>
            </w:pPr>
          </w:p>
        </w:tc>
        <w:tc>
          <w:tcPr>
            <w:tcW w:w="1940" w:type="dxa"/>
            <w:vAlign w:val="bottom"/>
            <w:tcBorders>
              <w:top w:val="single" w:sz="8" w:color="auto"/>
            </w:tcBorders>
            <w:gridSpan w:val="2"/>
            <w:shd w:val="clear" w:color="auto" w:fill="CCEEFF"/>
          </w:tcPr>
          <w:p>
            <w:pPr>
              <w:spacing w:after="0" w:line="123" w:lineRule="exact"/>
              <w:rPr>
                <w:sz w:val="20"/>
                <w:szCs w:val="20"/>
                <w:color w:val="auto"/>
              </w:rPr>
            </w:pPr>
            <w:r>
              <w:rPr>
                <w:rFonts w:ascii="Arial" w:cs="Arial" w:eastAsia="Arial" w:hAnsi="Arial"/>
                <w:sz w:val="14"/>
                <w:szCs w:val="14"/>
                <w:color w:val="auto"/>
              </w:rPr>
              <w:t>Severance payments</w:t>
            </w:r>
          </w:p>
        </w:tc>
        <w:tc>
          <w:tcPr>
            <w:tcW w:w="1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15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541,144</w:t>
            </w:r>
          </w:p>
        </w:tc>
        <w:tc>
          <w:tcPr>
            <w:tcW w:w="260" w:type="dxa"/>
            <w:vAlign w:val="bottom"/>
            <w:tcBorders>
              <w:top w:val="single" w:sz="8" w:color="CCEEFF"/>
            </w:tcBorders>
            <w:shd w:val="clear" w:color="auto" w:fill="CCEEFF"/>
          </w:tcPr>
          <w:p>
            <w:pPr>
              <w:jc w:val="right"/>
              <w:ind w:right="9"/>
              <w:spacing w:after="0" w:line="123" w:lineRule="exact"/>
              <w:rPr>
                <w:sz w:val="20"/>
                <w:szCs w:val="20"/>
                <w:color w:val="auto"/>
              </w:rPr>
            </w:pPr>
            <w:r>
              <w:rPr>
                <w:rFonts w:ascii="Arial" w:cs="Arial" w:eastAsia="Arial" w:hAnsi="Arial"/>
                <w:sz w:val="14"/>
                <w:szCs w:val="14"/>
                <w:color w:val="auto"/>
                <w:w w:val="93"/>
              </w:rPr>
              <w:t>(1)</w:t>
            </w:r>
          </w:p>
        </w:tc>
        <w:tc>
          <w:tcPr>
            <w:tcW w:w="13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811,716</w:t>
            </w:r>
          </w:p>
        </w:tc>
        <w:tc>
          <w:tcPr>
            <w:tcW w:w="220" w:type="dxa"/>
            <w:vAlign w:val="bottom"/>
            <w:tcBorders>
              <w:top w:val="single" w:sz="8" w:color="CCEEFF"/>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incentive payments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446,444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 care continuation</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16,633 (4)</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24,949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Acceleration of equity award</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vesting</w:t>
            </w: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3,438,133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w:t>
            </w:r>
          </w:p>
        </w:tc>
        <w:tc>
          <w:tcPr>
            <w:tcW w:w="0" w:type="dxa"/>
            <w:vAlign w:val="bottom"/>
          </w:tcPr>
          <w:p>
            <w:pPr>
              <w:spacing w:after="0"/>
              <w:rPr>
                <w:sz w:val="1"/>
                <w:szCs w:val="1"/>
                <w:color w:val="auto"/>
              </w:rPr>
            </w:pPr>
          </w:p>
        </w:tc>
      </w:tr>
      <w:tr>
        <w:trPr>
          <w:trHeight w:val="162"/>
        </w:trPr>
        <w:tc>
          <w:tcPr>
            <w:tcW w:w="20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94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557,777</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4,721,242</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3"/>
                <w:szCs w:val="13"/>
                <w:color w:val="auto"/>
              </w:rPr>
              <w:t>Michael Landsittel</w:t>
            </w:r>
          </w:p>
        </w:tc>
        <w:tc>
          <w:tcPr>
            <w:tcW w:w="180" w:type="dxa"/>
            <w:vAlign w:val="bottom"/>
          </w:tcPr>
          <w:p>
            <w:pPr>
              <w:spacing w:after="0"/>
              <w:rPr>
                <w:sz w:val="10"/>
                <w:szCs w:val="10"/>
                <w:color w:val="auto"/>
              </w:rPr>
            </w:pPr>
          </w:p>
        </w:tc>
        <w:tc>
          <w:tcPr>
            <w:tcW w:w="1940" w:type="dxa"/>
            <w:vAlign w:val="bottom"/>
            <w:gridSpan w:val="2"/>
          </w:tcPr>
          <w:p>
            <w:pPr>
              <w:spacing w:after="0" w:line="117" w:lineRule="exact"/>
              <w:rPr>
                <w:sz w:val="20"/>
                <w:szCs w:val="20"/>
                <w:color w:val="auto"/>
              </w:rPr>
            </w:pPr>
            <w:r>
              <w:rPr>
                <w:rFonts w:ascii="Arial" w:cs="Arial" w:eastAsia="Arial" w:hAnsi="Arial"/>
                <w:sz w:val="13"/>
                <w:szCs w:val="13"/>
                <w:color w:val="auto"/>
              </w:rPr>
              <w:t>Severance payments</w:t>
            </w:r>
          </w:p>
        </w:tc>
        <w:tc>
          <w:tcPr>
            <w:tcW w:w="180" w:type="dxa"/>
            <w:vAlign w:val="bottom"/>
          </w:tcPr>
          <w:p>
            <w:pPr>
              <w:spacing w:after="0"/>
              <w:rPr>
                <w:sz w:val="10"/>
                <w:szCs w:val="10"/>
                <w:color w:val="auto"/>
              </w:rPr>
            </w:pPr>
          </w:p>
        </w:tc>
        <w:tc>
          <w:tcPr>
            <w:tcW w:w="1260" w:type="dxa"/>
            <w:vAlign w:val="bottom"/>
          </w:tcPr>
          <w:p>
            <w:pPr>
              <w:jc w:val="right"/>
              <w:spacing w:after="0" w:line="11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520" w:type="dxa"/>
            <w:vAlign w:val="bottom"/>
          </w:tcPr>
          <w:p>
            <w:pPr>
              <w:jc w:val="right"/>
              <w:spacing w:after="0" w:line="117" w:lineRule="exact"/>
              <w:rPr>
                <w:sz w:val="20"/>
                <w:szCs w:val="20"/>
                <w:color w:val="auto"/>
              </w:rPr>
            </w:pPr>
            <w:r>
              <w:rPr>
                <w:rFonts w:ascii="Arial" w:cs="Arial" w:eastAsia="Arial" w:hAnsi="Arial"/>
                <w:sz w:val="13"/>
                <w:szCs w:val="13"/>
                <w:color w:val="auto"/>
              </w:rPr>
              <w:t>281,678</w:t>
            </w:r>
          </w:p>
        </w:tc>
        <w:tc>
          <w:tcPr>
            <w:tcW w:w="260" w:type="dxa"/>
            <w:vAlign w:val="bottom"/>
          </w:tcPr>
          <w:p>
            <w:pPr>
              <w:jc w:val="right"/>
              <w:ind w:right="9"/>
              <w:spacing w:after="0" w:line="117" w:lineRule="exact"/>
              <w:rPr>
                <w:sz w:val="20"/>
                <w:szCs w:val="20"/>
                <w:color w:val="auto"/>
              </w:rPr>
            </w:pPr>
            <w:r>
              <w:rPr>
                <w:rFonts w:ascii="Arial" w:cs="Arial" w:eastAsia="Arial" w:hAnsi="Arial"/>
                <w:sz w:val="13"/>
                <w:szCs w:val="13"/>
                <w:color w:val="auto"/>
              </w:rPr>
              <w:t>(1)</w:t>
            </w:r>
          </w:p>
        </w:tc>
        <w:tc>
          <w:tcPr>
            <w:tcW w:w="1320" w:type="dxa"/>
            <w:vAlign w:val="bottom"/>
          </w:tcPr>
          <w:p>
            <w:pPr>
              <w:jc w:val="right"/>
              <w:spacing w:after="0" w:line="117" w:lineRule="exact"/>
              <w:rPr>
                <w:sz w:val="20"/>
                <w:szCs w:val="20"/>
                <w:color w:val="auto"/>
              </w:rPr>
            </w:pPr>
            <w:r>
              <w:rPr>
                <w:rFonts w:ascii="Arial" w:cs="Arial" w:eastAsia="Arial" w:hAnsi="Arial"/>
                <w:sz w:val="13"/>
                <w:szCs w:val="13"/>
                <w:color w:val="auto"/>
              </w:rPr>
              <w:t>281,678</w:t>
            </w:r>
          </w:p>
        </w:tc>
        <w:tc>
          <w:tcPr>
            <w:tcW w:w="220" w:type="dxa"/>
            <w:vAlign w:val="bottom"/>
          </w:tcPr>
          <w:p>
            <w:pPr>
              <w:jc w:val="right"/>
              <w:spacing w:after="0" w:line="117"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Cash incentive payments</w:t>
            </w:r>
          </w:p>
        </w:tc>
        <w:tc>
          <w:tcPr>
            <w:tcW w:w="180" w:type="dxa"/>
            <w:vAlign w:val="bottom"/>
          </w:tcPr>
          <w:p>
            <w:pPr>
              <w:spacing w:after="0"/>
              <w:rPr>
                <w:sz w:val="12"/>
                <w:szCs w:val="12"/>
                <w:color w:val="auto"/>
              </w:rPr>
            </w:pPr>
          </w:p>
        </w:tc>
        <w:tc>
          <w:tcPr>
            <w:tcW w:w="1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84,503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Health care continuation</w:t>
            </w:r>
          </w:p>
        </w:tc>
        <w:tc>
          <w:tcPr>
            <w:tcW w:w="180" w:type="dxa"/>
            <w:vAlign w:val="bottom"/>
          </w:tcPr>
          <w:p>
            <w:pPr>
              <w:spacing w:after="0"/>
              <w:rPr>
                <w:sz w:val="12"/>
                <w:szCs w:val="12"/>
                <w:color w:val="auto"/>
              </w:rPr>
            </w:pPr>
          </w:p>
        </w:tc>
        <w:tc>
          <w:tcPr>
            <w:tcW w:w="1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16,496</w:t>
            </w:r>
          </w:p>
        </w:tc>
        <w:tc>
          <w:tcPr>
            <w:tcW w:w="260" w:type="dxa"/>
            <w:vAlign w:val="bottom"/>
          </w:tcPr>
          <w:p>
            <w:pPr>
              <w:jc w:val="right"/>
              <w:ind w:right="9"/>
              <w:spacing w:after="0" w:line="149" w:lineRule="exact"/>
              <w:rPr>
                <w:sz w:val="20"/>
                <w:szCs w:val="20"/>
                <w:color w:val="auto"/>
              </w:rPr>
            </w:pPr>
            <w:r>
              <w:rPr>
                <w:rFonts w:ascii="Arial" w:cs="Arial" w:eastAsia="Arial" w:hAnsi="Arial"/>
                <w:sz w:val="14"/>
                <w:szCs w:val="14"/>
                <w:color w:val="auto"/>
                <w:w w:val="93"/>
              </w:rPr>
              <w:t>(4)</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16496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3"/>
              </w:rPr>
              <w:t>(4)</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Acceleration of equity award</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2120" w:type="dxa"/>
            <w:vAlign w:val="bottom"/>
            <w:gridSpan w:val="3"/>
          </w:tcPr>
          <w:p>
            <w:pPr>
              <w:ind w:left="180"/>
              <w:spacing w:after="0"/>
              <w:rPr>
                <w:sz w:val="20"/>
                <w:szCs w:val="20"/>
                <w:color w:val="auto"/>
              </w:rPr>
            </w:pPr>
            <w:r>
              <w:rPr>
                <w:rFonts w:ascii="Arial" w:cs="Arial" w:eastAsia="Arial" w:hAnsi="Arial"/>
                <w:sz w:val="14"/>
                <w:szCs w:val="14"/>
                <w:color w:val="auto"/>
              </w:rPr>
              <w:t>vesting</w:t>
            </w:r>
          </w:p>
        </w:tc>
        <w:tc>
          <w:tcPr>
            <w:tcW w:w="1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310,394</w:t>
            </w:r>
          </w:p>
        </w:tc>
        <w:tc>
          <w:tcPr>
            <w:tcW w:w="220" w:type="dxa"/>
            <w:vAlign w:val="bottom"/>
          </w:tcPr>
          <w:p>
            <w:pPr>
              <w:jc w:val="right"/>
              <w:spacing w:after="0"/>
              <w:rPr>
                <w:sz w:val="20"/>
                <w:szCs w:val="20"/>
                <w:color w:val="auto"/>
              </w:rPr>
            </w:pPr>
            <w:r>
              <w:rPr>
                <w:rFonts w:ascii="Arial" w:cs="Arial" w:eastAsia="Arial" w:hAnsi="Arial"/>
                <w:sz w:val="14"/>
                <w:szCs w:val="14"/>
                <w:color w:val="auto"/>
                <w:w w:val="93"/>
              </w:rPr>
              <w:t>(6)</w:t>
            </w:r>
          </w:p>
        </w:tc>
        <w:tc>
          <w:tcPr>
            <w:tcW w:w="0" w:type="dxa"/>
            <w:vAlign w:val="bottom"/>
          </w:tcPr>
          <w:p>
            <w:pPr>
              <w:spacing w:after="0"/>
              <w:rPr>
                <w:sz w:val="1"/>
                <w:szCs w:val="1"/>
                <w:color w:val="auto"/>
              </w:rPr>
            </w:pPr>
          </w:p>
        </w:tc>
      </w:tr>
      <w:tr>
        <w:trPr>
          <w:trHeight w:val="149"/>
        </w:trPr>
        <w:tc>
          <w:tcPr>
            <w:tcW w:w="204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gridSpan w:val="3"/>
          </w:tcPr>
          <w:p>
            <w:pPr>
              <w:ind w:left="180"/>
              <w:spacing w:after="0" w:line="142" w:lineRule="exact"/>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298,174</w:t>
            </w:r>
          </w:p>
        </w:tc>
        <w:tc>
          <w:tcPr>
            <w:tcW w:w="26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693,072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Anthony L. Boral, M.D., Ph.D.</w:t>
            </w:r>
          </w:p>
        </w:tc>
        <w:tc>
          <w:tcPr>
            <w:tcW w:w="2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Severance payments</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rPr>
              <w:t>447,440(1)</w:t>
            </w:r>
          </w:p>
        </w:tc>
        <w:tc>
          <w:tcPr>
            <w:tcW w:w="13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447,440</w:t>
            </w:r>
          </w:p>
        </w:tc>
        <w:tc>
          <w:tcPr>
            <w:tcW w:w="2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incentive payments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178,976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 care continuation</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16,322</w:t>
            </w:r>
          </w:p>
        </w:tc>
        <w:tc>
          <w:tcPr>
            <w:tcW w:w="26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93"/>
              </w:rPr>
              <w:t>(4)</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16,322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Acceleration of equity award</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vesting</w:t>
            </w: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1,085,773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w:t>
            </w:r>
          </w:p>
        </w:tc>
        <w:tc>
          <w:tcPr>
            <w:tcW w:w="0" w:type="dxa"/>
            <w:vAlign w:val="bottom"/>
          </w:tcPr>
          <w:p>
            <w:pPr>
              <w:spacing w:after="0"/>
              <w:rPr>
                <w:sz w:val="1"/>
                <w:szCs w:val="1"/>
                <w:color w:val="auto"/>
              </w:rPr>
            </w:pPr>
          </w:p>
        </w:tc>
      </w:tr>
      <w:tr>
        <w:trPr>
          <w:trHeight w:val="162"/>
        </w:trPr>
        <w:tc>
          <w:tcPr>
            <w:tcW w:w="20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94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463,762</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1,728,511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3"/>
                <w:szCs w:val="13"/>
                <w:color w:val="auto"/>
              </w:rPr>
              <w:t>Tracey L. McCain, Esq.</w:t>
            </w:r>
          </w:p>
        </w:tc>
        <w:tc>
          <w:tcPr>
            <w:tcW w:w="180" w:type="dxa"/>
            <w:vAlign w:val="bottom"/>
          </w:tcPr>
          <w:p>
            <w:pPr>
              <w:spacing w:after="0"/>
              <w:rPr>
                <w:sz w:val="10"/>
                <w:szCs w:val="10"/>
                <w:color w:val="auto"/>
              </w:rPr>
            </w:pPr>
          </w:p>
        </w:tc>
        <w:tc>
          <w:tcPr>
            <w:tcW w:w="1940" w:type="dxa"/>
            <w:vAlign w:val="bottom"/>
            <w:gridSpan w:val="2"/>
          </w:tcPr>
          <w:p>
            <w:pPr>
              <w:spacing w:after="0" w:line="117" w:lineRule="exact"/>
              <w:rPr>
                <w:sz w:val="20"/>
                <w:szCs w:val="20"/>
                <w:color w:val="auto"/>
              </w:rPr>
            </w:pPr>
            <w:r>
              <w:rPr>
                <w:rFonts w:ascii="Arial" w:cs="Arial" w:eastAsia="Arial" w:hAnsi="Arial"/>
                <w:sz w:val="13"/>
                <w:szCs w:val="13"/>
                <w:color w:val="auto"/>
              </w:rPr>
              <w:t>Severance payments</w:t>
            </w:r>
          </w:p>
        </w:tc>
        <w:tc>
          <w:tcPr>
            <w:tcW w:w="180" w:type="dxa"/>
            <w:vAlign w:val="bottom"/>
          </w:tcPr>
          <w:p>
            <w:pPr>
              <w:spacing w:after="0"/>
              <w:rPr>
                <w:sz w:val="10"/>
                <w:szCs w:val="10"/>
                <w:color w:val="auto"/>
              </w:rPr>
            </w:pPr>
          </w:p>
        </w:tc>
        <w:tc>
          <w:tcPr>
            <w:tcW w:w="1260" w:type="dxa"/>
            <w:vAlign w:val="bottom"/>
          </w:tcPr>
          <w:p>
            <w:pPr>
              <w:jc w:val="right"/>
              <w:spacing w:after="0" w:line="11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520" w:type="dxa"/>
            <w:vAlign w:val="bottom"/>
          </w:tcPr>
          <w:p>
            <w:pPr>
              <w:jc w:val="right"/>
              <w:spacing w:after="0" w:line="117" w:lineRule="exact"/>
              <w:rPr>
                <w:sz w:val="20"/>
                <w:szCs w:val="20"/>
                <w:color w:val="auto"/>
              </w:rPr>
            </w:pPr>
            <w:r>
              <w:rPr>
                <w:rFonts w:ascii="Arial" w:cs="Arial" w:eastAsia="Arial" w:hAnsi="Arial"/>
                <w:sz w:val="13"/>
                <w:szCs w:val="13"/>
                <w:color w:val="auto"/>
              </w:rPr>
              <w:t>425,216</w:t>
            </w:r>
          </w:p>
        </w:tc>
        <w:tc>
          <w:tcPr>
            <w:tcW w:w="260" w:type="dxa"/>
            <w:vAlign w:val="bottom"/>
          </w:tcPr>
          <w:p>
            <w:pPr>
              <w:jc w:val="right"/>
              <w:ind w:right="9"/>
              <w:spacing w:after="0" w:line="117" w:lineRule="exact"/>
              <w:rPr>
                <w:sz w:val="20"/>
                <w:szCs w:val="20"/>
                <w:color w:val="auto"/>
              </w:rPr>
            </w:pPr>
            <w:r>
              <w:rPr>
                <w:rFonts w:ascii="Arial" w:cs="Arial" w:eastAsia="Arial" w:hAnsi="Arial"/>
                <w:sz w:val="13"/>
                <w:szCs w:val="13"/>
                <w:color w:val="auto"/>
              </w:rPr>
              <w:t>(1)</w:t>
            </w:r>
          </w:p>
        </w:tc>
        <w:tc>
          <w:tcPr>
            <w:tcW w:w="1320" w:type="dxa"/>
            <w:vAlign w:val="bottom"/>
          </w:tcPr>
          <w:p>
            <w:pPr>
              <w:jc w:val="right"/>
              <w:spacing w:after="0" w:line="117" w:lineRule="exact"/>
              <w:rPr>
                <w:sz w:val="20"/>
                <w:szCs w:val="20"/>
                <w:color w:val="auto"/>
              </w:rPr>
            </w:pPr>
            <w:r>
              <w:rPr>
                <w:rFonts w:ascii="Arial" w:cs="Arial" w:eastAsia="Arial" w:hAnsi="Arial"/>
                <w:sz w:val="13"/>
                <w:szCs w:val="13"/>
                <w:color w:val="auto"/>
              </w:rPr>
              <w:t>425,216</w:t>
            </w:r>
          </w:p>
        </w:tc>
        <w:tc>
          <w:tcPr>
            <w:tcW w:w="220" w:type="dxa"/>
            <w:vAlign w:val="bottom"/>
          </w:tcPr>
          <w:p>
            <w:pPr>
              <w:jc w:val="right"/>
              <w:spacing w:after="0" w:line="117"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Cash incentive payments</w:t>
            </w:r>
          </w:p>
        </w:tc>
        <w:tc>
          <w:tcPr>
            <w:tcW w:w="180" w:type="dxa"/>
            <w:vAlign w:val="bottom"/>
          </w:tcPr>
          <w:p>
            <w:pPr>
              <w:spacing w:after="0"/>
              <w:rPr>
                <w:sz w:val="12"/>
                <w:szCs w:val="12"/>
                <w:color w:val="auto"/>
              </w:rPr>
            </w:pPr>
          </w:p>
        </w:tc>
        <w:tc>
          <w:tcPr>
            <w:tcW w:w="1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170,086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Health care continuation</w:t>
            </w:r>
          </w:p>
        </w:tc>
        <w:tc>
          <w:tcPr>
            <w:tcW w:w="180" w:type="dxa"/>
            <w:vAlign w:val="bottom"/>
          </w:tcPr>
          <w:p>
            <w:pPr>
              <w:spacing w:after="0"/>
              <w:rPr>
                <w:sz w:val="12"/>
                <w:szCs w:val="12"/>
                <w:color w:val="auto"/>
              </w:rPr>
            </w:pPr>
          </w:p>
        </w:tc>
        <w:tc>
          <w:tcPr>
            <w:tcW w:w="1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16,633</w:t>
            </w:r>
          </w:p>
        </w:tc>
        <w:tc>
          <w:tcPr>
            <w:tcW w:w="260" w:type="dxa"/>
            <w:vAlign w:val="bottom"/>
          </w:tcPr>
          <w:p>
            <w:pPr>
              <w:jc w:val="right"/>
              <w:ind w:right="9"/>
              <w:spacing w:after="0" w:line="149" w:lineRule="exact"/>
              <w:rPr>
                <w:sz w:val="20"/>
                <w:szCs w:val="20"/>
                <w:color w:val="auto"/>
              </w:rPr>
            </w:pPr>
            <w:r>
              <w:rPr>
                <w:rFonts w:ascii="Arial" w:cs="Arial" w:eastAsia="Arial" w:hAnsi="Arial"/>
                <w:sz w:val="14"/>
                <w:szCs w:val="14"/>
                <w:color w:val="auto"/>
                <w:w w:val="93"/>
              </w:rPr>
              <w:t>(4)</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16,633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3"/>
              </w:rPr>
              <w:t>(4)</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Acceleration of equity award</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2120" w:type="dxa"/>
            <w:vAlign w:val="bottom"/>
            <w:gridSpan w:val="3"/>
          </w:tcPr>
          <w:p>
            <w:pPr>
              <w:ind w:left="180"/>
              <w:spacing w:after="0"/>
              <w:rPr>
                <w:sz w:val="20"/>
                <w:szCs w:val="20"/>
                <w:color w:val="auto"/>
              </w:rPr>
            </w:pPr>
            <w:r>
              <w:rPr>
                <w:rFonts w:ascii="Arial" w:cs="Arial" w:eastAsia="Arial" w:hAnsi="Arial"/>
                <w:sz w:val="14"/>
                <w:szCs w:val="14"/>
                <w:color w:val="auto"/>
              </w:rPr>
              <w:t>vesting</w:t>
            </w:r>
          </w:p>
        </w:tc>
        <w:tc>
          <w:tcPr>
            <w:tcW w:w="1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1,166,195</w:t>
            </w:r>
          </w:p>
        </w:tc>
        <w:tc>
          <w:tcPr>
            <w:tcW w:w="220" w:type="dxa"/>
            <w:vAlign w:val="bottom"/>
          </w:tcPr>
          <w:p>
            <w:pPr>
              <w:jc w:val="right"/>
              <w:spacing w:after="0"/>
              <w:rPr>
                <w:sz w:val="20"/>
                <w:szCs w:val="20"/>
                <w:color w:val="auto"/>
              </w:rPr>
            </w:pPr>
            <w:r>
              <w:rPr>
                <w:rFonts w:ascii="Arial" w:cs="Arial" w:eastAsia="Arial" w:hAnsi="Arial"/>
                <w:sz w:val="14"/>
                <w:szCs w:val="14"/>
                <w:color w:val="auto"/>
                <w:w w:val="93"/>
              </w:rPr>
              <w:t>(6)</w:t>
            </w:r>
          </w:p>
        </w:tc>
        <w:tc>
          <w:tcPr>
            <w:tcW w:w="0" w:type="dxa"/>
            <w:vAlign w:val="bottom"/>
          </w:tcPr>
          <w:p>
            <w:pPr>
              <w:spacing w:after="0"/>
              <w:rPr>
                <w:sz w:val="1"/>
                <w:szCs w:val="1"/>
                <w:color w:val="auto"/>
              </w:rPr>
            </w:pPr>
          </w:p>
        </w:tc>
      </w:tr>
      <w:tr>
        <w:trPr>
          <w:trHeight w:val="149"/>
        </w:trPr>
        <w:tc>
          <w:tcPr>
            <w:tcW w:w="204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gridSpan w:val="3"/>
          </w:tcPr>
          <w:p>
            <w:pPr>
              <w:ind w:left="180"/>
              <w:spacing w:after="0" w:line="142" w:lineRule="exact"/>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441,849</w:t>
            </w:r>
          </w:p>
        </w:tc>
        <w:tc>
          <w:tcPr>
            <w:tcW w:w="26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1,778,130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Christina Rossi</w:t>
            </w:r>
          </w:p>
        </w:tc>
        <w:tc>
          <w:tcPr>
            <w:tcW w:w="2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Severance payments</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390,000</w:t>
            </w:r>
          </w:p>
        </w:tc>
        <w:tc>
          <w:tcPr>
            <w:tcW w:w="260" w:type="dxa"/>
            <w:vAlign w:val="bottom"/>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w w:val="93"/>
              </w:rPr>
              <w:t>(1)</w:t>
            </w:r>
          </w:p>
        </w:tc>
        <w:tc>
          <w:tcPr>
            <w:tcW w:w="13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390,000</w:t>
            </w:r>
          </w:p>
        </w:tc>
        <w:tc>
          <w:tcPr>
            <w:tcW w:w="2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incentive payments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27,353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 care continuation</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93"/>
              </w:rPr>
              <w:t>(8)</w:t>
            </w:r>
          </w:p>
        </w:tc>
        <w:tc>
          <w:tcPr>
            <w:tcW w:w="1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Acceleration of equity award</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vesting</w:t>
            </w: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242,595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w:t>
            </w:r>
          </w:p>
        </w:tc>
        <w:tc>
          <w:tcPr>
            <w:tcW w:w="0" w:type="dxa"/>
            <w:vAlign w:val="bottom"/>
          </w:tcPr>
          <w:p>
            <w:pPr>
              <w:spacing w:after="0"/>
              <w:rPr>
                <w:sz w:val="1"/>
                <w:szCs w:val="1"/>
                <w:color w:val="auto"/>
              </w:rPr>
            </w:pPr>
          </w:p>
        </w:tc>
      </w:tr>
      <w:tr>
        <w:trPr>
          <w:trHeight w:val="149"/>
        </w:trPr>
        <w:tc>
          <w:tcPr>
            <w:tcW w:w="20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94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390,000</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659,948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Represents a lump sum in cash in an amount equal to 12 months of the named executive officer’s base salary in effect as of December 31, 2018.</w:t>
      </w:r>
    </w:p>
    <w:p>
      <w:pPr>
        <w:spacing w:after="0" w:line="107" w:lineRule="exact"/>
        <w:rPr>
          <w:rFonts w:ascii="Arial" w:cs="Arial" w:eastAsia="Arial" w:hAnsi="Arial"/>
          <w:sz w:val="13"/>
          <w:szCs w:val="13"/>
          <w:color w:val="auto"/>
        </w:rPr>
      </w:pPr>
    </w:p>
    <w:p>
      <w:pPr>
        <w:ind w:left="320" w:hanging="317"/>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a lump sum in cash in an amount equal to 18 months of Mr. Albers’ base salary in effect as of December 31, 2018.</w:t>
      </w:r>
    </w:p>
    <w:p>
      <w:pPr>
        <w:spacing w:after="0" w:line="95" w:lineRule="exact"/>
        <w:rPr>
          <w:rFonts w:ascii="Arial" w:cs="Arial" w:eastAsia="Arial" w:hAnsi="Arial"/>
          <w:sz w:val="14"/>
          <w:szCs w:val="14"/>
          <w:color w:val="auto"/>
        </w:rPr>
      </w:pPr>
    </w:p>
    <w:p>
      <w:pPr>
        <w:ind w:left="320" w:right="36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a lump sum in cash in an amount equal to one-and-one half times Mr. Albers’ target annual incentive compensation for the year ended December 31, 2018.</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a monthly cash payment for 12 months for continued medical and dental benefits for the named executive officer.</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a monthly cash payment for 18 months for continued medical and dental benefits for Mr. Albers.</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the acceleration of vesting as to 100% of the unvested equity awards held by the named executive officer.</w:t>
      </w:r>
    </w:p>
    <w:p>
      <w:pPr>
        <w:spacing w:after="0" w:line="95" w:lineRule="exact"/>
        <w:rPr>
          <w:rFonts w:ascii="Arial" w:cs="Arial" w:eastAsia="Arial" w:hAnsi="Arial"/>
          <w:sz w:val="14"/>
          <w:szCs w:val="14"/>
          <w:color w:val="auto"/>
        </w:rPr>
      </w:pPr>
    </w:p>
    <w:p>
      <w:pPr>
        <w:ind w:left="320" w:right="8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a lump sum in cash in an amount equal to one times the named executive officer’s target annual incentive compensation for the year ended December 31, 2018.</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37" w:name="page38"/>
    <w:bookmarkEnd w:id="37"/>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0" w:lineRule="exact"/>
        <w:rPr>
          <w:sz w:val="20"/>
          <w:szCs w:val="20"/>
          <w:color w:val="auto"/>
        </w:rPr>
      </w:pPr>
    </w:p>
    <w:p>
      <w:pPr>
        <w:ind w:left="320" w:right="40" w:hanging="317"/>
        <w:spacing w:after="0" w:line="253"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Ms. Rossi was not enrolled in our health insurance program during the year ended December 31, 2018 and would not have been eligible for health care continuation benefits as of December 31, 2018.</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Agreements</w:t>
      </w:r>
    </w:p>
    <w:p>
      <w:pPr>
        <w:spacing w:after="0" w:line="131" w:lineRule="exact"/>
        <w:rPr>
          <w:sz w:val="20"/>
          <w:szCs w:val="20"/>
          <w:color w:val="auto"/>
        </w:rPr>
      </w:pPr>
    </w:p>
    <w:p>
      <w:pPr>
        <w:ind w:right="60" w:firstLine="648"/>
        <w:spacing w:after="0" w:line="283" w:lineRule="auto"/>
        <w:rPr>
          <w:sz w:val="20"/>
          <w:szCs w:val="20"/>
          <w:color w:val="auto"/>
        </w:rPr>
      </w:pPr>
      <w:r>
        <w:rPr>
          <w:rFonts w:ascii="Arial" w:cs="Arial" w:eastAsia="Arial" w:hAnsi="Arial"/>
          <w:sz w:val="15"/>
          <w:szCs w:val="15"/>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w:t>
      </w:r>
    </w:p>
    <w:p>
      <w:pPr>
        <w:spacing w:after="0" w:line="1" w:lineRule="exact"/>
        <w:rPr>
          <w:sz w:val="20"/>
          <w:szCs w:val="20"/>
          <w:color w:val="auto"/>
        </w:rPr>
      </w:pPr>
    </w:p>
    <w:p>
      <w:pPr>
        <w:ind w:right="540"/>
        <w:spacing w:after="0" w:line="288" w:lineRule="auto"/>
        <w:rPr>
          <w:sz w:val="20"/>
          <w:szCs w:val="20"/>
          <w:color w:val="auto"/>
        </w:rPr>
      </w:pPr>
      <w:r>
        <w:rPr>
          <w:rFonts w:ascii="Arial" w:cs="Arial" w:eastAsia="Arial" w:hAnsi="Arial"/>
          <w:sz w:val="16"/>
          <w:szCs w:val="16"/>
          <w:color w:val="auto"/>
        </w:rPr>
        <w:t>12 months thereafter, subject to specified terms and conditions and provisions required by law, the named executive officer will not compete with us and will not solicit our employees, consultants, customers or suppliers.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of Liability and Indemnification</w:t>
      </w:r>
    </w:p>
    <w:p>
      <w:pPr>
        <w:spacing w:after="0" w:line="131" w:lineRule="exact"/>
        <w:rPr>
          <w:sz w:val="20"/>
          <w:szCs w:val="20"/>
          <w:color w:val="auto"/>
        </w:rPr>
      </w:pPr>
    </w:p>
    <w:p>
      <w:pPr>
        <w:ind w:firstLine="648"/>
        <w:spacing w:after="0" w:line="287" w:lineRule="auto"/>
        <w:rPr>
          <w:sz w:val="20"/>
          <w:szCs w:val="20"/>
          <w:color w:val="auto"/>
        </w:rPr>
      </w:pPr>
      <w:r>
        <w:rPr>
          <w:rFonts w:ascii="Arial" w:cs="Arial" w:eastAsia="Arial" w:hAnsi="Arial"/>
          <w:sz w:val="15"/>
          <w:szCs w:val="15"/>
          <w:color w:val="auto"/>
        </w:rPr>
        <w:t>As permitted by Delaware law, our amended and restated certificate of incorporation, or certificate of incorporation,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Delaware law is amended to authorize the further elimination or limitation of the liability of directors, then the liability of a director of our company will be eliminated or limited to the fullest extent permitted by Delaware law, as so amended. Our certificate of incorporation also provides that any repeal or modification of such article by our stockholders or amendment to Delaware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71" w:lineRule="exact"/>
        <w:rPr>
          <w:sz w:val="20"/>
          <w:szCs w:val="20"/>
          <w:color w:val="auto"/>
        </w:rPr>
      </w:pPr>
    </w:p>
    <w:p>
      <w:pPr>
        <w:ind w:right="20" w:firstLine="648"/>
        <w:spacing w:after="0" w:line="284" w:lineRule="auto"/>
        <w:rPr>
          <w:sz w:val="20"/>
          <w:szCs w:val="20"/>
          <w:color w:val="auto"/>
        </w:rPr>
      </w:pPr>
      <w:r>
        <w:rPr>
          <w:rFonts w:ascii="Arial" w:cs="Arial" w:eastAsia="Arial" w:hAnsi="Arial"/>
          <w:sz w:val="15"/>
          <w:szCs w:val="15"/>
          <w:color w:val="auto"/>
        </w:rPr>
        <w:t>In addition, as permitted by Delaware law, our amended and restated bylaws, or bylaws, provide that we will indemnify each of our directors and officers and, in the discretion of our board of directors, certain employees, to the fullest extent permitted by Delaware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The bylaws also provide for the advancement of expenses to each of our directors and, in the discretion of the board of directors, to certain officers and employees. In addition, the bylaws provide that the right of each of our directors and officers to indemnification and advancement of expenses is a contract right and will not be exclusive of any other right now possessed or hereafter acquired under any statute, provision of the certificate of incorporation or bylaws, agreement, vote of stockholders or otherwise. Furthermore, our bylaws authorize us to provide insurance for our directors, officers and employees, against any liability, whether or not we would have the power to indemnify such person against such liability under Delaware law or the provisions of our bylaws.</w:t>
      </w:r>
    </w:p>
    <w:p>
      <w:pPr>
        <w:spacing w:after="0" w:line="82" w:lineRule="exact"/>
        <w:rPr>
          <w:sz w:val="20"/>
          <w:szCs w:val="20"/>
          <w:color w:val="auto"/>
        </w:rPr>
      </w:pPr>
    </w:p>
    <w:p>
      <w:pPr>
        <w:ind w:right="520" w:firstLine="648"/>
        <w:spacing w:after="0" w:line="278" w:lineRule="auto"/>
        <w:rPr>
          <w:sz w:val="20"/>
          <w:szCs w:val="20"/>
          <w:color w:val="auto"/>
        </w:rPr>
      </w:pPr>
      <w:r>
        <w:rPr>
          <w:rFonts w:ascii="Arial" w:cs="Arial" w:eastAsia="Arial" w:hAnsi="Arial"/>
          <w:sz w:val="16"/>
          <w:szCs w:val="16"/>
          <w:color w:val="auto"/>
        </w:rPr>
        <w:t>We have entered into indemnification agreements with each of our directors and our executive officers. These agreements provide that we will indemnify each of our directors and such officers to the fullest extent permitted by law and the certificate of incorporation and bylaws.</w:t>
      </w:r>
    </w:p>
    <w:p>
      <w:pPr>
        <w:spacing w:after="0" w:line="76"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64" w:lineRule="exact"/>
        <w:rPr>
          <w:sz w:val="20"/>
          <w:szCs w:val="20"/>
          <w:color w:val="auto"/>
        </w:rPr>
      </w:pPr>
    </w:p>
    <w:p>
      <w:pPr>
        <w:ind w:right="420" w:firstLine="648"/>
        <w:spacing w:after="0" w:line="293"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and/or indemnified against certain liabilities incurred in their capacity as members of our board of directors.</w:t>
      </w:r>
    </w:p>
    <w:p>
      <w:pPr>
        <w:spacing w:after="0" w:line="64" w:lineRule="exact"/>
        <w:rPr>
          <w:sz w:val="20"/>
          <w:szCs w:val="20"/>
          <w:color w:val="auto"/>
        </w:rPr>
      </w:pPr>
    </w:p>
    <w:p>
      <w:pPr>
        <w:ind w:right="180" w:firstLine="648"/>
        <w:spacing w:after="0" w:line="297" w:lineRule="auto"/>
        <w:rPr>
          <w:sz w:val="20"/>
          <w:szCs w:val="20"/>
          <w:color w:val="auto"/>
        </w:rPr>
      </w:pPr>
      <w:r>
        <w:rPr>
          <w:rFonts w:ascii="Arial" w:cs="Arial" w:eastAsia="Arial" w:hAnsi="Arial"/>
          <w:sz w:val="15"/>
          <w:szCs w:val="15"/>
          <w:color w:val="auto"/>
        </w:rPr>
        <w:t>We believe that these provisions and agreements are necessary to attract and retain qualified persons as directors and executive officers. Insofar as indemnification for liabilities arising under the Securities Act of 1933, as amended, or the Securities Act, may be permitted to directors, officers or persons controlling our company pursuant, we understand that in the opinion of the SEC such indemnification is against public policy as expressed in the Securities Act and is therefore unenforceable.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31" w:lineRule="exact"/>
        <w:rPr>
          <w:sz w:val="20"/>
          <w:szCs w:val="20"/>
          <w:color w:val="auto"/>
        </w:rPr>
      </w:pPr>
    </w:p>
    <w:p>
      <w:pPr>
        <w:jc w:val="both"/>
        <w:ind w:right="320" w:firstLine="648"/>
        <w:spacing w:after="0" w:line="335" w:lineRule="auto"/>
        <w:rPr>
          <w:sz w:val="20"/>
          <w:szCs w:val="20"/>
          <w:color w:val="auto"/>
        </w:rPr>
      </w:pPr>
      <w:r>
        <w:rPr>
          <w:rFonts w:ascii="Arial" w:cs="Arial" w:eastAsia="Arial" w:hAnsi="Arial"/>
          <w:sz w:val="14"/>
          <w:szCs w:val="14"/>
          <w:color w:val="auto"/>
        </w:rPr>
        <w:t>None of our executive officers currently serves, or in the past fiscal year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38" w:name="page39"/>
    <w:bookmarkEnd w:id="38"/>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right="79"/>
        <w:spacing w:after="0" w:line="293" w:lineRule="auto"/>
        <w:rPr>
          <w:sz w:val="20"/>
          <w:szCs w:val="20"/>
          <w:color w:val="auto"/>
        </w:rPr>
      </w:pPr>
      <w:r>
        <w:rPr>
          <w:rFonts w:ascii="Arial" w:cs="Arial" w:eastAsia="Arial" w:hAnsi="Arial"/>
          <w:sz w:val="16"/>
          <w:szCs w:val="16"/>
          <w:color w:val="auto"/>
        </w:rPr>
        <w:t>an officer or employee of our company, and none of the members of our compensation committee has ever been an officer or employee of our company.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131" w:lineRule="exact"/>
        <w:rPr>
          <w:sz w:val="20"/>
          <w:szCs w:val="20"/>
          <w:color w:val="auto"/>
        </w:rPr>
      </w:pPr>
    </w:p>
    <w:p>
      <w:pPr>
        <w:ind w:right="19" w:firstLine="648"/>
        <w:spacing w:after="0" w:line="278" w:lineRule="auto"/>
        <w:rPr>
          <w:sz w:val="20"/>
          <w:szCs w:val="20"/>
          <w:color w:val="auto"/>
        </w:rPr>
      </w:pPr>
      <w:r>
        <w:rPr>
          <w:rFonts w:ascii="Arial" w:cs="Arial" w:eastAsia="Arial" w:hAnsi="Arial"/>
          <w:sz w:val="16"/>
          <w:szCs w:val="16"/>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76" w:lineRule="exact"/>
        <w:rPr>
          <w:sz w:val="20"/>
          <w:szCs w:val="20"/>
          <w:color w:val="auto"/>
        </w:rPr>
      </w:pPr>
    </w:p>
    <w:p>
      <w:pPr>
        <w:ind w:right="19" w:firstLine="648"/>
        <w:spacing w:after="0" w:line="271" w:lineRule="auto"/>
        <w:rPr>
          <w:sz w:val="20"/>
          <w:szCs w:val="20"/>
          <w:color w:val="auto"/>
        </w:rPr>
      </w:pPr>
      <w:r>
        <w:rPr>
          <w:rFonts w:ascii="Arial" w:cs="Arial" w:eastAsia="Arial" w:hAnsi="Arial"/>
          <w:sz w:val="16"/>
          <w:szCs w:val="16"/>
          <w:color w:val="auto"/>
        </w:rPr>
        <w:t>This report of the compensation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the compensation committee of the board of directors of Blueprint Medicines Corporation.</w:t>
      </w:r>
    </w:p>
    <w:p>
      <w:pPr>
        <w:spacing w:after="0" w:line="140"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Charles A. Rowland, Jr. (chair)</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Mark Goldberg, M.D.</w:t>
      </w:r>
    </w:p>
    <w:p>
      <w:pPr>
        <w:spacing w:after="0" w:line="19"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Lynn Seely, M.D.</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0" w:right="1440" w:bottom="1440" w:gutter="0" w:footer="0" w:header="0"/>
        </w:sectPr>
      </w:pPr>
    </w:p>
    <w:bookmarkStart w:id="39" w:name="page40"/>
    <w:bookmarkEnd w:id="39"/>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CEO PAY RATIO DISCLOSURE</w:t>
      </w:r>
    </w:p>
    <w:p>
      <w:pPr>
        <w:spacing w:after="0" w:line="131" w:lineRule="exact"/>
        <w:rPr>
          <w:sz w:val="20"/>
          <w:szCs w:val="20"/>
          <w:color w:val="auto"/>
        </w:rPr>
      </w:pPr>
    </w:p>
    <w:p>
      <w:pPr>
        <w:ind w:right="40" w:firstLine="648"/>
        <w:spacing w:after="0" w:line="315" w:lineRule="auto"/>
        <w:rPr>
          <w:sz w:val="20"/>
          <w:szCs w:val="20"/>
          <w:color w:val="auto"/>
        </w:rPr>
      </w:pPr>
      <w:r>
        <w:rPr>
          <w:rFonts w:ascii="Arial" w:cs="Arial" w:eastAsia="Arial" w:hAnsi="Arial"/>
          <w:sz w:val="14"/>
          <w:szCs w:val="14"/>
          <w:color w:val="auto"/>
        </w:rPr>
        <w:t>As required by Section 953(b) of the Dodd-Frank Wall Street Reform and Consumer Protection Act, or the Dodd-Frank Act, and Item 402(u) of Regulation S-K, we are providing the following information about the relationship of the total annual compensation of our employees and the total annual compensation of Jeffrey W. Albers, our chief executive officer. The pay ratio included in this information is a reasonable estimate calculated in a manner consistent with Item 402(u) of Regulation S-K. The pay ratio reported by other companies may not be comparable to the pay ratio reported below, as other companies have different employee populations and compensation practices and may use different methodologies, exclusions, estimates and assumptions in calculating their own pay ratios.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 Ratio Disclosure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2018, our last completed fiscal year:</w:t>
      </w:r>
    </w:p>
    <w:p>
      <w:pPr>
        <w:spacing w:after="0" w:line="127" w:lineRule="exact"/>
        <w:rPr>
          <w:sz w:val="20"/>
          <w:szCs w:val="20"/>
          <w:color w:val="auto"/>
        </w:rPr>
      </w:pPr>
    </w:p>
    <w:p>
      <w:pPr>
        <w:ind w:left="1300" w:right="220" w:hanging="325"/>
        <w:spacing w:after="0" w:line="293" w:lineRule="auto"/>
        <w:tabs>
          <w:tab w:leader="none" w:pos="1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total annual compensation of our median employee was $398,087, as determined in accordance with Item 402 of Regulation S-K; and</w:t>
      </w:r>
    </w:p>
    <w:p>
      <w:pPr>
        <w:spacing w:after="0" w:line="63" w:lineRule="exact"/>
        <w:rPr>
          <w:rFonts w:ascii="Arial" w:cs="Arial" w:eastAsia="Arial" w:hAnsi="Arial"/>
          <w:sz w:val="16"/>
          <w:szCs w:val="16"/>
          <w:color w:val="auto"/>
        </w:rPr>
      </w:pPr>
    </w:p>
    <w:p>
      <w:pPr>
        <w:jc w:val="both"/>
        <w:ind w:left="1300" w:right="100" w:hanging="325"/>
        <w:spacing w:after="0" w:line="369" w:lineRule="auto"/>
        <w:tabs>
          <w:tab w:leader="none" w:pos="13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total annual compensation of our chief executive officer, as determined in accordance with Item 402 of Regulation S-K and reported in the “Summary Compensation Table” included elsewhere in this proxy statement was $9,740,799.</w:t>
      </w:r>
    </w:p>
    <w:p>
      <w:pPr>
        <w:spacing w:after="0" w:line="18"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Based on this information, for 2018, the ratio of the total annual compensation of Mr. Albers, our chief executive officer, to the total annual compensation of our median employee was approximately 24 to 1.</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Methodology</w:t>
      </w:r>
    </w:p>
    <w:p>
      <w:pPr>
        <w:spacing w:after="0" w:line="131"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To identify the median employee, as well as to determine the total annual compensation of our median employee and our chief executive officer, we took the following steps:</w:t>
      </w:r>
    </w:p>
    <w:p>
      <w:pPr>
        <w:spacing w:after="0" w:line="64" w:lineRule="exact"/>
        <w:rPr>
          <w:sz w:val="20"/>
          <w:szCs w:val="20"/>
          <w:color w:val="auto"/>
        </w:rPr>
      </w:pPr>
    </w:p>
    <w:p>
      <w:pPr>
        <w:ind w:left="1300" w:right="80" w:hanging="325"/>
        <w:spacing w:after="0" w:line="369" w:lineRule="auto"/>
        <w:tabs>
          <w:tab w:leader="none" w:pos="13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We determined that, as of December 31, 2018, our employee population consisted of 202 individuals. This population consisted of all full-time, part-time and temporary employees as of such date, excluding our chief executive officer.</w:t>
      </w:r>
    </w:p>
    <w:p>
      <w:pPr>
        <w:spacing w:after="0" w:line="18" w:lineRule="exact"/>
        <w:rPr>
          <w:rFonts w:ascii="Arial" w:cs="Arial" w:eastAsia="Arial" w:hAnsi="Arial"/>
          <w:sz w:val="14"/>
          <w:szCs w:val="14"/>
          <w:color w:val="auto"/>
        </w:rPr>
      </w:pPr>
    </w:p>
    <w:p>
      <w:pPr>
        <w:ind w:left="1300" w:right="160" w:hanging="325"/>
        <w:spacing w:after="0" w:line="271"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identify the “median employee” from our employee population, for each employee we compared the amount of salary paid as of December 31, 2018, the bonus earned for 2018 and the grant date fair value of stock options and RSUs awarded in 2018 as reflected in our human resources and payroll systems. In identifying the median employee, we did not exclude employees in non-U.S. countries, did not make any cost-of-living adjustments and did not annualize compensation.</w:t>
      </w:r>
    </w:p>
    <w:p>
      <w:pPr>
        <w:spacing w:after="0" w:line="82" w:lineRule="exact"/>
        <w:rPr>
          <w:rFonts w:ascii="Arial" w:cs="Arial" w:eastAsia="Arial" w:hAnsi="Arial"/>
          <w:sz w:val="16"/>
          <w:szCs w:val="16"/>
          <w:color w:val="auto"/>
        </w:rPr>
      </w:pPr>
    </w:p>
    <w:p>
      <w:pPr>
        <w:ind w:left="1300" w:right="40" w:hanging="325"/>
        <w:spacing w:after="0" w:line="267"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Once we identified our median employee, we combined all of the elements of such employee’s compensation for 2018 in accordance with the requirements of Item 402 of Regulation S-K. Since we do not maintain a defined benefit or other actuarial plan for our employees, and we do not otherwise provide a plan for payments or other benefits at, following or in connection with retirement, our median employee’s total annual compensation did not include amounts attributable to these types of arrangements. As noted elsewhere in this proxy statement, we maintain a 401(k) plan that is intended to qualify under Section 401(k) of the Internal Revenue Code, and in general, all of our employees, including our chief executive officer, are eligible to participate in the 401(k) plan. We currently match 50% of an employee’s 401(k) contributions up to a maximum of 3% of the participant’s compensation, and any matching contributions are 100% vested immediately. Matching 401(k) contributions were included the median employee’s total annual compensation.</w:t>
      </w:r>
    </w:p>
    <w:p>
      <w:pPr>
        <w:spacing w:after="0" w:line="86" w:lineRule="exact"/>
        <w:rPr>
          <w:rFonts w:ascii="Arial" w:cs="Arial" w:eastAsia="Arial" w:hAnsi="Arial"/>
          <w:sz w:val="16"/>
          <w:szCs w:val="16"/>
          <w:color w:val="auto"/>
        </w:rPr>
      </w:pPr>
    </w:p>
    <w:p>
      <w:pPr>
        <w:ind w:left="1300" w:hanging="325"/>
        <w:spacing w:after="0" w:line="293"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With respect to the total annual compensation of our chief executive officer, we used the amount reported in the “Total” column of the “Summary Compensation Table” included elsewhere in this proxy statement.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40" w:name="page41"/>
    <w:bookmarkEnd w:id="40"/>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DIRECTOR COMPENSATION</w:t>
      </w:r>
    </w:p>
    <w:p>
      <w:pPr>
        <w:spacing w:after="0" w:line="131" w:lineRule="exact"/>
        <w:rPr>
          <w:sz w:val="20"/>
          <w:szCs w:val="20"/>
          <w:color w:val="auto"/>
        </w:rPr>
      </w:pPr>
    </w:p>
    <w:p>
      <w:pPr>
        <w:ind w:right="80" w:firstLine="648"/>
        <w:spacing w:after="0" w:line="324" w:lineRule="auto"/>
        <w:rPr>
          <w:sz w:val="20"/>
          <w:szCs w:val="20"/>
          <w:color w:val="auto"/>
        </w:rPr>
      </w:pPr>
      <w:r>
        <w:rPr>
          <w:rFonts w:ascii="Arial" w:cs="Arial" w:eastAsia="Arial" w:hAnsi="Arial"/>
          <w:sz w:val="14"/>
          <w:szCs w:val="14"/>
          <w:color w:val="auto"/>
        </w:rPr>
        <w:t>Our board of directors has adopted a non-employee director compensation policy, which is designed to provide a total compensation package that enables us to attract and retain, on a long-term basis, high caliber non-employee directors. Effective June 21, 2018, upon the recommendation of our compensation committee, our board of directors amended the non-employee director compensation policy. Under the amended non-employee director compensation policy, our non-employee directors are compensated as follows:</w:t>
      </w:r>
    </w:p>
    <w:p>
      <w:pPr>
        <w:spacing w:after="0" w:line="49" w:lineRule="exact"/>
        <w:rPr>
          <w:sz w:val="20"/>
          <w:szCs w:val="20"/>
          <w:color w:val="auto"/>
        </w:rPr>
      </w:pPr>
    </w:p>
    <w:p>
      <w:pPr>
        <w:ind w:left="1300" w:right="440" w:hanging="325"/>
        <w:spacing w:after="0" w:line="293"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non-employee director will receive an annual cash fee of $40,000 ($72,500 for the chairman of the board of directors).</w:t>
      </w:r>
    </w:p>
    <w:p>
      <w:pPr>
        <w:spacing w:after="0" w:line="63" w:lineRule="exact"/>
        <w:rPr>
          <w:rFonts w:ascii="Arial" w:cs="Arial" w:eastAsia="Arial" w:hAnsi="Arial"/>
          <w:sz w:val="16"/>
          <w:szCs w:val="16"/>
          <w:color w:val="auto"/>
        </w:rPr>
      </w:pPr>
    </w:p>
    <w:p>
      <w:pPr>
        <w:ind w:left="1300" w:right="400" w:hanging="325"/>
        <w:spacing w:after="0" w:line="293"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non-employee director who is a member of the audit committee will receive an additional annual cash fee of $9,000 ($18,000 for the audit committee chairman).</w:t>
      </w:r>
    </w:p>
    <w:p>
      <w:pPr>
        <w:spacing w:after="0" w:line="63" w:lineRule="exact"/>
        <w:rPr>
          <w:rFonts w:ascii="Arial" w:cs="Arial" w:eastAsia="Arial" w:hAnsi="Arial"/>
          <w:sz w:val="16"/>
          <w:szCs w:val="16"/>
          <w:color w:val="auto"/>
        </w:rPr>
      </w:pPr>
    </w:p>
    <w:p>
      <w:pPr>
        <w:ind w:left="1300" w:right="220" w:hanging="325"/>
        <w:spacing w:after="0" w:line="293"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non-employee director who is a member of the compensation committee will receive an additional annual cash fee of $7,500 ($15,000 for the compensation committee chairman).</w:t>
      </w:r>
    </w:p>
    <w:p>
      <w:pPr>
        <w:spacing w:after="0" w:line="63" w:lineRule="exact"/>
        <w:rPr>
          <w:rFonts w:ascii="Arial" w:cs="Arial" w:eastAsia="Arial" w:hAnsi="Arial"/>
          <w:sz w:val="16"/>
          <w:szCs w:val="16"/>
          <w:color w:val="auto"/>
        </w:rPr>
      </w:pPr>
    </w:p>
    <w:p>
      <w:pPr>
        <w:ind w:left="1300" w:right="160" w:hanging="325"/>
        <w:spacing w:after="0" w:line="369" w:lineRule="auto"/>
        <w:tabs>
          <w:tab w:leader="none" w:pos="13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Each non-employee director who is a member of the nominating and corporate governance committee will receive an additional annual cash fee of $5,000 ($10,000 for the nominating and corporate governance committee chairman).</w:t>
      </w:r>
    </w:p>
    <w:p>
      <w:pPr>
        <w:spacing w:after="0" w:line="18" w:lineRule="exact"/>
        <w:rPr>
          <w:rFonts w:ascii="Arial" w:cs="Arial" w:eastAsia="Arial" w:hAnsi="Arial"/>
          <w:sz w:val="14"/>
          <w:szCs w:val="14"/>
          <w:color w:val="auto"/>
        </w:rPr>
      </w:pPr>
    </w:p>
    <w:p>
      <w:pPr>
        <w:ind w:left="1300" w:right="240" w:hanging="325"/>
        <w:spacing w:after="0" w:line="293"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non-employee director who is a member of the research and development committee will receive an additional annual cash fee of $5,000 ($10,000 for the research and development committee chairman).</w:t>
      </w:r>
    </w:p>
    <w:p>
      <w:pPr>
        <w:spacing w:after="0" w:line="63" w:lineRule="exact"/>
        <w:rPr>
          <w:rFonts w:ascii="Arial" w:cs="Arial" w:eastAsia="Arial" w:hAnsi="Arial"/>
          <w:sz w:val="16"/>
          <w:szCs w:val="16"/>
          <w:color w:val="auto"/>
        </w:rPr>
      </w:pPr>
    </w:p>
    <w:p>
      <w:pPr>
        <w:ind w:left="1300" w:right="100" w:hanging="325"/>
        <w:spacing w:after="0" w:line="293"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new non-employee director will receive an initial grant of a stock option under our 2015 Plan to purchase 15,000 shares of common stock upon his or her initial election to our board of directors.</w:t>
      </w:r>
    </w:p>
    <w:p>
      <w:pPr>
        <w:spacing w:after="0" w:line="63" w:lineRule="exact"/>
        <w:rPr>
          <w:rFonts w:ascii="Arial" w:cs="Arial" w:eastAsia="Arial" w:hAnsi="Arial"/>
          <w:sz w:val="16"/>
          <w:szCs w:val="16"/>
          <w:color w:val="auto"/>
        </w:rPr>
      </w:pPr>
    </w:p>
    <w:p>
      <w:pPr>
        <w:ind w:left="1300" w:right="100" w:hanging="325"/>
        <w:spacing w:after="0" w:line="278"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non-employee director will receive an annual grant of a stock option under our 2015 Plan to purchase 7,500 shares of common stock on the date of the first meeting of our board of directors held after each annual meeting of our stockholders.</w:t>
      </w:r>
    </w:p>
    <w:p>
      <w:pPr>
        <w:spacing w:after="0" w:line="76" w:lineRule="exact"/>
        <w:rPr>
          <w:sz w:val="20"/>
          <w:szCs w:val="20"/>
          <w:color w:val="auto"/>
        </w:rPr>
      </w:pPr>
    </w:p>
    <w:p>
      <w:pPr>
        <w:ind w:right="20" w:firstLine="648"/>
        <w:spacing w:after="0" w:line="286" w:lineRule="auto"/>
        <w:rPr>
          <w:sz w:val="20"/>
          <w:szCs w:val="20"/>
          <w:color w:val="auto"/>
        </w:rPr>
      </w:pPr>
      <w:r>
        <w:rPr>
          <w:rFonts w:ascii="Arial" w:cs="Arial" w:eastAsia="Arial" w:hAnsi="Arial"/>
          <w:sz w:val="15"/>
          <w:szCs w:val="15"/>
          <w:color w:val="auto"/>
        </w:rPr>
        <w:t>The stock options granted to our non-employee directors will have an exercise price equal to the closing price of our common stock as reported on the Nasdaq Global Select Market on the date of grant and will expire ten years after the date of grant. The initial stock options granted to new non-employee directors will vest in equal monthly installments over a three-year period following the grant date, subject to such director’s continued service on the board of directors. The annual stock options granted to our non-employee directors will vest in full upon the earlier of the first anniversary of the date of grant or the date of the following annual meeting of stockholders, subject to such director’s continued service on the board of directors. Any initial stock options and annual stock options granted to each of our non-employee directors will automatically accelerate and become fully vested and exercisable upon the non-employee director’s death or disability or upon a sale event (as defined in the 2015 Plan). In addition, each non-employee director has the right to elect to receive all or a portion of his or her annual cash compensation under the non-employee director compensation policy in the form of stock options to purchase our common stock. Any such election must be made before the start of our fiscal year. Any such stock options will vest quarterly over a one-year period, subject to the director’s continued service on the board of directors.</w:t>
      </w:r>
    </w:p>
    <w:p>
      <w:pPr>
        <w:spacing w:after="0" w:line="75" w:lineRule="exact"/>
        <w:rPr>
          <w:sz w:val="20"/>
          <w:szCs w:val="20"/>
          <w:color w:val="auto"/>
        </w:rPr>
      </w:pPr>
    </w:p>
    <w:p>
      <w:pPr>
        <w:ind w:right="100" w:firstLine="648"/>
        <w:spacing w:after="0" w:line="278" w:lineRule="auto"/>
        <w:rPr>
          <w:sz w:val="20"/>
          <w:szCs w:val="20"/>
          <w:color w:val="auto"/>
        </w:rPr>
      </w:pPr>
      <w:r>
        <w:rPr>
          <w:rFonts w:ascii="Arial" w:cs="Arial" w:eastAsia="Arial" w:hAnsi="Arial"/>
          <w:sz w:val="16"/>
          <w:szCs w:val="16"/>
          <w:color w:val="auto"/>
        </w:rPr>
        <w:t>All cash fees will be paid quarterly, in arrears, or upon the earlier resignation or removal of the non-employee director. The amount of each payment will be prorated for any portion of a quarter that a non-employee director is not serving on our board of directors, based on the number of calendar days served by such non-employee director.</w:t>
      </w:r>
    </w:p>
    <w:p>
      <w:pPr>
        <w:spacing w:after="0" w:line="76"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Each non-employee director is also entitled to reimbursement for reasonable travel and other expenses incurred in connection with attending meetings of the board of directors and any committee on which he or she serves.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the compensation for our non-employee directors during 2018.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Fees Earned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4"/>
                <w:szCs w:val="14"/>
                <w:color w:val="auto"/>
              </w:rPr>
            </w:pPr>
          </w:p>
        </w:tc>
        <w:tc>
          <w:tcPr>
            <w:tcW w:w="16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All Other</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(1)</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or Paid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Cash ($)(2)</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24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Compensation ($)</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Alexis Borisy</w:t>
            </w: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323,522</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3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368,522</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rPr>
                <w:sz w:val="20"/>
                <w:szCs w:val="20"/>
                <w:color w:val="auto"/>
              </w:rPr>
            </w:pPr>
            <w:r>
              <w:rPr>
                <w:rFonts w:ascii="Arial" w:cs="Arial" w:eastAsia="Arial" w:hAnsi="Arial"/>
                <w:sz w:val="16"/>
                <w:szCs w:val="16"/>
                <w:color w:val="auto"/>
              </w:rPr>
              <w:t>George D. Demetri, M.D.</w:t>
            </w:r>
          </w:p>
        </w:tc>
        <w:tc>
          <w:tcPr>
            <w:tcW w:w="1140" w:type="dxa"/>
            <w:vAlign w:val="bottom"/>
          </w:tcPr>
          <w:p>
            <w:pPr>
              <w:jc w:val="right"/>
              <w:spacing w:after="0"/>
              <w:rPr>
                <w:sz w:val="20"/>
                <w:szCs w:val="20"/>
                <w:color w:val="auto"/>
              </w:rPr>
            </w:pPr>
            <w:r>
              <w:rPr>
                <w:rFonts w:ascii="Arial" w:cs="Arial" w:eastAsia="Arial" w:hAnsi="Arial"/>
                <w:sz w:val="16"/>
                <w:szCs w:val="16"/>
                <w:color w:val="auto"/>
              </w:rPr>
              <w:t>53,194</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323,522</w:t>
            </w: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16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376,716</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Goldberg, M.D.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61,389</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323,522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384,911</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rPr>
                <w:sz w:val="20"/>
                <w:szCs w:val="20"/>
                <w:color w:val="auto"/>
              </w:rPr>
            </w:pPr>
            <w:r>
              <w:rPr>
                <w:rFonts w:ascii="Arial" w:cs="Arial" w:eastAsia="Arial" w:hAnsi="Arial"/>
                <w:sz w:val="16"/>
                <w:szCs w:val="16"/>
                <w:color w:val="auto"/>
              </w:rPr>
              <w:t>Nick Lydon, Ph.D.</w:t>
            </w:r>
          </w:p>
        </w:tc>
        <w:tc>
          <w:tcPr>
            <w:tcW w:w="1140" w:type="dxa"/>
            <w:vAlign w:val="bottom"/>
          </w:tcPr>
          <w:p>
            <w:pPr>
              <w:jc w:val="right"/>
              <w:spacing w:after="0"/>
              <w:rPr>
                <w:sz w:val="20"/>
                <w:szCs w:val="20"/>
                <w:color w:val="auto"/>
              </w:rPr>
            </w:pPr>
            <w:r>
              <w:rPr>
                <w:rFonts w:ascii="Arial" w:cs="Arial" w:eastAsia="Arial" w:hAnsi="Arial"/>
                <w:sz w:val="16"/>
                <w:szCs w:val="16"/>
                <w:color w:val="auto"/>
              </w:rPr>
              <w:t>53,917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323,522</w:t>
            </w: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1600" w:type="dxa"/>
            <w:vAlign w:val="bottom"/>
            <w:gridSpan w:val="2"/>
          </w:tcPr>
          <w:p>
            <w:pPr>
              <w:ind w:left="840"/>
              <w:spacing w:after="0"/>
              <w:rPr>
                <w:sz w:val="20"/>
                <w:szCs w:val="20"/>
                <w:color w:val="auto"/>
              </w:rPr>
            </w:pPr>
            <w:r>
              <w:rPr>
                <w:rFonts w:ascii="Arial" w:cs="Arial" w:eastAsia="Arial" w:hAnsi="Arial"/>
                <w:sz w:val="16"/>
                <w:szCs w:val="16"/>
                <w:color w:val="auto"/>
                <w:w w:val="95"/>
              </w:rPr>
              <w:t>20,000  (7)</w:t>
            </w:r>
          </w:p>
        </w:tc>
        <w:tc>
          <w:tcPr>
            <w:tcW w:w="1180" w:type="dxa"/>
            <w:vAlign w:val="bottom"/>
          </w:tcPr>
          <w:p>
            <w:pPr>
              <w:jc w:val="right"/>
              <w:spacing w:after="0"/>
              <w:rPr>
                <w:sz w:val="20"/>
                <w:szCs w:val="20"/>
                <w:color w:val="auto"/>
              </w:rPr>
            </w:pPr>
            <w:r>
              <w:rPr>
                <w:rFonts w:ascii="Arial" w:cs="Arial" w:eastAsia="Arial" w:hAnsi="Arial"/>
                <w:sz w:val="16"/>
                <w:szCs w:val="16"/>
                <w:color w:val="auto"/>
              </w:rPr>
              <w:t>397,439</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S. Lynch</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74,861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323,522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398,383</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rPr>
                <w:sz w:val="20"/>
                <w:szCs w:val="20"/>
                <w:color w:val="auto"/>
              </w:rPr>
            </w:pPr>
            <w:r>
              <w:rPr>
                <w:rFonts w:ascii="Arial" w:cs="Arial" w:eastAsia="Arial" w:hAnsi="Arial"/>
                <w:sz w:val="16"/>
                <w:szCs w:val="16"/>
                <w:color w:val="auto"/>
              </w:rPr>
              <w:t>Charles A. Rowland, Jr.</w:t>
            </w:r>
          </w:p>
        </w:tc>
        <w:tc>
          <w:tcPr>
            <w:tcW w:w="1140" w:type="dxa"/>
            <w:vAlign w:val="bottom"/>
          </w:tcPr>
          <w:p>
            <w:pPr>
              <w:jc w:val="right"/>
              <w:spacing w:after="0"/>
              <w:rPr>
                <w:sz w:val="20"/>
                <w:szCs w:val="20"/>
                <w:color w:val="auto"/>
              </w:rPr>
            </w:pPr>
            <w:r>
              <w:rPr>
                <w:rFonts w:ascii="Arial" w:cs="Arial" w:eastAsia="Arial" w:hAnsi="Arial"/>
                <w:sz w:val="16"/>
                <w:szCs w:val="16"/>
                <w:color w:val="auto"/>
              </w:rPr>
              <w:t>60,278</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323,522</w:t>
            </w: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16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383,800</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Lonnel Coats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51,833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323,522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375,355</w:t>
            </w:r>
          </w:p>
        </w:tc>
        <w:tc>
          <w:tcPr>
            <w:tcW w:w="0" w:type="dxa"/>
            <w:vAlign w:val="bottom"/>
          </w:tcPr>
          <w:p>
            <w:pPr>
              <w:spacing w:after="0"/>
              <w:rPr>
                <w:sz w:val="1"/>
                <w:szCs w:val="1"/>
                <w:color w:val="auto"/>
              </w:rPr>
            </w:pPr>
          </w:p>
        </w:tc>
      </w:tr>
      <w:tr>
        <w:trPr>
          <w:trHeight w:val="206"/>
        </w:trPr>
        <w:tc>
          <w:tcPr>
            <w:tcW w:w="3800" w:type="dxa"/>
            <w:vAlign w:val="bottom"/>
            <w:gridSpan w:val="2"/>
          </w:tcPr>
          <w:p>
            <w:pPr>
              <w:spacing w:after="0"/>
              <w:rPr>
                <w:sz w:val="20"/>
                <w:szCs w:val="20"/>
                <w:color w:val="auto"/>
              </w:rPr>
            </w:pPr>
            <w:r>
              <w:rPr>
                <w:rFonts w:ascii="Arial" w:cs="Arial" w:eastAsia="Arial" w:hAnsi="Arial"/>
                <w:sz w:val="16"/>
                <w:szCs w:val="16"/>
                <w:color w:val="auto"/>
              </w:rPr>
              <w:t>Lynn Seely, M.D.</w:t>
            </w:r>
          </w:p>
        </w:tc>
        <w:tc>
          <w:tcPr>
            <w:tcW w:w="1140" w:type="dxa"/>
            <w:vAlign w:val="bottom"/>
          </w:tcPr>
          <w:p>
            <w:pPr>
              <w:jc w:val="right"/>
              <w:spacing w:after="0"/>
              <w:rPr>
                <w:sz w:val="20"/>
                <w:szCs w:val="20"/>
                <w:color w:val="auto"/>
              </w:rPr>
            </w:pPr>
            <w:r>
              <w:rPr>
                <w:rFonts w:ascii="Arial" w:cs="Arial" w:eastAsia="Arial" w:hAnsi="Arial"/>
                <w:sz w:val="16"/>
                <w:szCs w:val="16"/>
                <w:color w:val="auto"/>
              </w:rPr>
              <w:t>50,694</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323,522</w:t>
            </w: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16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374,216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14408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7" w:lineRule="exact"/>
        <w:rPr>
          <w:sz w:val="20"/>
          <w:szCs w:val="20"/>
          <w:color w:val="auto"/>
        </w:rPr>
      </w:pPr>
    </w:p>
    <w:p>
      <w:pPr>
        <w:ind w:left="320" w:hanging="317"/>
        <w:spacing w:after="0"/>
        <w:tabs>
          <w:tab w:leader="none" w:pos="3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Mr. Albers, our president and chief executive officer, does not receive any compensation for his service as a director. Information regarding his</w:t>
      </w:r>
    </w:p>
    <w:p>
      <w:pPr>
        <w:spacing w:after="0" w:line="200" w:lineRule="exact"/>
        <w:rPr>
          <w:rFonts w:ascii="Arial" w:cs="Arial" w:eastAsia="Arial" w:hAnsi="Arial"/>
          <w:sz w:val="13"/>
          <w:szCs w:val="13"/>
          <w:color w:val="auto"/>
        </w:rPr>
      </w:pPr>
    </w:p>
    <w:p>
      <w:pPr>
        <w:spacing w:after="0" w:line="348" w:lineRule="exact"/>
        <w:rPr>
          <w:rFonts w:ascii="Arial" w:cs="Arial" w:eastAsia="Arial" w:hAnsi="Arial"/>
          <w:sz w:val="13"/>
          <w:szCs w:val="13"/>
          <w:color w:val="auto"/>
        </w:rPr>
      </w:pPr>
    </w:p>
    <w:p>
      <w:pPr>
        <w:ind w:left="4400"/>
        <w:spacing w:after="0"/>
        <w:rPr>
          <w:rFonts w:ascii="Arial" w:cs="Arial" w:eastAsia="Arial" w:hAnsi="Arial"/>
          <w:sz w:val="13"/>
          <w:szCs w:val="13"/>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30" w:right="1399" w:bottom="1440" w:gutter="0" w:footer="0" w:header="0"/>
        </w:sectPr>
      </w:pPr>
    </w:p>
    <w:bookmarkStart w:id="41" w:name="page42"/>
    <w:bookmarkEnd w:id="41"/>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compensation can be found in the “Summary Compensation Table” included elsewhere in this proxy statement.</w:t>
      </w:r>
    </w:p>
    <w:p>
      <w:pPr>
        <w:spacing w:after="0" w:line="96" w:lineRule="exact"/>
        <w:rPr>
          <w:sz w:val="20"/>
          <w:szCs w:val="20"/>
          <w:color w:val="auto"/>
        </w:rPr>
      </w:pPr>
    </w:p>
    <w:p>
      <w:pPr>
        <w:ind w:left="320" w:right="100" w:hanging="317"/>
        <w:spacing w:after="0" w:line="253" w:lineRule="auto"/>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Amounts represent cash compensation for services rendered by each member of our board of directors for their services on our board of directors or a committee thereof.</w:t>
      </w:r>
    </w:p>
    <w:p>
      <w:pPr>
        <w:spacing w:after="0" w:line="65" w:lineRule="exact"/>
        <w:rPr>
          <w:rFonts w:ascii="Arial" w:cs="Arial" w:eastAsia="Arial" w:hAnsi="Arial"/>
          <w:sz w:val="14"/>
          <w:szCs w:val="14"/>
          <w:color w:val="auto"/>
        </w:rPr>
      </w:pPr>
    </w:p>
    <w:p>
      <w:pPr>
        <w:ind w:left="320" w:hanging="317"/>
        <w:spacing w:after="0" w:line="157" w:lineRule="exact"/>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These amounts represent the aggregate grant date fair value of awards granted to our directors in 2018, computed in accordance with FASB ASC Topic 718. . Such aggregate grant date fair values do not take into account any estimated forfeitures related to service-based vesting conditions. See Note 10 to the audited consolidated financial statements in our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for the year ended December 31, 2018 regarding assumptions underlying the valuation of equity awards.</w:t>
      </w:r>
    </w:p>
    <w:p>
      <w:pPr>
        <w:spacing w:after="0" w:line="74" w:lineRule="exact"/>
        <w:rPr>
          <w:rFonts w:ascii="Arial" w:cs="Arial" w:eastAsia="Arial" w:hAnsi="Arial"/>
          <w:sz w:val="14"/>
          <w:szCs w:val="14"/>
          <w:color w:val="auto"/>
        </w:rPr>
      </w:pPr>
    </w:p>
    <w:p>
      <w:pPr>
        <w:ind w:left="320" w:hanging="317"/>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 of December 31, 2018, Messrs. Borisy and Lynch and Dr. Lydon each held options to purchase 29,318 shares of our common stock.</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 of December 31, 2018, Dr. Demetri held options to purchase 64,771 shares of our common stock.</w:t>
      </w:r>
    </w:p>
    <w:p>
      <w:pPr>
        <w:spacing w:after="0" w:line="95" w:lineRule="exact"/>
        <w:rPr>
          <w:rFonts w:ascii="Arial" w:cs="Arial" w:eastAsia="Arial" w:hAnsi="Arial"/>
          <w:sz w:val="14"/>
          <w:szCs w:val="14"/>
          <w:color w:val="auto"/>
        </w:rPr>
      </w:pPr>
    </w:p>
    <w:p>
      <w:pPr>
        <w:ind w:left="320" w:right="320" w:hanging="317"/>
        <w:spacing w:after="0" w:line="230" w:lineRule="auto"/>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 of December 31, 2018, Drs. Goldberg and Seely and Messrs. Rowland and Coats each held options to purchase 51,136 shares of our common stock.</w:t>
      </w:r>
    </w:p>
    <w:p>
      <w:pPr>
        <w:ind w:left="320" w:hanging="317"/>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 represents cash compensation for services rendered by Dr. Lydon as a member of our scientific advisory board.</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30" w:right="1439" w:bottom="1440" w:gutter="0" w:footer="0" w:header="0"/>
        </w:sectPr>
      </w:pPr>
    </w:p>
    <w:bookmarkStart w:id="42" w:name="page43"/>
    <w:bookmarkEnd w:id="42"/>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31" w:lineRule="exact"/>
        <w:rPr>
          <w:sz w:val="20"/>
          <w:szCs w:val="20"/>
          <w:color w:val="auto"/>
        </w:rPr>
      </w:pPr>
    </w:p>
    <w:p>
      <w:pPr>
        <w:ind w:right="60" w:firstLine="648"/>
        <w:spacing w:after="0" w:line="273" w:lineRule="auto"/>
        <w:rPr>
          <w:sz w:val="20"/>
          <w:szCs w:val="20"/>
          <w:color w:val="auto"/>
        </w:rPr>
      </w:pPr>
      <w:r>
        <w:rPr>
          <w:rFonts w:ascii="Arial" w:cs="Arial" w:eastAsia="Arial" w:hAnsi="Arial"/>
          <w:sz w:val="16"/>
          <w:szCs w:val="16"/>
          <w:color w:val="auto"/>
        </w:rPr>
        <w:t>The following table provides information about the securities authorized for issuance under our equity compensation plans as of December 31, 2018. As of December 31, 2018, we had three equity compensation plans, each of which was approved by our stockholders: the 2011 Stock Option and Grant Plan, as amended, or 2011 Plan, the 2015 Plan and the 2015 Employee Stock Purchase Plan, or 2015 ESPP.</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119"/>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720" w:type="dxa"/>
            <w:vAlign w:val="bottom"/>
            <w:gridSpan w:val="2"/>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20" w:type="dxa"/>
            <w:vAlign w:val="bottom"/>
            <w:gridSpan w:val="2"/>
          </w:tcPr>
          <w:p>
            <w:pPr>
              <w:jc w:val="center"/>
              <w:ind w:right="119"/>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720" w:type="dxa"/>
            <w:vAlign w:val="bottom"/>
            <w:gridSpan w:val="2"/>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72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060" w:type="dxa"/>
            <w:vAlign w:val="bottom"/>
            <w:gridSpan w:val="3"/>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warrants and rights</w:t>
            </w:r>
          </w:p>
        </w:tc>
        <w:tc>
          <w:tcPr>
            <w:tcW w:w="172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5"/>
              </w:rPr>
              <w:t>column (a)) (1)</w:t>
            </w:r>
          </w:p>
        </w:tc>
        <w:tc>
          <w:tcPr>
            <w:tcW w:w="0" w:type="dxa"/>
            <w:vAlign w:val="bottom"/>
          </w:tcPr>
          <w:p>
            <w:pPr>
              <w:spacing w:after="0"/>
              <w:rPr>
                <w:sz w:val="1"/>
                <w:szCs w:val="1"/>
                <w:color w:val="auto"/>
              </w:rPr>
            </w:pPr>
          </w:p>
        </w:tc>
      </w:tr>
      <w:tr>
        <w:trPr>
          <w:trHeight w:val="142"/>
        </w:trPr>
        <w:tc>
          <w:tcPr>
            <w:tcW w:w="22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center"/>
              <w:ind w:right="5"/>
              <w:spacing w:after="0" w:line="142" w:lineRule="exact"/>
              <w:rPr>
                <w:sz w:val="20"/>
                <w:szCs w:val="20"/>
                <w:color w:val="auto"/>
              </w:rPr>
            </w:pPr>
            <w:r>
              <w:rPr>
                <w:rFonts w:ascii="Arial" w:cs="Arial" w:eastAsia="Arial" w:hAnsi="Arial"/>
                <w:sz w:val="14"/>
                <w:szCs w:val="14"/>
                <w:color w:val="auto"/>
                <w:w w:val="93"/>
              </w:rPr>
              <w:t>(b)</w:t>
            </w:r>
          </w:p>
        </w:tc>
        <w:tc>
          <w:tcPr>
            <w:tcW w:w="16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(c)</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4,594,668 (2)$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44.64</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3,004,435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60" w:type="dxa"/>
            <w:vAlign w:val="bottom"/>
            <w:gridSpan w:val="3"/>
          </w:tcPr>
          <w:p>
            <w:pPr>
              <w:spacing w:after="0"/>
              <w:rPr>
                <w:sz w:val="20"/>
                <w:szCs w:val="20"/>
                <w:color w:val="auto"/>
              </w:rPr>
            </w:pPr>
            <w:r>
              <w:rPr>
                <w:rFonts w:ascii="Arial" w:cs="Arial" w:eastAsia="Arial" w:hAnsi="Arial"/>
                <w:sz w:val="16"/>
                <w:szCs w:val="16"/>
                <w:color w:val="auto"/>
              </w:rPr>
              <w:t>Equity compensation plans not approved by security</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60" w:type="dxa"/>
            <w:vAlign w:val="bottom"/>
            <w:gridSpan w:val="3"/>
          </w:tcPr>
          <w:p>
            <w:pPr>
              <w:ind w:left="140"/>
              <w:spacing w:after="0"/>
              <w:rPr>
                <w:sz w:val="20"/>
                <w:szCs w:val="20"/>
                <w:color w:val="auto"/>
              </w:rPr>
            </w:pPr>
            <w:r>
              <w:rPr>
                <w:rFonts w:ascii="Arial" w:cs="Arial" w:eastAsia="Arial" w:hAnsi="Arial"/>
                <w:sz w:val="16"/>
                <w:szCs w:val="16"/>
                <w:color w:val="auto"/>
              </w:rPr>
              <w:t>holders</w:t>
            </w:r>
          </w:p>
        </w:tc>
        <w:tc>
          <w:tcPr>
            <w:tcW w:w="134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ind w:left="12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0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w:t>
            </w:r>
          </w:p>
        </w:tc>
        <w:tc>
          <w:tcPr>
            <w:tcW w:w="13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4,594,668</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44.64</w:t>
            </w:r>
          </w:p>
        </w:tc>
        <w:tc>
          <w:tcPr>
            <w:tcW w:w="1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3,004,435</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60" w:hanging="317"/>
        <w:spacing w:after="0" w:line="335" w:lineRule="auto"/>
        <w:tabs>
          <w:tab w:leader="none" w:pos="3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As of December 31, 2018, (i) 1,776,005 shares remained available for future issuance under our 2015 Plan, and (ii) 1,228,430 shares remained available for future issuance under our 2015 ESPP. No shares remained available for future issuance under the 2011 Plan as of December 31, 2018.</w:t>
      </w:r>
    </w:p>
    <w:p>
      <w:pPr>
        <w:spacing w:after="0" w:line="19" w:lineRule="exact"/>
        <w:rPr>
          <w:rFonts w:ascii="Arial" w:cs="Arial" w:eastAsia="Arial" w:hAnsi="Arial"/>
          <w:sz w:val="12"/>
          <w:szCs w:val="12"/>
          <w:color w:val="auto"/>
        </w:rPr>
      </w:pPr>
    </w:p>
    <w:p>
      <w:pPr>
        <w:jc w:val="both"/>
        <w:ind w:left="320" w:right="180" w:hanging="317"/>
        <w:spacing w:after="0" w:line="256" w:lineRule="auto"/>
        <w:tabs>
          <w:tab w:leader="none" w:pos="32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Amount does not include any purchase rights accruing under the 2015 ESPP during the current purchase period, which commenced on December 1, 2018, because the purchase right (and therefore the number of shares to be purchased) will not be determined until the end of the purchase period on May 30, 2019. Subject to the number of shares remaining in the share reserve, the maximum number of shares purchasable by any participant in the 2015 ESPP on any one purchase date for any purchase period, including the current purchase period, may not exceed 2,500 shares.</w:t>
      </w:r>
    </w:p>
    <w:p>
      <w:pPr>
        <w:spacing w:after="0" w:line="64" w:lineRule="exact"/>
        <w:rPr>
          <w:rFonts w:ascii="Arial" w:cs="Arial" w:eastAsia="Arial" w:hAnsi="Arial"/>
          <w:sz w:val="13"/>
          <w:szCs w:val="13"/>
          <w:color w:val="auto"/>
        </w:rPr>
      </w:pPr>
    </w:p>
    <w:p>
      <w:pPr>
        <w:ind w:left="320" w:right="40" w:hanging="317"/>
        <w:spacing w:after="0" w:line="227" w:lineRule="auto"/>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Our 2015 Plan has an evergreen provision that allows for an annual increase in the number of shares available for issuance under the 2015 Plan to be added on the first day of each fiscal year in an amount equal to 4% of the number of shares of our common stock outstanding on the immediately preceding December 31 or such lesser amount determined by our board of directors or the compensation committee. Effective January 1, 2019, 1,761,481 additional shares were reserved for issuance under the 2015 Plan pursuant to this provision. Our 2015 ESPP has an evergreen provision that allows for an annual increase in the number of shares available for issuance under the 2015 ESPP to be added on the first day of each fiscal year in an amount equal to 1% of the total number of shares of our common stock outstanding on the immediately preceding December 31 or such lesser amount determined by our board of directors or the compensation committee. Effective January 1, 2019, 440,370 additional shares were reserved for issuance under the 2015 ESPP pursuant to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43" w:name="page44"/>
    <w:bookmarkEnd w:id="43"/>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THE AUDIT COMMITTEE OF THE BOARD OF DIRECTORS</w:t>
      </w:r>
    </w:p>
    <w:p>
      <w:pPr>
        <w:spacing w:after="0" w:line="13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audit committee has reviewed our audited consolidated financial statements for the fiscal year ended December 31, 2018 and discussed them with our management and our independent registered public accounting firm, Ernst &amp; Young LLP.</w:t>
      </w:r>
    </w:p>
    <w:p>
      <w:pPr>
        <w:spacing w:after="0" w:line="64" w:lineRule="exact"/>
        <w:rPr>
          <w:sz w:val="20"/>
          <w:szCs w:val="20"/>
          <w:color w:val="auto"/>
        </w:rPr>
      </w:pPr>
    </w:p>
    <w:p>
      <w:pPr>
        <w:jc w:val="both"/>
        <w:ind w:right="360" w:firstLine="648"/>
        <w:spacing w:after="0" w:line="335" w:lineRule="auto"/>
        <w:rPr>
          <w:sz w:val="20"/>
          <w:szCs w:val="20"/>
          <w:color w:val="auto"/>
        </w:rPr>
      </w:pPr>
      <w:r>
        <w:rPr>
          <w:rFonts w:ascii="Arial" w:cs="Arial" w:eastAsia="Arial" w:hAnsi="Arial"/>
          <w:sz w:val="14"/>
          <w:szCs w:val="14"/>
          <w:color w:val="auto"/>
        </w:rPr>
        <w:t>Our audit committee has also received from, and discussed with, Ernst &amp; Young LLP various communications that Ernst &amp; Young LLP is required to provide to our audit committee, including the matters required to be discussed by the statement on Auditing Standards No. 16, “Communication with Audit Committees,” as adopted by the Public Company Accounting Oversight Board.</w:t>
      </w:r>
    </w:p>
    <w:p>
      <w:pPr>
        <w:spacing w:after="0" w:line="4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6"/>
          <w:szCs w:val="16"/>
          <w:color w:val="auto"/>
        </w:rPr>
        <w:t>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spacing w:after="0" w:line="81" w:lineRule="exact"/>
        <w:rPr>
          <w:sz w:val="20"/>
          <w:szCs w:val="20"/>
          <w:color w:val="auto"/>
        </w:rPr>
      </w:pPr>
    </w:p>
    <w:p>
      <w:pPr>
        <w:ind w:right="380" w:firstLine="648"/>
        <w:spacing w:after="0" w:line="204" w:lineRule="exact"/>
        <w:rPr>
          <w:sz w:val="20"/>
          <w:szCs w:val="20"/>
          <w:color w:val="auto"/>
        </w:rPr>
      </w:pPr>
      <w:r>
        <w:rPr>
          <w:rFonts w:ascii="Arial" w:cs="Arial" w:eastAsia="Arial" w:hAnsi="Arial"/>
          <w:sz w:val="14"/>
          <w:szCs w:val="14"/>
          <w:color w:val="auto"/>
        </w:rPr>
        <w:t>Based on the review and discussions referred to above, our audit committee recommended to our board of directors that the audited consolidated financial statements be included in our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for the year ended December 31, 2018.</w:t>
      </w:r>
    </w:p>
    <w:p>
      <w:pPr>
        <w:spacing w:after="0" w:line="105"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the audit committee of the board of directors of Blueprint Medicines Corporation.</w:t>
      </w:r>
    </w:p>
    <w:p>
      <w:pPr>
        <w:spacing w:after="0" w:line="140"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Charles A. Rowland, Jr., Chair</w:t>
      </w:r>
    </w:p>
    <w:p>
      <w:pPr>
        <w:spacing w:after="0" w:line="22"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Lonnel Coats</w:t>
      </w:r>
    </w:p>
    <w:p>
      <w:pPr>
        <w:spacing w:after="0" w:line="19"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Mark Goldberg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30" w:right="1439" w:bottom="1440" w:gutter="0" w:footer="0" w:header="0"/>
        </w:sectPr>
      </w:pPr>
    </w:p>
    <w:bookmarkStart w:id="44" w:name="page45"/>
    <w:bookmarkEnd w:id="44"/>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2—ADVISORY VOTE ON EXECUTIVE COMPENSATION</w:t>
      </w:r>
    </w:p>
    <w:p>
      <w:pPr>
        <w:spacing w:after="0" w:line="131" w:lineRule="exact"/>
        <w:rPr>
          <w:sz w:val="20"/>
          <w:szCs w:val="20"/>
          <w:color w:val="auto"/>
        </w:rPr>
      </w:pPr>
    </w:p>
    <w:p>
      <w:pPr>
        <w:ind w:firstLine="648"/>
        <w:spacing w:after="0" w:line="288" w:lineRule="auto"/>
        <w:rPr>
          <w:sz w:val="20"/>
          <w:szCs w:val="20"/>
          <w:color w:val="auto"/>
        </w:rPr>
      </w:pPr>
      <w:r>
        <w:rPr>
          <w:rFonts w:ascii="Arial" w:cs="Arial" w:eastAsia="Arial" w:hAnsi="Arial"/>
          <w:sz w:val="15"/>
          <w:szCs w:val="15"/>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Act, which added Section 14A to the Securities Exchange Act of 1934, as amended, or the Exchange Act. Our executive compensation program is designed to reward value creation for stockholders and to attract, motivate, and retain our executive officers, who are critical to our success. Under this program, our named executive officers are rewarded for the achievement of our short- and long-term strategic and financial goals, which we believe serves to enhance short- and long-term value creation for our stockholders. Our compensation program contains elements of cash and equity-based compensation and is designed to align the interests of our executives with those of our stockholders and paying for performance.</w:t>
      </w:r>
    </w:p>
    <w:p>
      <w:pPr>
        <w:spacing w:after="0" w:line="73" w:lineRule="exact"/>
        <w:rPr>
          <w:sz w:val="20"/>
          <w:szCs w:val="20"/>
          <w:color w:val="auto"/>
        </w:rPr>
      </w:pPr>
    </w:p>
    <w:p>
      <w:pPr>
        <w:ind w:firstLine="648"/>
        <w:spacing w:after="0" w:line="287" w:lineRule="auto"/>
        <w:rPr>
          <w:sz w:val="20"/>
          <w:szCs w:val="20"/>
          <w:color w:val="auto"/>
        </w:rPr>
      </w:pPr>
      <w:r>
        <w:rPr>
          <w:rFonts w:ascii="Arial" w:cs="Arial" w:eastAsia="Arial" w:hAnsi="Arial"/>
          <w:sz w:val="15"/>
          <w:szCs w:val="15"/>
          <w:color w:val="auto"/>
        </w:rPr>
        <w:t>The section of this proxy statement titled “Executive Compensation” beginning on page 17, including “Compensation Discussion and Analysis,” describes in detail our executive compensation program and the decisions made by our compensation committee. As we describe in greater detail in the “Compensation Discussion and Analysis” section, our executive compensation program rewards value creation for stockholders and progress towards achieving our mission and that promotes company performance.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named executive officers with a mix of short-term and long-term performance-based incentives to encourage consistently strong performance, and our board of directors believes that this link between compensation and the achievement of our near- and long-term business goals has helped drive our performance over time.</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is asking stockholders to approve a non-binding, advisory vote on the following resolution:</w:t>
      </w:r>
    </w:p>
    <w:p>
      <w:pPr>
        <w:spacing w:after="0" w:line="127" w:lineRule="exact"/>
        <w:rPr>
          <w:sz w:val="20"/>
          <w:szCs w:val="20"/>
          <w:color w:val="auto"/>
        </w:rPr>
      </w:pPr>
    </w:p>
    <w:p>
      <w:pPr>
        <w:ind w:right="540" w:firstLine="648"/>
        <w:spacing w:after="0" w:line="278" w:lineRule="auto"/>
        <w:rPr>
          <w:sz w:val="20"/>
          <w:szCs w:val="20"/>
          <w:color w:val="auto"/>
        </w:rPr>
      </w:pPr>
      <w:r>
        <w:rPr>
          <w:rFonts w:ascii="Arial" w:cs="Arial" w:eastAsia="Arial" w:hAnsi="Arial"/>
          <w:sz w:val="16"/>
          <w:szCs w:val="16"/>
          <w:i w:val="1"/>
          <w:i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76" w:lineRule="exact"/>
        <w:rPr>
          <w:sz w:val="20"/>
          <w:szCs w:val="20"/>
          <w:color w:val="auto"/>
        </w:rPr>
      </w:pPr>
    </w:p>
    <w:p>
      <w:pPr>
        <w:ind w:right="120" w:firstLine="648"/>
        <w:spacing w:after="0" w:line="270" w:lineRule="auto"/>
        <w:rPr>
          <w:sz w:val="20"/>
          <w:szCs w:val="20"/>
          <w:color w:val="auto"/>
        </w:rPr>
      </w:pPr>
      <w:r>
        <w:rPr>
          <w:rFonts w:ascii="Arial" w:cs="Arial" w:eastAsia="Arial" w:hAnsi="Arial"/>
          <w:sz w:val="16"/>
          <w:szCs w:val="16"/>
          <w:color w:val="auto"/>
        </w:rPr>
        <w:t>As an advisory vote, this proposal is not binding. The outcome of this advisory vote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stockholders in their vote on this proposal and intend to consider carefully the outcome of the vote when making future compensation decisions for named executive officers.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of the Board of Directors</w:t>
      </w:r>
    </w:p>
    <w:p>
      <w:pPr>
        <w:spacing w:after="0" w:line="127" w:lineRule="exact"/>
        <w:rPr>
          <w:sz w:val="20"/>
          <w:szCs w:val="20"/>
          <w:color w:val="auto"/>
        </w:rPr>
      </w:pPr>
    </w:p>
    <w:p>
      <w:pPr>
        <w:ind w:right="1040" w:firstLine="648"/>
        <w:spacing w:after="0" w:line="298" w:lineRule="auto"/>
        <w:rPr>
          <w:sz w:val="20"/>
          <w:szCs w:val="20"/>
          <w:color w:val="auto"/>
        </w:rPr>
      </w:pPr>
      <w:r>
        <w:rPr>
          <w:rFonts w:ascii="Arial" w:cs="Arial" w:eastAsia="Arial" w:hAnsi="Arial"/>
          <w:sz w:val="16"/>
          <w:szCs w:val="16"/>
          <w:b w:val="1"/>
          <w:bCs w:val="1"/>
          <w:color w:val="auto"/>
        </w:rPr>
        <w:t>OUR BOARD OF DIRECTORS RECOMMENDS THAT STOCKHOLDERS VOTE TO APPROVE THE COMPENSATION OF OUR NAMED EXECUTIVE OFFICERS BY VOTING “</w:t>
      </w:r>
      <w:r>
        <w:rPr>
          <w:rFonts w:ascii="Arial" w:cs="Arial" w:eastAsia="Arial" w:hAnsi="Arial"/>
          <w:sz w:val="16"/>
          <w:szCs w:val="16"/>
          <w:b w:val="1"/>
          <w:bCs w:val="1"/>
          <w:i w:val="1"/>
          <w:iCs w:val="1"/>
          <w:u w:val="single" w:color="auto"/>
          <w:color w:val="auto"/>
        </w:rPr>
        <w:t>FOR</w:t>
      </w:r>
      <w:r>
        <w:rPr>
          <w:rFonts w:ascii="Arial" w:cs="Arial" w:eastAsia="Arial" w:hAnsi="Arial"/>
          <w:sz w:val="16"/>
          <w:szCs w:val="16"/>
          <w:b w:val="1"/>
          <w:bCs w:val="1"/>
          <w:color w:val="auto"/>
        </w:rPr>
        <w:t>” THIS PROPOSAL.</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45" w:name="page46"/>
    <w:bookmarkEnd w:id="45"/>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spacing w:after="0" w:line="298" w:lineRule="auto"/>
        <w:rPr>
          <w:sz w:val="20"/>
          <w:szCs w:val="20"/>
          <w:color w:val="auto"/>
        </w:rPr>
      </w:pPr>
      <w:r>
        <w:rPr>
          <w:rFonts w:ascii="Arial" w:cs="Arial" w:eastAsia="Arial" w:hAnsi="Arial"/>
          <w:sz w:val="16"/>
          <w:szCs w:val="16"/>
          <w:b w:val="1"/>
          <w:bCs w:val="1"/>
          <w:color w:val="auto"/>
        </w:rPr>
        <w:t>PROPOSAL 3—RATIFICATION OF THE APPOINTMENT OF INDEPENDENT REGISTERED PUBLIC ACCOUNTING FIRM</w:t>
      </w:r>
    </w:p>
    <w:p>
      <w:pPr>
        <w:spacing w:after="0" w:line="60"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Our audit committee has appointed the firm of Ernst &amp; Young LLP, an independent registered public accounting firm, as independent auditors for the fiscal year ended December 31, 2019. Although stockholder approval of our audit committee’s appointment of Ernst &amp; Young LLP is not required by law, our board of directors believes that it is advisable to give stockholders an opportunity to ratify this appointment. If this proposal is not approved at the annual meeting, our audit committee will reconsider its appointment of Ernst &amp; Young LLP.</w:t>
      </w:r>
    </w:p>
    <w:p>
      <w:pPr>
        <w:spacing w:after="0" w:line="82" w:lineRule="exact"/>
        <w:rPr>
          <w:sz w:val="20"/>
          <w:szCs w:val="20"/>
          <w:color w:val="auto"/>
        </w:rPr>
      </w:pPr>
    </w:p>
    <w:p>
      <w:pPr>
        <w:ind w:right="20" w:firstLine="648"/>
        <w:spacing w:after="0" w:line="278" w:lineRule="auto"/>
        <w:rPr>
          <w:sz w:val="20"/>
          <w:szCs w:val="20"/>
          <w:color w:val="auto"/>
        </w:rPr>
      </w:pPr>
      <w:r>
        <w:rPr>
          <w:rFonts w:ascii="Arial" w:cs="Arial" w:eastAsia="Arial" w:hAnsi="Arial"/>
          <w:sz w:val="16"/>
          <w:szCs w:val="16"/>
          <w:color w:val="auto"/>
        </w:rPr>
        <w:t>Ernst &amp; Young LLP has no direct or indirect material financial interest in our company or our subsidiaries. Representatives of Ernst &amp; Young LLP are expected to be present at the annual meeting and will have the opportunity to make a statement, if they desire to do so, and will be available to respond to appropriate questions from our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Fees and Services</w:t>
      </w:r>
    </w:p>
    <w:p>
      <w:pPr>
        <w:spacing w:after="0" w:line="131" w:lineRule="exact"/>
        <w:rPr>
          <w:sz w:val="20"/>
          <w:szCs w:val="20"/>
          <w:color w:val="auto"/>
        </w:rPr>
      </w:pPr>
    </w:p>
    <w:p>
      <w:pPr>
        <w:ind w:right="200" w:firstLine="648"/>
        <w:spacing w:after="0" w:line="273" w:lineRule="auto"/>
        <w:rPr>
          <w:sz w:val="20"/>
          <w:szCs w:val="20"/>
          <w:color w:val="auto"/>
        </w:rPr>
      </w:pPr>
      <w:r>
        <w:rPr>
          <w:rFonts w:ascii="Arial" w:cs="Arial" w:eastAsia="Arial" w:hAnsi="Arial"/>
          <w:sz w:val="16"/>
          <w:szCs w:val="16"/>
          <w:color w:val="auto"/>
        </w:rPr>
        <w:t>Ernst &amp; Young LLP was our independent registered public accounting firm for the years ended December 31, 2018 and December 31, 2017. The following table summarizes the fees of Ernst &amp; Young LLP billed to us for each of the last two fiscal years. All such accountant services and fees were pre-approved by our audit committee in accordance with the “Pre-Approval Policies and Procedures” described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7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6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Audit Fees (1)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737,969</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853,118</w:t>
            </w:r>
          </w:p>
        </w:tc>
        <w:tc>
          <w:tcPr>
            <w:tcW w:w="0" w:type="dxa"/>
            <w:vAlign w:val="bottom"/>
          </w:tcPr>
          <w:p>
            <w:pPr>
              <w:spacing w:after="0"/>
              <w:rPr>
                <w:sz w:val="1"/>
                <w:szCs w:val="1"/>
                <w:color w:val="auto"/>
              </w:rPr>
            </w:pPr>
          </w:p>
        </w:tc>
      </w:tr>
      <w:tr>
        <w:trPr>
          <w:trHeight w:val="203"/>
        </w:trPr>
        <w:tc>
          <w:tcPr>
            <w:tcW w:w="7080" w:type="dxa"/>
            <w:vAlign w:val="bottom"/>
            <w:gridSpan w:val="3"/>
          </w:tcPr>
          <w:p>
            <w:pPr>
              <w:spacing w:after="0"/>
              <w:rPr>
                <w:sz w:val="20"/>
                <w:szCs w:val="20"/>
                <w:color w:val="auto"/>
              </w:rPr>
            </w:pPr>
            <w:r>
              <w:rPr>
                <w:rFonts w:ascii="Arial" w:cs="Arial" w:eastAsia="Arial" w:hAnsi="Arial"/>
                <w:sz w:val="16"/>
                <w:szCs w:val="16"/>
                <w:color w:val="auto"/>
              </w:rPr>
              <w:t>Audit-Related Fees (2)</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Tax Fees (3)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47,000</w:t>
            </w:r>
          </w:p>
        </w:tc>
        <w:tc>
          <w:tcPr>
            <w:tcW w:w="0" w:type="dxa"/>
            <w:vAlign w:val="bottom"/>
          </w:tcPr>
          <w:p>
            <w:pPr>
              <w:spacing w:after="0"/>
              <w:rPr>
                <w:sz w:val="1"/>
                <w:szCs w:val="1"/>
                <w:color w:val="auto"/>
              </w:rPr>
            </w:pPr>
          </w:p>
        </w:tc>
      </w:tr>
      <w:tr>
        <w:trPr>
          <w:trHeight w:val="203"/>
        </w:trPr>
        <w:tc>
          <w:tcPr>
            <w:tcW w:w="70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All Other Fees (4)</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03"/>
        </w:trPr>
        <w:tc>
          <w:tcPr>
            <w:tcW w:w="70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Total Fees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804,719</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902,113</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20" w:right="260" w:hanging="317"/>
        <w:spacing w:after="0" w:line="160" w:lineRule="exact"/>
        <w:tabs>
          <w:tab w:leader="none" w:pos="3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“Audit Fees” consist of fees for the audit of our annual financial statements, the review of the interim financial statements included in our quarterly reports on Form 10</w:t>
      </w:r>
      <w:r>
        <w:rPr>
          <w:rFonts w:ascii="MS PGothic" w:cs="MS PGothic" w:eastAsia="MS PGothic" w:hAnsi="MS PGothic"/>
          <w:sz w:val="14"/>
          <w:szCs w:val="14"/>
          <w:color w:val="auto"/>
        </w:rPr>
        <w:t>‑</w:t>
      </w:r>
      <w:r>
        <w:rPr>
          <w:rFonts w:ascii="Arial" w:cs="Arial" w:eastAsia="Arial" w:hAnsi="Arial"/>
          <w:sz w:val="14"/>
          <w:szCs w:val="14"/>
          <w:color w:val="auto"/>
        </w:rPr>
        <w:t>Q, our follow-on public offerings, which closed in April 2017 and December 2017, and other professional services provided in connection with regulatory filings or engagements.</w:t>
      </w:r>
    </w:p>
    <w:p>
      <w:pPr>
        <w:spacing w:after="0" w:line="74" w:lineRule="exact"/>
        <w:rPr>
          <w:rFonts w:ascii="Arial" w:cs="Arial" w:eastAsia="Arial" w:hAnsi="Arial"/>
          <w:sz w:val="14"/>
          <w:szCs w:val="14"/>
          <w:color w:val="auto"/>
        </w:rPr>
      </w:pPr>
    </w:p>
    <w:p>
      <w:pPr>
        <w:ind w:left="320" w:right="100" w:hanging="317"/>
        <w:spacing w:after="0" w:line="253" w:lineRule="auto"/>
        <w:tabs>
          <w:tab w:leader="none" w:pos="3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“Audit-Related Fees” consist of fees billed by Ernst &amp; Young LLP for assurance and related services that are reasonably related to the performance of the audit or review of our consolidated financial statements. There were no such fees incurred in 2018 or 2017.</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“Tax Fees” consist of fees for professional services, including tax consulting and compliance performed by Ernst &amp; Young LLP.</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“All Other Fees” consist of database subscription fees paid to Ernst &amp; Young LLP.</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Pre-Approval Policies and Procedures</w:t>
      </w:r>
    </w:p>
    <w:p>
      <w:pPr>
        <w:spacing w:after="0" w:line="131" w:lineRule="exact"/>
        <w:rPr>
          <w:sz w:val="20"/>
          <w:szCs w:val="20"/>
          <w:color w:val="auto"/>
        </w:rPr>
      </w:pPr>
    </w:p>
    <w:p>
      <w:pPr>
        <w:ind w:right="80" w:firstLine="648"/>
        <w:spacing w:after="0" w:line="269" w:lineRule="auto"/>
        <w:rPr>
          <w:sz w:val="20"/>
          <w:szCs w:val="20"/>
          <w:color w:val="auto"/>
        </w:rPr>
      </w:pPr>
      <w:r>
        <w:rPr>
          <w:rFonts w:ascii="Arial" w:cs="Arial" w:eastAsia="Arial" w:hAnsi="Arial"/>
          <w:sz w:val="16"/>
          <w:szCs w:val="16"/>
          <w:color w:val="auto"/>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w:t>
      </w:r>
    </w:p>
    <w:p>
      <w:pPr>
        <w:spacing w:after="0" w:line="83" w:lineRule="exact"/>
        <w:rPr>
          <w:sz w:val="20"/>
          <w:szCs w:val="20"/>
          <w:color w:val="auto"/>
        </w:rPr>
      </w:pPr>
    </w:p>
    <w:p>
      <w:pPr>
        <w:ind w:right="40" w:firstLine="648"/>
        <w:spacing w:after="0" w:line="286" w:lineRule="auto"/>
        <w:rPr>
          <w:sz w:val="20"/>
          <w:szCs w:val="20"/>
          <w:color w:val="auto"/>
        </w:rPr>
      </w:pPr>
      <w:r>
        <w:rPr>
          <w:rFonts w:ascii="Arial" w:cs="Arial" w:eastAsia="Arial" w:hAnsi="Arial"/>
          <w:sz w:val="15"/>
          <w:szCs w:val="15"/>
          <w:color w:val="auto"/>
        </w:rPr>
        <w:t>The standard applied by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of the Board of Directors</w:t>
      </w:r>
    </w:p>
    <w:p>
      <w:pPr>
        <w:spacing w:after="0" w:line="127" w:lineRule="exact"/>
        <w:rPr>
          <w:sz w:val="20"/>
          <w:szCs w:val="20"/>
          <w:color w:val="auto"/>
        </w:rPr>
      </w:pPr>
    </w:p>
    <w:p>
      <w:pPr>
        <w:jc w:val="both"/>
        <w:ind w:right="120" w:firstLine="648"/>
        <w:spacing w:after="0" w:line="281" w:lineRule="auto"/>
        <w:rPr>
          <w:sz w:val="20"/>
          <w:szCs w:val="20"/>
          <w:color w:val="auto"/>
        </w:rPr>
      </w:pPr>
      <w:r>
        <w:rPr>
          <w:rFonts w:ascii="Arial" w:cs="Arial" w:eastAsia="Arial" w:hAnsi="Arial"/>
          <w:sz w:val="16"/>
          <w:szCs w:val="16"/>
          <w:b w:val="1"/>
          <w:bCs w:val="1"/>
          <w:color w:val="auto"/>
        </w:rPr>
        <w:t>OUR BOARD OF DIRECTORS RECOMMENDS THAT STOCKHOLDERS VOTE “</w:t>
      </w:r>
      <w:r>
        <w:rPr>
          <w:rFonts w:ascii="Arial" w:cs="Arial" w:eastAsia="Arial" w:hAnsi="Arial"/>
          <w:sz w:val="16"/>
          <w:szCs w:val="16"/>
          <w:b w:val="1"/>
          <w:bCs w:val="1"/>
          <w:i w:val="1"/>
          <w:iCs w:val="1"/>
          <w:u w:val="single" w:color="auto"/>
          <w:color w:val="auto"/>
        </w:rPr>
        <w:t>FOR</w:t>
      </w:r>
      <w:r>
        <w:rPr>
          <w:rFonts w:ascii="Arial" w:cs="Arial" w:eastAsia="Arial" w:hAnsi="Arial"/>
          <w:sz w:val="16"/>
          <w:szCs w:val="16"/>
          <w:b w:val="1"/>
          <w:bCs w:val="1"/>
          <w:color w:val="auto"/>
        </w:rPr>
        <w:t>” THE RATIFICATION OF THE APPOINTMENT OF ERNST &amp; YOUNG LLP AS OUR INDEPENDENT REGISTERED PUBLIC ACCOUNTING FIRM FOR THE FISCAL YEAR ENDED DECEMBER 31, 2019.</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46" w:name="page47"/>
    <w:bookmarkEnd w:id="46"/>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ind w:right="1860" w:firstLine="1871"/>
        <w:spacing w:after="0" w:line="407" w:lineRule="auto"/>
        <w:rPr>
          <w:sz w:val="20"/>
          <w:szCs w:val="20"/>
          <w:color w:val="auto"/>
        </w:rPr>
      </w:pPr>
      <w:r>
        <w:rPr>
          <w:rFonts w:ascii="Arial" w:cs="Arial" w:eastAsia="Arial" w:hAnsi="Arial"/>
          <w:sz w:val="16"/>
          <w:szCs w:val="16"/>
          <w:b w:val="1"/>
          <w:bCs w:val="1"/>
          <w:color w:val="auto"/>
        </w:rPr>
        <w:t>CERTAIN RELATIONSHIPS AND RELATED PERSON TRANSACTIONS Policies and Procedures for Related Person Transactions</w:t>
      </w:r>
    </w:p>
    <w:p>
      <w:pPr>
        <w:spacing w:after="0" w:line="1" w:lineRule="exact"/>
        <w:rPr>
          <w:sz w:val="20"/>
          <w:szCs w:val="20"/>
          <w:color w:val="auto"/>
        </w:rPr>
      </w:pPr>
    </w:p>
    <w:p>
      <w:pPr>
        <w:ind w:firstLine="648"/>
        <w:spacing w:after="0" w:line="286" w:lineRule="auto"/>
        <w:rPr>
          <w:sz w:val="20"/>
          <w:szCs w:val="20"/>
          <w:color w:val="auto"/>
        </w:rPr>
      </w:pPr>
      <w:r>
        <w:rPr>
          <w:rFonts w:ascii="Arial" w:cs="Arial" w:eastAsia="Arial" w:hAnsi="Arial"/>
          <w:sz w:val="15"/>
          <w:szCs w:val="15"/>
          <w:color w:val="auto"/>
        </w:rPr>
        <w:t>Our board of directors has adopted a written related person transaction policy to set forth policies and procedures for the review and approval or ratification of related person transactions. This policy covers any transaction, arrangement or relationship, or any series of similar transactions, arrangements or relationships, in which we were or are to be a participant and any director or executive officer, director nominee, holder of 5% or more of any class of our voting securities or any member of the immediate family of or entities affiliated with any of the foregoing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Any such transaction must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Person Transactions</w:t>
      </w:r>
    </w:p>
    <w:p>
      <w:pPr>
        <w:spacing w:after="0" w:line="131" w:lineRule="exact"/>
        <w:rPr>
          <w:sz w:val="20"/>
          <w:szCs w:val="20"/>
          <w:color w:val="auto"/>
        </w:rPr>
      </w:pPr>
    </w:p>
    <w:p>
      <w:pPr>
        <w:jc w:val="both"/>
        <w:ind w:right="120" w:firstLine="648"/>
        <w:spacing w:after="0" w:line="278" w:lineRule="auto"/>
        <w:rPr>
          <w:sz w:val="20"/>
          <w:szCs w:val="20"/>
          <w:color w:val="auto"/>
        </w:rPr>
      </w:pPr>
      <w:r>
        <w:rPr>
          <w:rFonts w:ascii="Arial" w:cs="Arial" w:eastAsia="Arial" w:hAnsi="Arial"/>
          <w:sz w:val="16"/>
          <w:szCs w:val="16"/>
          <w:color w:val="auto"/>
        </w:rPr>
        <w:t>Other than the compensation arrangements for our named executive officers and directors, which are described elsewhere in the “Executive Compensation” and “Director Compensation” sections of this proxy statement, set forth below is a description of transactions since January 1, 2018 to which we were or will be a party, and in which:</w:t>
      </w:r>
    </w:p>
    <w:p>
      <w:pPr>
        <w:spacing w:after="0" w:line="76" w:lineRule="exact"/>
        <w:rPr>
          <w:sz w:val="20"/>
          <w:szCs w:val="20"/>
          <w:color w:val="auto"/>
        </w:rPr>
      </w:pPr>
    </w:p>
    <w:p>
      <w:pPr>
        <w:ind w:left="1300" w:hanging="325"/>
        <w:spacing w:after="0"/>
        <w:tabs>
          <w:tab w:leader="none" w:pos="13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amounts involved exceeded or will exceed $120,000; and</w:t>
      </w:r>
    </w:p>
    <w:p>
      <w:pPr>
        <w:spacing w:after="0" w:line="126" w:lineRule="exact"/>
        <w:rPr>
          <w:rFonts w:ascii="Arial" w:cs="Arial" w:eastAsia="Arial" w:hAnsi="Arial"/>
          <w:sz w:val="16"/>
          <w:szCs w:val="16"/>
          <w:color w:val="auto"/>
        </w:rPr>
      </w:pPr>
    </w:p>
    <w:p>
      <w:pPr>
        <w:ind w:left="1300" w:right="180" w:hanging="325"/>
        <w:spacing w:after="0" w:line="278" w:lineRule="auto"/>
        <w:tabs>
          <w:tab w:leader="none" w:pos="13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of our directors, executive officers, nominees for director or holders of more than 5% of our capital stock, or any member of the immediate family of, or person sharing the household with, the foregoing persons, had or will have a direct or indirect material interest.</w:t>
      </w:r>
    </w:p>
    <w:p>
      <w:pPr>
        <w:spacing w:after="0" w:line="76" w:lineRule="exact"/>
        <w:rPr>
          <w:sz w:val="20"/>
          <w:szCs w:val="20"/>
          <w:color w:val="auto"/>
        </w:rPr>
      </w:pPr>
    </w:p>
    <w:p>
      <w:pPr>
        <w:ind w:right="340" w:firstLine="648"/>
        <w:spacing w:after="0" w:line="278" w:lineRule="auto"/>
        <w:rPr>
          <w:sz w:val="20"/>
          <w:szCs w:val="20"/>
          <w:color w:val="auto"/>
        </w:rPr>
      </w:pPr>
      <w:r>
        <w:rPr>
          <w:rFonts w:ascii="Arial" w:cs="Arial" w:eastAsia="Arial" w:hAnsi="Arial"/>
          <w:sz w:val="16"/>
          <w:szCs w:val="16"/>
          <w:color w:val="auto"/>
        </w:rPr>
        <w:t>We believe the terms obtained or consideration that we paid or received, as applicable, in connection with the transactions described below were comparable to terms available or the amounts that would be paid or received, as applicable, from unrelated third parties.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Participation in Follow-On Public Offerings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April 2019</w:t>
      </w:r>
    </w:p>
    <w:p>
      <w:pPr>
        <w:spacing w:after="0" w:line="127" w:lineRule="exact"/>
        <w:rPr>
          <w:sz w:val="20"/>
          <w:szCs w:val="20"/>
          <w:color w:val="auto"/>
        </w:rPr>
      </w:pPr>
    </w:p>
    <w:p>
      <w:pPr>
        <w:ind w:right="20" w:firstLine="648"/>
        <w:spacing w:after="0" w:line="289" w:lineRule="auto"/>
        <w:rPr>
          <w:sz w:val="20"/>
          <w:szCs w:val="20"/>
          <w:color w:val="auto"/>
        </w:rPr>
      </w:pPr>
      <w:r>
        <w:rPr>
          <w:rFonts w:ascii="Arial" w:cs="Arial" w:eastAsia="Arial" w:hAnsi="Arial"/>
          <w:sz w:val="15"/>
          <w:szCs w:val="15"/>
          <w:color w:val="auto"/>
        </w:rPr>
        <w:t>In March 2019, we entered into an underwriting agreement with Goldman, Sachs &amp; Co. and Cowen and Company, LLC, as representatives of the several underwriters, relating to a follow-on underwritten public offering of shares of our common stock. Pursuant to the underwriting agreement, we sold an aggregate of 4,662,162 shares of our common stock to the underwriters, including 608,108 shares of common stock sold by us pursuant to the exercise in full by the underwriters of their option to purchase additional shares in connection with the offering, at a price to the public of $74.00 per share. The offering closed on April 2, 2019. Certain holders of more than 5% of our capital stock (including shares of common stock acquired in the offering) purchased shares of our common stock from the underwriters in the offering at the offering price of the shares to the public.</w:t>
      </w:r>
    </w:p>
    <w:p>
      <w:pPr>
        <w:spacing w:after="0" w:line="7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following table sets forth the number of shares of our common stock purchased and the aggregate cash purchase price paid by each of these stockholders.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Purchaser</w:t>
            </w: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Shares of</w:t>
            </w:r>
          </w:p>
        </w:tc>
        <w:tc>
          <w:tcPr>
            <w:tcW w:w="180" w:type="dxa"/>
            <w:vAlign w:val="bottom"/>
          </w:tcPr>
          <w:p>
            <w:pPr>
              <w:spacing w:after="0"/>
              <w:rPr>
                <w:sz w:val="14"/>
                <w:szCs w:val="14"/>
                <w:color w:val="auto"/>
              </w:rPr>
            </w:pPr>
          </w:p>
        </w:tc>
        <w:tc>
          <w:tcPr>
            <w:tcW w:w="12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6"/>
              </w:rPr>
              <w:t>Purchase Price</w:t>
            </w:r>
          </w:p>
        </w:tc>
        <w:tc>
          <w:tcPr>
            <w:tcW w:w="0" w:type="dxa"/>
            <w:vAlign w:val="bottom"/>
          </w:tcPr>
          <w:p>
            <w:pPr>
              <w:spacing w:after="0"/>
              <w:rPr>
                <w:sz w:val="1"/>
                <w:szCs w:val="1"/>
                <w:color w:val="auto"/>
              </w:rPr>
            </w:pPr>
          </w:p>
        </w:tc>
      </w:tr>
      <w:tr>
        <w:trPr>
          <w:trHeight w:val="171"/>
        </w:trPr>
        <w:tc>
          <w:tcPr>
            <w:tcW w:w="414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Common Stock</w:t>
            </w:r>
          </w:p>
        </w:tc>
        <w:tc>
          <w:tcPr>
            <w:tcW w:w="1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Entities affiliated with FMR LLC</w:t>
            </w:r>
          </w:p>
        </w:tc>
        <w:tc>
          <w:tcPr>
            <w:tcW w:w="1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316,595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23,428,030</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20"/>
                <w:szCs w:val="20"/>
                <w:color w:val="auto"/>
              </w:rPr>
            </w:pPr>
            <w:r>
              <w:rPr>
                <w:rFonts w:ascii="Arial" w:cs="Arial" w:eastAsia="Arial" w:hAnsi="Arial"/>
                <w:sz w:val="16"/>
                <w:szCs w:val="16"/>
                <w:color w:val="auto"/>
              </w:rPr>
              <w:t>Entities affiliated with the Vanguard Group</w:t>
            </w:r>
          </w:p>
        </w:tc>
        <w:tc>
          <w:tcPr>
            <w:tcW w:w="3240" w:type="dxa"/>
            <w:vAlign w:val="bottom"/>
            <w:gridSpan w:val="3"/>
          </w:tcPr>
          <w:p>
            <w:pPr>
              <w:jc w:val="right"/>
              <w:spacing w:after="0"/>
              <w:rPr>
                <w:sz w:val="20"/>
                <w:szCs w:val="20"/>
                <w:color w:val="auto"/>
              </w:rPr>
            </w:pPr>
            <w:r>
              <w:rPr>
                <w:rFonts w:ascii="Arial" w:cs="Arial" w:eastAsia="Arial" w:hAnsi="Arial"/>
                <w:sz w:val="16"/>
                <w:szCs w:val="16"/>
                <w:color w:val="auto"/>
              </w:rPr>
              <w:t>225,000</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16,650,000</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T. Rowe Price Associates, Inc.</w:t>
            </w:r>
          </w:p>
        </w:tc>
        <w:tc>
          <w:tcPr>
            <w:tcW w:w="3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86,004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6,364,296</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Entities affiliated with Wellington Management Group LLP</w:t>
            </w:r>
          </w:p>
        </w:tc>
        <w:tc>
          <w:tcPr>
            <w:tcW w:w="3240" w:type="dxa"/>
            <w:vAlign w:val="bottom"/>
            <w:gridSpan w:val="3"/>
          </w:tcPr>
          <w:p>
            <w:pPr>
              <w:jc w:val="right"/>
              <w:spacing w:after="0"/>
              <w:rPr>
                <w:sz w:val="20"/>
                <w:szCs w:val="20"/>
                <w:color w:val="auto"/>
              </w:rPr>
            </w:pPr>
            <w:r>
              <w:rPr>
                <w:rFonts w:ascii="Arial" w:cs="Arial" w:eastAsia="Arial" w:hAnsi="Arial"/>
                <w:sz w:val="16"/>
                <w:szCs w:val="16"/>
                <w:color w:val="auto"/>
              </w:rPr>
              <w:t>5,614</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415,436</w:t>
            </w:r>
          </w:p>
        </w:tc>
        <w:tc>
          <w:tcPr>
            <w:tcW w:w="0" w:type="dxa"/>
            <w:vAlign w:val="bottom"/>
          </w:tcPr>
          <w:p>
            <w:pPr>
              <w:spacing w:after="0"/>
              <w:rPr>
                <w:sz w:val="1"/>
                <w:szCs w:val="1"/>
                <w:color w:val="auto"/>
              </w:rPr>
            </w:pPr>
          </w:p>
        </w:tc>
      </w:tr>
      <w:tr>
        <w:trPr>
          <w:trHeight w:val="638"/>
        </w:trPr>
        <w:tc>
          <w:tcPr>
            <w:tcW w:w="4140" w:type="dxa"/>
            <w:vAlign w:val="bottom"/>
          </w:tcPr>
          <w:p>
            <w:pPr>
              <w:spacing w:after="0"/>
              <w:rPr>
                <w:sz w:val="24"/>
                <w:szCs w:val="24"/>
                <w:color w:val="auto"/>
              </w:rPr>
            </w:pPr>
          </w:p>
        </w:tc>
        <w:tc>
          <w:tcPr>
            <w:tcW w:w="1680" w:type="dxa"/>
            <w:vAlign w:val="bottom"/>
          </w:tcPr>
          <w:p>
            <w:pPr>
              <w:jc w:val="right"/>
              <w:ind w:right="1079"/>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1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30" w:right="1419" w:bottom="1440" w:gutter="0" w:footer="0" w:header="0"/>
        </w:sectPr>
      </w:pPr>
    </w:p>
    <w:bookmarkStart w:id="47" w:name="page48"/>
    <w:bookmarkEnd w:id="47"/>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p>
      <w:pPr>
        <w:ind w:right="3020" w:firstLine="3021"/>
        <w:spacing w:after="0" w:line="407" w:lineRule="auto"/>
        <w:rPr>
          <w:sz w:val="20"/>
          <w:szCs w:val="20"/>
          <w:color w:val="auto"/>
        </w:rPr>
      </w:pPr>
      <w:r>
        <w:rPr>
          <w:rFonts w:ascii="Arial" w:cs="Arial" w:eastAsia="Arial" w:hAnsi="Arial"/>
          <w:sz w:val="16"/>
          <w:szCs w:val="16"/>
          <w:b w:val="1"/>
          <w:bCs w:val="1"/>
          <w:color w:val="auto"/>
        </w:rPr>
        <w:t>STOCK OWNERSHIP AND REPORTING Security Ownership of Certain Beneficial Owners and Management</w:t>
      </w:r>
    </w:p>
    <w:p>
      <w:pPr>
        <w:spacing w:after="0" w:line="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Unless otherwise provided below, the following table sets forth information regarding beneficial ownership of our common stock as of March 31, 2019 by:</w:t>
      </w:r>
    </w:p>
    <w:p>
      <w:pPr>
        <w:spacing w:after="0" w:line="64" w:lineRule="exact"/>
        <w:rPr>
          <w:sz w:val="20"/>
          <w:szCs w:val="20"/>
          <w:color w:val="auto"/>
        </w:rPr>
      </w:pPr>
    </w:p>
    <w:p>
      <w:pPr>
        <w:ind w:left="1300" w:right="240" w:hanging="325"/>
        <w:spacing w:after="0" w:line="293" w:lineRule="auto"/>
        <w:tabs>
          <w:tab w:leader="none" w:pos="13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each person, or group of affiliated persons, known to us to be the beneficial owner of 5% or more of the outstanding shares of our common stock;</w:t>
      </w:r>
    </w:p>
    <w:p>
      <w:pPr>
        <w:spacing w:after="0" w:line="63" w:lineRule="exact"/>
        <w:rPr>
          <w:rFonts w:ascii="Arial" w:cs="Arial" w:eastAsia="Arial" w:hAnsi="Arial"/>
          <w:sz w:val="16"/>
          <w:szCs w:val="16"/>
          <w:color w:val="auto"/>
        </w:rPr>
      </w:pPr>
    </w:p>
    <w:p>
      <w:pPr>
        <w:ind w:left="1300" w:hanging="325"/>
        <w:spacing w:after="0"/>
        <w:tabs>
          <w:tab w:leader="none" w:pos="13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each of our current directors;</w:t>
      </w:r>
    </w:p>
    <w:p>
      <w:pPr>
        <w:spacing w:after="0" w:line="126" w:lineRule="exact"/>
        <w:rPr>
          <w:rFonts w:ascii="Arial" w:cs="Arial" w:eastAsia="Arial" w:hAnsi="Arial"/>
          <w:sz w:val="16"/>
          <w:szCs w:val="16"/>
          <w:color w:val="auto"/>
        </w:rPr>
      </w:pPr>
    </w:p>
    <w:p>
      <w:pPr>
        <w:ind w:left="1300" w:right="240" w:hanging="325"/>
        <w:spacing w:after="0" w:line="278" w:lineRule="auto"/>
        <w:tabs>
          <w:tab w:leader="none" w:pos="13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our principal executive officer and our two other executive officers who served during the year ended December 31, 2018 named in the Summary Compensation table above, whom we collectively refer to as our named executive officers; and</w:t>
      </w:r>
    </w:p>
    <w:p>
      <w:pPr>
        <w:spacing w:after="0" w:line="76" w:lineRule="exact"/>
        <w:rPr>
          <w:rFonts w:ascii="Arial" w:cs="Arial" w:eastAsia="Arial" w:hAnsi="Arial"/>
          <w:sz w:val="16"/>
          <w:szCs w:val="16"/>
          <w:color w:val="auto"/>
        </w:rPr>
      </w:pPr>
    </w:p>
    <w:p>
      <w:pPr>
        <w:ind w:left="1300" w:hanging="325"/>
        <w:spacing w:after="0"/>
        <w:tabs>
          <w:tab w:leader="none" w:pos="13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127" w:lineRule="exact"/>
        <w:rPr>
          <w:sz w:val="20"/>
          <w:szCs w:val="20"/>
          <w:color w:val="auto"/>
        </w:rPr>
      </w:pPr>
    </w:p>
    <w:p>
      <w:pPr>
        <w:ind w:right="100" w:firstLine="648"/>
        <w:spacing w:after="0" w:line="268"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our common stock. Shares of our common stock subject to stock options that are currently exercisable or will become exercisable within 60 days after March 31, 2019 or RSUs vesting within 60 days after March 31, 2019 are considered outstanding and beneficially owned by the person holding the stock options for the purpose of calculating the percentage ownership of that person, but not for the purpose of calculating the percentage ownership of any other person. Except as otherwise noted, to our knowledge, the persons and entities in this table have sole voting and investing power with respect to all of the shares of our common stock beneficially owned by them, subject to applicable community property laws. The inclusion herein of any shares as beneficially owned does not constitute an admission of beneficial ownership.</w:t>
      </w:r>
    </w:p>
    <w:p>
      <w:pPr>
        <w:spacing w:after="0" w:line="8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6"/>
          <w:szCs w:val="16"/>
          <w:color w:val="auto"/>
        </w:rPr>
        <w:t>The column entitled “Percentage of Shares Beneficially Owned” is based on a total of 44,171,465 shares of our common stock outstanding as of March 31, 2019. Except as otherwise set forth below, the address of the beneficial owner is c/o Blueprint Medicines Corporation, 45 Sidney Street, Cambridge, Massachusetts 02139. Beneficial ownership representing less than one percent of our outstanding common stock is denoted with an “*.”</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shares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beneficially</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00" w:type="dxa"/>
            <w:vAlign w:val="bottom"/>
            <w:gridSpan w:val="3"/>
            <w:vMerge w:val="continue"/>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owned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owned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5% stockholders</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tcPr>
          <w:p>
            <w:pPr>
              <w:spacing w:after="0"/>
              <w:rPr>
                <w:sz w:val="20"/>
                <w:szCs w:val="20"/>
                <w:color w:val="auto"/>
              </w:rPr>
            </w:pPr>
            <w:r>
              <w:rPr>
                <w:rFonts w:ascii="Arial" w:cs="Arial" w:eastAsia="Arial" w:hAnsi="Arial"/>
                <w:sz w:val="16"/>
                <w:szCs w:val="16"/>
                <w:color w:val="auto"/>
              </w:rPr>
              <w:t>Entities affiliated with FMR LLC (1)</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w w:val="98"/>
              </w:rPr>
              <w:t>6,592,556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 the Vanguard Group (2)</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8"/>
              </w:rPr>
              <w:t>3,817,962</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7100" w:type="dxa"/>
            <w:vAlign w:val="bottom"/>
            <w:gridSpan w:val="3"/>
          </w:tcPr>
          <w:p>
            <w:pPr>
              <w:spacing w:after="0"/>
              <w:rPr>
                <w:sz w:val="20"/>
                <w:szCs w:val="20"/>
                <w:color w:val="auto"/>
              </w:rPr>
            </w:pPr>
            <w:r>
              <w:rPr>
                <w:rFonts w:ascii="Arial" w:cs="Arial" w:eastAsia="Arial" w:hAnsi="Arial"/>
                <w:sz w:val="16"/>
                <w:szCs w:val="16"/>
                <w:color w:val="auto"/>
              </w:rPr>
              <w:t>Entities affiliated with BlackRock, Inc. (3)</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w w:val="98"/>
              </w:rPr>
              <w:t>3,445,991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 Rowe Price Associates, Inc. (4)</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8"/>
              </w:rPr>
              <w:t>3,022,107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7100" w:type="dxa"/>
            <w:vAlign w:val="bottom"/>
            <w:gridSpan w:val="3"/>
          </w:tcPr>
          <w:p>
            <w:pPr>
              <w:spacing w:after="0"/>
              <w:rPr>
                <w:sz w:val="20"/>
                <w:szCs w:val="20"/>
                <w:color w:val="auto"/>
              </w:rPr>
            </w:pPr>
            <w:r>
              <w:rPr>
                <w:rFonts w:ascii="Arial" w:cs="Arial" w:eastAsia="Arial" w:hAnsi="Arial"/>
                <w:sz w:val="16"/>
                <w:szCs w:val="16"/>
                <w:color w:val="auto"/>
              </w:rPr>
              <w:t>Entities affiliated with Wellington Management Group LLP (5)</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w w:val="98"/>
              </w:rPr>
              <w:t>2,632,040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5.96</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i w:val="1"/>
                <w:iCs w:val="1"/>
                <w:color w:val="auto"/>
              </w:rPr>
              <w:t>Named executive officers and directors</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tcPr>
          <w:p>
            <w:pPr>
              <w:spacing w:after="0"/>
              <w:rPr>
                <w:sz w:val="20"/>
                <w:szCs w:val="20"/>
                <w:color w:val="auto"/>
              </w:rPr>
            </w:pPr>
            <w:r>
              <w:rPr>
                <w:rFonts w:ascii="Arial" w:cs="Arial" w:eastAsia="Arial" w:hAnsi="Arial"/>
                <w:sz w:val="16"/>
                <w:szCs w:val="16"/>
                <w:color w:val="auto"/>
              </w:rPr>
              <w:t>Jeffrey W. Albers (6)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682,136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Anthony L. Boral, M.D., Ph.D. (7)</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155,625</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tcPr>
          <w:p>
            <w:pPr>
              <w:spacing w:after="0"/>
              <w:rPr>
                <w:sz w:val="20"/>
                <w:szCs w:val="20"/>
                <w:color w:val="auto"/>
              </w:rPr>
            </w:pPr>
            <w:r>
              <w:rPr>
                <w:rFonts w:ascii="Arial" w:cs="Arial" w:eastAsia="Arial" w:hAnsi="Arial"/>
                <w:sz w:val="16"/>
                <w:szCs w:val="16"/>
                <w:color w:val="auto"/>
              </w:rPr>
              <w:t>Alexis Borisy (8)</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75,067</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Lonnel Coats (9)</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43,636</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tcPr>
          <w:p>
            <w:pPr>
              <w:spacing w:after="0"/>
              <w:rPr>
                <w:sz w:val="20"/>
                <w:szCs w:val="20"/>
                <w:color w:val="auto"/>
              </w:rPr>
            </w:pPr>
            <w:r>
              <w:rPr>
                <w:rFonts w:ascii="Arial" w:cs="Arial" w:eastAsia="Arial" w:hAnsi="Arial"/>
                <w:sz w:val="16"/>
                <w:szCs w:val="16"/>
                <w:color w:val="auto"/>
              </w:rPr>
              <w:t>George D. Demetri. M.D. (10)</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63,710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Mark Goldberg, M.D. (11)</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43,636</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tcPr>
          <w:p>
            <w:pPr>
              <w:spacing w:after="0"/>
              <w:rPr>
                <w:sz w:val="20"/>
                <w:szCs w:val="20"/>
                <w:color w:val="auto"/>
              </w:rPr>
            </w:pPr>
            <w:r>
              <w:rPr>
                <w:rFonts w:ascii="Arial" w:cs="Arial" w:eastAsia="Arial" w:hAnsi="Arial"/>
                <w:sz w:val="16"/>
                <w:szCs w:val="16"/>
                <w:color w:val="auto"/>
              </w:rPr>
              <w:t>Michael Landsittel (12)</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56,493</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Nicholas Lydon, Ph.D. (13)</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199,545</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tcPr>
          <w:p>
            <w:pPr>
              <w:spacing w:after="0"/>
              <w:rPr>
                <w:sz w:val="20"/>
                <w:szCs w:val="20"/>
                <w:color w:val="auto"/>
              </w:rPr>
            </w:pPr>
            <w:r>
              <w:rPr>
                <w:rFonts w:ascii="Arial" w:cs="Arial" w:eastAsia="Arial" w:hAnsi="Arial"/>
                <w:sz w:val="16"/>
                <w:szCs w:val="16"/>
                <w:color w:val="auto"/>
              </w:rPr>
              <w:t>Daniel S. Lynch (14)</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196,160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Tracey L. McCain, Esq. (15)</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72,910</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tcPr>
          <w:p>
            <w:pPr>
              <w:spacing w:after="0"/>
              <w:rPr>
                <w:sz w:val="20"/>
                <w:szCs w:val="20"/>
                <w:color w:val="auto"/>
              </w:rPr>
            </w:pPr>
            <w:r>
              <w:rPr>
                <w:rFonts w:ascii="Arial" w:cs="Arial" w:eastAsia="Arial" w:hAnsi="Arial"/>
                <w:sz w:val="16"/>
                <w:szCs w:val="16"/>
                <w:color w:val="auto"/>
              </w:rPr>
              <w:t>Charles A. Rowland, Jr. (16)</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43,636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Christina Rossi (17)</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270</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tcPr>
          <w:p>
            <w:pPr>
              <w:spacing w:after="0"/>
              <w:rPr>
                <w:sz w:val="20"/>
                <w:szCs w:val="20"/>
                <w:color w:val="auto"/>
              </w:rPr>
            </w:pPr>
            <w:r>
              <w:rPr>
                <w:rFonts w:ascii="Arial" w:cs="Arial" w:eastAsia="Arial" w:hAnsi="Arial"/>
                <w:sz w:val="16"/>
                <w:szCs w:val="16"/>
                <w:color w:val="auto"/>
              </w:rPr>
              <w:t>Lynn Seely, M.D. (18)</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43,636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All executive officers and directors as a group (17 persons) (19)</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8"/>
              </w:rPr>
              <w:t>1,833,700</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0" w:hanging="333"/>
        <w:spacing w:after="0" w:line="247" w:lineRule="auto"/>
        <w:tabs>
          <w:tab w:leader="none" w:pos="6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Based solely on a Schedule 13G/A filed with the SEC on February 13, 2018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48" w:name="page49"/>
    <w:bookmarkEnd w:id="48"/>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0" w:lineRule="exact"/>
        <w:rPr>
          <w:sz w:val="20"/>
          <w:szCs w:val="20"/>
          <w:color w:val="auto"/>
        </w:rPr>
      </w:pPr>
    </w:p>
    <w:p>
      <w:pPr>
        <w:ind w:left="660" w:right="39"/>
        <w:spacing w:after="0" w:line="256" w:lineRule="auto"/>
        <w:rPr>
          <w:sz w:val="20"/>
          <w:szCs w:val="20"/>
          <w:color w:val="auto"/>
        </w:rPr>
      </w:pPr>
      <w:r>
        <w:rPr>
          <w:rFonts w:ascii="Arial" w:cs="Arial" w:eastAsia="Arial" w:hAnsi="Arial"/>
          <w:sz w:val="13"/>
          <w:szCs w:val="13"/>
          <w:color w:val="auto"/>
        </w:rPr>
        <w:t>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The address of FMR LLC is 245 Summer Street, Boston, MA 02210.</w:t>
      </w:r>
    </w:p>
    <w:p>
      <w:pPr>
        <w:spacing w:after="0" w:line="64" w:lineRule="exact"/>
        <w:rPr>
          <w:sz w:val="20"/>
          <w:szCs w:val="20"/>
          <w:color w:val="auto"/>
        </w:rPr>
      </w:pPr>
    </w:p>
    <w:p>
      <w:pPr>
        <w:ind w:left="660" w:right="21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February 11, 2019 by entities affiliated with the Vanguard Group (“Vanguard”). The address for Vanguard is 100 Vanguard Blvd., Malvern, PA 19355.</w:t>
      </w:r>
    </w:p>
    <w:p>
      <w:pPr>
        <w:spacing w:after="0" w:line="65" w:lineRule="exact"/>
        <w:rPr>
          <w:rFonts w:ascii="Arial" w:cs="Arial" w:eastAsia="Arial" w:hAnsi="Arial"/>
          <w:sz w:val="14"/>
          <w:szCs w:val="14"/>
          <w:color w:val="auto"/>
        </w:rPr>
      </w:pPr>
    </w:p>
    <w:p>
      <w:pPr>
        <w:ind w:left="660" w:right="11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February 4, 2019 by BlackRock Inc. (“BlackRock”). The address for BlackRock is 55 East 52nd Street, New York, NY 10055.</w:t>
      </w:r>
    </w:p>
    <w:p>
      <w:pPr>
        <w:spacing w:after="0" w:line="65" w:lineRule="exact"/>
        <w:rPr>
          <w:rFonts w:ascii="Arial" w:cs="Arial" w:eastAsia="Arial" w:hAnsi="Arial"/>
          <w:sz w:val="14"/>
          <w:szCs w:val="14"/>
          <w:color w:val="auto"/>
        </w:rPr>
      </w:pPr>
    </w:p>
    <w:p>
      <w:pPr>
        <w:ind w:left="660" w:right="13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February 14, 2019 by T. Rowe Price Associates, Inc. (“T Rowe Price”). The address for T Rowe Price is 100 E. Pratt Street, Baltimore, MD 21202.</w:t>
      </w:r>
    </w:p>
    <w:p>
      <w:pPr>
        <w:spacing w:after="0" w:line="65" w:lineRule="exact"/>
        <w:rPr>
          <w:rFonts w:ascii="Arial" w:cs="Arial" w:eastAsia="Arial" w:hAnsi="Arial"/>
          <w:sz w:val="14"/>
          <w:szCs w:val="14"/>
          <w:color w:val="auto"/>
        </w:rPr>
      </w:pPr>
    </w:p>
    <w:p>
      <w:pPr>
        <w:ind w:left="660" w:right="39" w:hanging="333"/>
        <w:spacing w:after="0" w:line="227"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February 12, 2019 by Wellington Management Group LLP (“Wellington”). Wellington is the parent holding company of certain holding companies, and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(collectively,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address for Wellington is c/o Wellington Management Company LLP, 280 Congress Street, Boston, MA 02210.</w:t>
      </w:r>
    </w:p>
    <w:p>
      <w:pPr>
        <w:spacing w:after="0" w:line="74" w:lineRule="exact"/>
        <w:rPr>
          <w:rFonts w:ascii="Arial" w:cs="Arial" w:eastAsia="Arial" w:hAnsi="Arial"/>
          <w:sz w:val="14"/>
          <w:szCs w:val="14"/>
          <w:color w:val="auto"/>
        </w:rPr>
      </w:pPr>
    </w:p>
    <w:p>
      <w:pPr>
        <w:ind w:left="660" w:right="7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28,961 shares of common stock and (ii) 653,175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25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155,625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15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53,249 shares of common stock and (ii) 21,818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33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43,636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21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6,439 shares of common stock and (ii) 57,271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33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43,636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33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56,493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7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177,727 shares of common stock and (ii) 28,818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7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174,342 shares of common stock and (ii) 28,818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33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72,910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33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43,636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3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270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33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43,636 options to purchase shares of common stock that are exercisable as of March 31, 2019 or will become exercisable within 60 days after such date.</w:t>
      </w:r>
    </w:p>
    <w:p>
      <w:pPr>
        <w:spacing w:after="0" w:line="65" w:lineRule="exact"/>
        <w:rPr>
          <w:rFonts w:ascii="Arial" w:cs="Arial" w:eastAsia="Arial" w:hAnsi="Arial"/>
          <w:sz w:val="14"/>
          <w:szCs w:val="14"/>
          <w:color w:val="auto"/>
        </w:rPr>
      </w:pPr>
    </w:p>
    <w:p>
      <w:pPr>
        <w:ind w:left="660" w:right="119" w:hanging="333"/>
        <w:spacing w:after="0" w:line="25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446,592 shares of common stock and (ii) 1,387,108 options to purchase shares of common stock that are exercisable as of March 31, 2019 or will become exercisable within 60 days after such date.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131" w:lineRule="exact"/>
        <w:rPr>
          <w:sz w:val="20"/>
          <w:szCs w:val="20"/>
          <w:color w:val="auto"/>
        </w:rPr>
      </w:pPr>
    </w:p>
    <w:p>
      <w:pPr>
        <w:ind w:right="79" w:firstLine="648"/>
        <w:spacing w:after="0" w:line="297" w:lineRule="auto"/>
        <w:rPr>
          <w:sz w:val="20"/>
          <w:szCs w:val="20"/>
          <w:color w:val="auto"/>
        </w:rPr>
      </w:pPr>
      <w:r>
        <w:rPr>
          <w:rFonts w:ascii="Arial" w:cs="Arial" w:eastAsia="Arial" w:hAnsi="Arial"/>
          <w:sz w:val="15"/>
          <w:szCs w:val="15"/>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0" w:right="1440" w:bottom="1440" w:gutter="0" w:footer="0" w:header="0"/>
        </w:sectPr>
      </w:pPr>
    </w:p>
    <w:bookmarkStart w:id="49" w:name="page50"/>
    <w:bookmarkEnd w:id="49"/>
    <w:p>
      <w:pPr>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and representations made by our directors and officers regarding their filing obligations, all Section 16(a) filing requirements were satisfied with respect to 2018.</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Stockholder Proposals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 Included in Proxy Statement</w:t>
      </w:r>
    </w:p>
    <w:p>
      <w:pPr>
        <w:spacing w:after="0" w:line="131" w:lineRule="exact"/>
        <w:rPr>
          <w:sz w:val="20"/>
          <w:szCs w:val="20"/>
          <w:color w:val="auto"/>
        </w:rPr>
      </w:pPr>
    </w:p>
    <w:p>
      <w:pPr>
        <w:ind w:right="20" w:firstLine="648"/>
        <w:spacing w:after="0" w:line="291" w:lineRule="auto"/>
        <w:rPr>
          <w:sz w:val="20"/>
          <w:szCs w:val="20"/>
          <w:color w:val="auto"/>
        </w:rPr>
      </w:pPr>
      <w:r>
        <w:rPr>
          <w:rFonts w:ascii="Arial" w:cs="Arial" w:eastAsia="Arial" w:hAnsi="Arial"/>
          <w:sz w:val="15"/>
          <w:szCs w:val="15"/>
          <w:color w:val="auto"/>
        </w:rPr>
        <w:t>In order to be considered for inclusion in our proxy statement and proxy card relating to our annual meeting of stockholders to be held in 2020, stockholder proposals must be received by us no later than December 31, 2019, which is 120 days prior to the first anniversary of the mailing date of this proxy, unless the date of the 2020 annual meeting of stockholders is changed by more than 30 days from the anniversary of our 2019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 Not Included in Proxy Statement</w:t>
      </w:r>
    </w:p>
    <w:p>
      <w:pPr>
        <w:spacing w:after="0" w:line="131" w:lineRule="exact"/>
        <w:rPr>
          <w:sz w:val="20"/>
          <w:szCs w:val="20"/>
          <w:color w:val="auto"/>
        </w:rPr>
      </w:pPr>
    </w:p>
    <w:p>
      <w:pPr>
        <w:ind w:firstLine="648"/>
        <w:spacing w:after="0" w:line="302" w:lineRule="auto"/>
        <w:rPr>
          <w:sz w:val="20"/>
          <w:szCs w:val="20"/>
          <w:color w:val="auto"/>
        </w:rPr>
      </w:pPr>
      <w:r>
        <w:rPr>
          <w:rFonts w:ascii="Arial" w:cs="Arial" w:eastAsia="Arial" w:hAnsi="Arial"/>
          <w:sz w:val="14"/>
          <w:szCs w:val="14"/>
          <w:color w:val="auto"/>
        </w:rPr>
        <w:t>In addition, our amended and restated bylaws, or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2020 annual meeting of stockholders but not included in the proxy statement by March 20, 2020, but not before February 19, 2020, which is not less than 90 days nor more than 120 days prior to the anniversary date of the immediately preceding annual meeting. However, if the date of the annual meeting is more than 30 days before or more than 60 days after such anniversary date, notice must be received not earlier than the close of business 120 calendar days prior to such annual meeting and no later than the close of business on the later of</w:t>
      </w:r>
    </w:p>
    <w:p>
      <w:pPr>
        <w:spacing w:after="0" w:line="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of directors for the 2020 annual meeting of stockholders may exercise discretionary voting power regarding any such proposal. Stockholders are advised to review our bylaws which also specify requirements as to the form and content of a stockholder’s notice.</w:t>
      </w:r>
    </w:p>
    <w:p>
      <w:pPr>
        <w:spacing w:after="0" w:line="82" w:lineRule="exact"/>
        <w:rPr>
          <w:sz w:val="20"/>
          <w:szCs w:val="20"/>
          <w:color w:val="auto"/>
        </w:rPr>
      </w:pPr>
    </w:p>
    <w:p>
      <w:pPr>
        <w:ind w:right="280" w:firstLine="648"/>
        <w:spacing w:after="0" w:line="329" w:lineRule="auto"/>
        <w:rPr>
          <w:sz w:val="20"/>
          <w:szCs w:val="20"/>
          <w:color w:val="auto"/>
        </w:rPr>
      </w:pPr>
      <w:r>
        <w:rPr>
          <w:rFonts w:ascii="Arial" w:cs="Arial" w:eastAsia="Arial" w:hAnsi="Arial"/>
          <w:sz w:val="15"/>
          <w:szCs w:val="15"/>
          <w:color w:val="auto"/>
        </w:rPr>
        <w:t>Any proposals, notices or information about proposed director candidates should be sent to Blueprint Medicines Corporation, Attention: Nominating and Corporate Governance Committee, 45 Sidney Street, Cambridge, Massachusetts 02139.</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STOCKHOLDERS SHARING THE SAME ADDRESS</w:t>
      </w:r>
    </w:p>
    <w:p>
      <w:pPr>
        <w:spacing w:after="0" w:line="131" w:lineRule="exact"/>
        <w:rPr>
          <w:sz w:val="20"/>
          <w:szCs w:val="20"/>
          <w:color w:val="auto"/>
        </w:rPr>
      </w:pPr>
    </w:p>
    <w:p>
      <w:pPr>
        <w:ind w:firstLine="648"/>
        <w:spacing w:after="0" w:line="203" w:lineRule="exact"/>
        <w:rPr>
          <w:sz w:val="20"/>
          <w:szCs w:val="20"/>
          <w:color w:val="auto"/>
        </w:rPr>
      </w:pPr>
      <w:r>
        <w:rPr>
          <w:rFonts w:ascii="Arial" w:cs="Arial" w:eastAsia="Arial" w:hAnsi="Arial"/>
          <w:sz w:val="14"/>
          <w:szCs w:val="14"/>
          <w:color w:val="auto"/>
        </w:rPr>
        <w:t>Some banks, brokerage firms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2018 annual report to stockholders, which consists of our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for the fiscal year ended December 31, 2018, to you if you contact us at Blueprint Medicines Corporation, 45 Sidney Street, Cambridge, Massachusetts 02139, Attn: Investor Relations, telephone: (617) 714</w:t>
      </w:r>
      <w:r>
        <w:rPr>
          <w:rFonts w:ascii="MS PGothic" w:cs="MS PGothic" w:eastAsia="MS PGothic" w:hAnsi="MS PGothic"/>
          <w:sz w:val="14"/>
          <w:szCs w:val="14"/>
          <w:color w:val="auto"/>
        </w:rPr>
        <w:t>‑</w:t>
      </w:r>
      <w:r>
        <w:rPr>
          <w:rFonts w:ascii="Arial" w:cs="Arial" w:eastAsia="Arial" w:hAnsi="Arial"/>
          <w:sz w:val="14"/>
          <w:szCs w:val="14"/>
          <w:color w:val="auto"/>
        </w:rPr>
        <w:t>6674, e-mail: ir@blueprintmedicines.com.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telephone number or e-mail.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OTHER MATTERS</w:t>
      </w:r>
    </w:p>
    <w:p>
      <w:pPr>
        <w:spacing w:after="0" w:line="123" w:lineRule="exact"/>
        <w:rPr>
          <w:sz w:val="20"/>
          <w:szCs w:val="20"/>
          <w:color w:val="auto"/>
        </w:rPr>
      </w:pPr>
    </w:p>
    <w:p>
      <w:pPr>
        <w:ind w:right="40" w:firstLine="648"/>
        <w:spacing w:after="0" w:line="273" w:lineRule="auto"/>
        <w:rPr>
          <w:sz w:val="20"/>
          <w:szCs w:val="20"/>
          <w:color w:val="auto"/>
        </w:rPr>
      </w:pPr>
      <w:r>
        <w:rPr>
          <w:rFonts w:ascii="Arial" w:cs="Arial" w:eastAsia="Arial" w:hAnsi="Arial"/>
          <w:sz w:val="16"/>
          <w:szCs w:val="16"/>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50" w:name="page51"/>
    <w:bookmarkEnd w:id="50"/>
    <w:p>
      <w:pPr>
        <w:spacing w:after="0"/>
        <w:rPr>
          <w:rFonts w:ascii="Arial" w:cs="Arial" w:eastAsia="Arial" w:hAnsi="Arial"/>
          <w:sz w:val="14"/>
          <w:szCs w:val="14"/>
          <w:u w:val="single" w:color="auto"/>
          <w:color w:val="0563C1"/>
        </w:rPr>
      </w:pPr>
      <w:hyperlink w:anchor="page3">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444500</wp:posOffset>
            </wp:positionV>
            <wp:extent cx="6388735" cy="79667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8735" cy="7966710"/>
                    </a:xfrm>
                    <a:prstGeom prst="rect">
                      <a:avLst/>
                    </a:prstGeom>
                    <a:noFill/>
                  </pic:spPr>
                </pic:pic>
              </a:graphicData>
            </a:graphic>
          </wp:anchor>
        </w:drawing>
      </w:r>
    </w:p>
    <w:p>
      <w:pPr>
        <w:sectPr>
          <w:pgSz w:w="11900" w:h="16838" w:orient="portrait"/>
          <w:cols w:equalWidth="0" w:num="1">
            <w:col w:w="9539"/>
          </w:cols>
          <w:pgMar w:left="920" w:top="130" w:right="1440" w:bottom="1440" w:gutter="0" w:footer="0" w:header="0"/>
        </w:sectPr>
      </w:pPr>
    </w:p>
    <w:bookmarkStart w:id="51" w:name="page52"/>
    <w:bookmarkEnd w:id="51"/>
    <w:p>
      <w:pPr>
        <w:spacing w:after="0"/>
        <w:rPr>
          <w:rFonts w:ascii="Arial" w:cs="Arial" w:eastAsia="Arial" w:hAnsi="Arial"/>
          <w:sz w:val="14"/>
          <w:szCs w:val="14"/>
          <w:u w:val="single" w:color="auto"/>
          <w:color w:val="0563C1"/>
        </w:rPr>
      </w:pPr>
      <w:hyperlink w:anchor="page3">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375920</wp:posOffset>
            </wp:positionV>
            <wp:extent cx="6388735" cy="8044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8735" cy="8044180"/>
                    </a:xfrm>
                    <a:prstGeom prst="rect">
                      <a:avLst/>
                    </a:prstGeom>
                    <a:noFill/>
                  </pic:spPr>
                </pic:pic>
              </a:graphicData>
            </a:graphic>
          </wp:anchor>
        </w:drawing>
      </w:r>
    </w:p>
    <w:sectPr>
      <w:pgSz w:w="11900" w:h="16838" w:orient="portrait"/>
      <w:cols w:equalWidth="0" w:num="1">
        <w:col w:w="9539"/>
      </w:cols>
      <w:pgMar w:left="920" w:top="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lvl w:ilvl="1">
      <w:lvlJc w:val="left"/>
      <w:lvlText w:val="(%2)"/>
      <w:numFmt w:val="decimal"/>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1)"/>
      <w:numFmt w:val="decimal"/>
      <w:start w:val="617"/>
    </w:lvl>
  </w:abstractNum>
  <w:abstractNum w:abstractNumId="7">
    <w:nsid w:val="32FFF902"/>
    <w:multiLevelType w:val="hybridMultilevel"/>
    <w:lvl w:ilvl="0">
      <w:lvlJc w:val="left"/>
      <w:lvlText w:val="%1."/>
      <w:numFmt w:val="upperLetter"/>
      <w:start w:val="17"/>
    </w:lvl>
    <w:lvl w:ilvl="1">
      <w:lvlJc w:val="left"/>
      <w:lvlText w:val="%2"/>
      <w:numFmt w:val="decimal"/>
      <w:start w:val="1"/>
    </w:lvl>
  </w:abstractNum>
  <w:abstractNum w:abstractNumId="8">
    <w:nsid w:val="684A481A"/>
    <w:multiLevelType w:val="hybridMultilevel"/>
    <w:lvl w:ilvl="0">
      <w:lvlJc w:val="left"/>
      <w:lvlText w:val="%1."/>
      <w:numFmt w:val="upperLetter"/>
      <w:start w:val="1"/>
    </w:lvl>
    <w:lvl w:ilvl="1">
      <w:lvlJc w:val="left"/>
      <w:lvlText w:val="%2"/>
      <w:numFmt w:val="decimal"/>
      <w:start w:val="1"/>
    </w:lvl>
  </w:abstractNum>
  <w:abstractNum w:abstractNumId="9">
    <w:nsid w:val="579478FE"/>
    <w:multiLevelType w:val="hybridMultilevel"/>
    <w:lvl w:ilvl="0">
      <w:lvlJc w:val="left"/>
      <w:lvlText w:val="%1."/>
      <w:numFmt w:val="upperLetter"/>
      <w:start w:val="17"/>
    </w:lvl>
    <w:lvl w:ilvl="1">
      <w:lvlJc w:val="left"/>
      <w:lvlText w:val="%2"/>
      <w:numFmt w:val="decimal"/>
      <w:start w:val="1"/>
    </w:lvl>
  </w:abstractNum>
  <w:abstractNum w:abstractNumId="10">
    <w:nsid w:val="749ABB43"/>
    <w:multiLevelType w:val="hybridMultilevel"/>
    <w:lvl w:ilvl="0">
      <w:lvlJc w:val="left"/>
      <w:lvlText w:val="%1."/>
      <w:numFmt w:val="upperLetter"/>
      <w:start w:val="1"/>
    </w:lvl>
    <w:lvl w:ilvl="1">
      <w:lvlJc w:val="left"/>
      <w:lvlText w:val="%2"/>
      <w:numFmt w:val="decimal"/>
      <w:start w:val="1"/>
    </w:lvl>
  </w:abstractNum>
  <w:abstractNum w:abstractNumId="11">
    <w:nsid w:val="3DC240FB"/>
    <w:multiLevelType w:val="hybridMultilevel"/>
    <w:lvl w:ilvl="0">
      <w:lvlJc w:val="left"/>
      <w:lvlText w:val="%1."/>
      <w:numFmt w:val="upperLetter"/>
      <w:start w:val="17"/>
    </w:lvl>
    <w:lvl w:ilvl="1">
      <w:lvlJc w:val="left"/>
      <w:lvlText w:val="%2"/>
      <w:numFmt w:val="decimal"/>
      <w:start w:val="1"/>
    </w:lvl>
  </w:abstractNum>
  <w:abstractNum w:abstractNumId="12">
    <w:nsid w:val="1BA026FA"/>
    <w:multiLevelType w:val="hybridMultilevel"/>
    <w:lvl w:ilvl="0">
      <w:lvlJc w:val="left"/>
      <w:lvlText w:val="%1."/>
      <w:numFmt w:val="upperLetter"/>
      <w:start w:val="1"/>
    </w:lvl>
    <w:lvl w:ilvl="1">
      <w:lvlJc w:val="left"/>
      <w:lvlText w:val="%2."/>
      <w:numFmt w:val="decimal"/>
      <w:start w:val="1"/>
    </w:lvl>
  </w:abstractNum>
  <w:abstractNum w:abstractNumId="13">
    <w:nsid w:val="79A1DEAA"/>
    <w:multiLevelType w:val="hybridMultilevel"/>
    <w:lvl w:ilvl="0">
      <w:lvlJc w:val="left"/>
      <w:lvlText w:val="%1"/>
      <w:numFmt w:val="upperLetter"/>
      <w:start w:val="1"/>
    </w:lvl>
    <w:lvl w:ilvl="1">
      <w:lvlJc w:val="left"/>
      <w:lvlText w:val="%2."/>
      <w:numFmt w:val="decimal"/>
      <w:start w:val="4"/>
    </w:lvl>
  </w:abstractNum>
  <w:abstractNum w:abstractNumId="14">
    <w:nsid w:val="75C6C33A"/>
    <w:multiLevelType w:val="hybridMultilevel"/>
    <w:lvl w:ilvl="0">
      <w:lvlJc w:val="left"/>
      <w:lvlText w:val="%1."/>
      <w:numFmt w:val="upperLetter"/>
      <w:start w:val="17"/>
    </w:lvl>
    <w:lvl w:ilvl="1">
      <w:lvlJc w:val="left"/>
      <w:lvlText w:val="%2"/>
      <w:numFmt w:val="decimal"/>
      <w:start w:val="1"/>
    </w:lvl>
  </w:abstractNum>
  <w:abstractNum w:abstractNumId="15">
    <w:nsid w:val="12E685FB"/>
    <w:multiLevelType w:val="hybridMultilevel"/>
    <w:lvl w:ilvl="0">
      <w:lvlJc w:val="left"/>
      <w:lvlText w:val="%1."/>
      <w:numFmt w:val="upperLetter"/>
      <w:start w:val="1"/>
    </w:lvl>
    <w:lvl w:ilvl="1">
      <w:lvlJc w:val="left"/>
      <w:lvlText w:val="%2"/>
      <w:numFmt w:val="decimal"/>
      <w:start w:val="1"/>
    </w:lvl>
  </w:abstractNum>
  <w:abstractNum w:abstractNumId="16">
    <w:nsid w:val="70C6A529"/>
    <w:multiLevelType w:val="hybridMultilevel"/>
    <w:lvl w:ilvl="0">
      <w:lvlJc w:val="left"/>
      <w:lvlText w:val="%1."/>
      <w:numFmt w:val="upperLetter"/>
      <w:start w:val="17"/>
    </w:lvl>
    <w:lvl w:ilvl="1">
      <w:lvlJc w:val="left"/>
      <w:lvlText w:val="%2"/>
      <w:numFmt w:val="decimal"/>
      <w:start w:val="1"/>
    </w:lvl>
  </w:abstractNum>
  <w:abstractNum w:abstractNumId="17">
    <w:nsid w:val="520EEDD1"/>
    <w:multiLevelType w:val="hybridMultilevel"/>
    <w:lvl w:ilvl="0">
      <w:lvlJc w:val="left"/>
      <w:lvlText w:val="%1."/>
      <w:numFmt w:val="upperLetter"/>
      <w:start w:val="1"/>
    </w:lvl>
    <w:lvl w:ilvl="1">
      <w:lvlJc w:val="left"/>
      <w:lvlText w:val="%2"/>
      <w:numFmt w:val="decimal"/>
      <w:start w:val="1"/>
    </w:lvl>
  </w:abstractNum>
  <w:abstractNum w:abstractNumId="18">
    <w:nsid w:val="374A3FE6"/>
    <w:multiLevelType w:val="hybridMultilevel"/>
    <w:lvl w:ilvl="0">
      <w:lvlJc w:val="left"/>
      <w:lvlText w:val="%1."/>
      <w:numFmt w:val="upperLetter"/>
      <w:start w:val="17"/>
    </w:lvl>
    <w:lvl w:ilvl="1">
      <w:lvlJc w:val="left"/>
      <w:lvlText w:val="%2"/>
      <w:numFmt w:val="decimal"/>
      <w:start w:val="1"/>
    </w:lvl>
  </w:abstractNum>
  <w:abstractNum w:abstractNumId="19">
    <w:nsid w:val="4F4EF005"/>
    <w:multiLevelType w:val="hybridMultilevel"/>
    <w:lvl w:ilvl="0">
      <w:lvlJc w:val="left"/>
      <w:lvlText w:val="%1."/>
      <w:numFmt w:val="upperLetter"/>
      <w:start w:val="1"/>
    </w:lvl>
    <w:lvl w:ilvl="1">
      <w:lvlJc w:val="left"/>
      <w:lvlText w:val="%2"/>
      <w:numFmt w:val="decimal"/>
      <w:start w:val="1"/>
    </w:lvl>
  </w:abstractNum>
  <w:abstractNum w:abstractNumId="20">
    <w:nsid w:val="23F9C13C"/>
    <w:multiLevelType w:val="hybridMultilevel"/>
    <w:lvl w:ilvl="0">
      <w:lvlJc w:val="left"/>
      <w:lvlText w:val="%1."/>
      <w:numFmt w:val="decimal"/>
      <w:start w:val="2"/>
    </w:lvl>
  </w:abstractNum>
  <w:abstractNum w:abstractNumId="21">
    <w:nsid w:val="649BB77C"/>
    <w:multiLevelType w:val="hybridMultilevel"/>
    <w:lvl w:ilvl="0">
      <w:lvlJc w:val="left"/>
      <w:lvlText w:val="%1."/>
      <w:numFmt w:val="decimal"/>
      <w:start w:val="3"/>
    </w:lvl>
  </w:abstractNum>
  <w:abstractNum w:abstractNumId="22">
    <w:nsid w:val="275AC794"/>
    <w:multiLevelType w:val="hybridMultilevel"/>
    <w:lvl w:ilvl="0">
      <w:lvlJc w:val="left"/>
      <w:lvlText w:val="%1."/>
      <w:numFmt w:val="upperLetter"/>
      <w:start w:val="17"/>
    </w:lvl>
    <w:lvl w:ilvl="1">
      <w:lvlJc w:val="left"/>
      <w:lvlText w:val="%2"/>
      <w:numFmt w:val="decimal"/>
      <w:start w:val="1"/>
    </w:lvl>
  </w:abstractNum>
  <w:abstractNum w:abstractNumId="23">
    <w:nsid w:val="39386575"/>
    <w:multiLevelType w:val="hybridMultilevel"/>
    <w:lvl w:ilvl="0">
      <w:lvlJc w:val="left"/>
      <w:lvlText w:val="%1."/>
      <w:numFmt w:val="upperLetter"/>
      <w:start w:val="1"/>
    </w:lvl>
    <w:lvl w:ilvl="1">
      <w:lvlJc w:val="left"/>
      <w:lvlText w:val="%2."/>
      <w:numFmt w:val="decimal"/>
      <w:start w:val="1"/>
    </w:lvl>
  </w:abstractNum>
  <w:abstractNum w:abstractNumId="24">
    <w:nsid w:val="1CF10FD8"/>
    <w:multiLevelType w:val="hybridMultilevel"/>
    <w:lvl w:ilvl="0">
      <w:lvlJc w:val="left"/>
      <w:lvlText w:val="%1."/>
      <w:numFmt w:val="upperLetter"/>
      <w:start w:val="17"/>
    </w:lvl>
    <w:lvl w:ilvl="1">
      <w:lvlJc w:val="left"/>
      <w:lvlText w:val="☐"/>
      <w:numFmt w:val="bullet"/>
      <w:start w:val="1"/>
    </w:lvl>
  </w:abstractNum>
  <w:abstractNum w:abstractNumId="25">
    <w:nsid w:val="180115BE"/>
    <w:multiLevelType w:val="hybridMultilevel"/>
    <w:lvl w:ilvl="0">
      <w:lvlJc w:val="left"/>
      <w:lvlText w:val="%1."/>
      <w:numFmt w:val="upperLetter"/>
      <w:start w:val="1"/>
    </w:lvl>
    <w:lvl w:ilvl="1">
      <w:lvlJc w:val="left"/>
      <w:lvlText w:val="☐"/>
      <w:numFmt w:val="bullet"/>
      <w:start w:val="1"/>
    </w:lvl>
  </w:abstractNum>
  <w:abstractNum w:abstractNumId="26">
    <w:nsid w:val="235BA861"/>
    <w:multiLevelType w:val="hybridMultilevel"/>
    <w:lvl w:ilvl="0">
      <w:lvlJc w:val="left"/>
      <w:lvlText w:val="%1."/>
      <w:numFmt w:val="upperLetter"/>
      <w:start w:val="17"/>
    </w:lvl>
    <w:lvl w:ilvl="1">
      <w:lvlJc w:val="left"/>
      <w:lvlText w:val="☐"/>
      <w:numFmt w:val="bullet"/>
      <w:start w:val="1"/>
    </w:lvl>
  </w:abstractNum>
  <w:abstractNum w:abstractNumId="27">
    <w:nsid w:val="47398C89"/>
    <w:multiLevelType w:val="hybridMultilevel"/>
    <w:lvl w:ilvl="0">
      <w:lvlJc w:val="left"/>
      <w:lvlText w:val="%1."/>
      <w:numFmt w:val="upperLetter"/>
      <w:start w:val="1"/>
    </w:lvl>
    <w:lvl w:ilvl="1">
      <w:lvlJc w:val="left"/>
      <w:lvlText w:val="☐"/>
      <w:numFmt w:val="bullet"/>
      <w:start w:val="1"/>
    </w:lvl>
  </w:abstractNum>
  <w:abstractNum w:abstractNumId="28">
    <w:nsid w:val="354FE9F9"/>
    <w:multiLevelType w:val="hybridMultilevel"/>
    <w:lvl w:ilvl="0">
      <w:lvlJc w:val="left"/>
      <w:lvlText w:val="%1."/>
      <w:numFmt w:val="upperLetter"/>
      <w:start w:val="17"/>
    </w:lvl>
  </w:abstractNum>
  <w:abstractNum w:abstractNumId="29">
    <w:nsid w:val="15B5AF5C"/>
    <w:multiLevelType w:val="hybridMultilevel"/>
    <w:lvl w:ilvl="0">
      <w:lvlJc w:val="left"/>
      <w:lvlText w:val="%1."/>
      <w:numFmt w:val="upperLetter"/>
      <w:start w:val="1"/>
    </w:lvl>
  </w:abstractNum>
  <w:abstractNum w:abstractNumId="30">
    <w:nsid w:val="741226BB"/>
    <w:multiLevelType w:val="hybridMultilevel"/>
    <w:lvl w:ilvl="0">
      <w:lvlJc w:val="left"/>
      <w:lvlText w:val="%1."/>
      <w:numFmt w:val="upperLetter"/>
      <w:start w:val="17"/>
    </w:lvl>
  </w:abstractNum>
  <w:abstractNum w:abstractNumId="31">
    <w:nsid w:val="D34B6A8"/>
    <w:multiLevelType w:val="hybridMultilevel"/>
    <w:lvl w:ilvl="0">
      <w:lvlJc w:val="left"/>
      <w:lvlText w:val="%1."/>
      <w:numFmt w:val="upperLetter"/>
      <w:start w:val="1"/>
    </w:lvl>
  </w:abstractNum>
  <w:abstractNum w:abstractNumId="32">
    <w:nsid w:val="10233C99"/>
    <w:multiLevelType w:val="hybridMultilevel"/>
    <w:lvl w:ilvl="0">
      <w:lvlJc w:val="left"/>
      <w:lvlText w:val="%1."/>
      <w:numFmt w:val="upperLetter"/>
      <w:start w:val="17"/>
    </w:lvl>
  </w:abstractNum>
  <w:abstractNum w:abstractNumId="33">
    <w:nsid w:val="3F6AB60F"/>
    <w:multiLevelType w:val="hybridMultilevel"/>
    <w:lvl w:ilvl="0">
      <w:lvlJc w:val="left"/>
      <w:lvlText w:val="%1."/>
      <w:numFmt w:val="upperLetter"/>
      <w:start w:val="1"/>
    </w:lvl>
  </w:abstractNum>
  <w:abstractNum w:abstractNumId="34">
    <w:nsid w:val="61574095"/>
    <w:multiLevelType w:val="hybridMultilevel"/>
    <w:lvl w:ilvl="0">
      <w:lvlJc w:val="left"/>
      <w:lvlText w:val="%1."/>
      <w:numFmt w:val="upperLetter"/>
      <w:start w:val="17"/>
    </w:lvl>
  </w:abstractNum>
  <w:abstractNum w:abstractNumId="35">
    <w:nsid w:val="7E0C57B1"/>
    <w:multiLevelType w:val="hybridMultilevel"/>
    <w:lvl w:ilvl="0">
      <w:lvlJc w:val="left"/>
      <w:lvlText w:val="%1."/>
      <w:numFmt w:val="upperLetter"/>
      <w:start w:val="1"/>
    </w:lvl>
  </w:abstractNum>
  <w:abstractNum w:abstractNumId="36">
    <w:nsid w:val="77AE35EB"/>
    <w:multiLevelType w:val="hybridMultilevel"/>
    <w:lvl w:ilvl="0">
      <w:lvlJc w:val="left"/>
      <w:lvlText w:val="%1."/>
      <w:numFmt w:val="upperLetter"/>
      <w:start w:val="17"/>
    </w:lvl>
  </w:abstractNum>
  <w:abstractNum w:abstractNumId="37">
    <w:nsid w:val="579BE4F1"/>
    <w:multiLevelType w:val="hybridMultilevel"/>
    <w:lvl w:ilvl="0">
      <w:lvlJc w:val="left"/>
      <w:lvlText w:val="%1."/>
      <w:numFmt w:val="upperLetter"/>
      <w:start w:val="1"/>
    </w:lvl>
  </w:abstractNum>
  <w:abstractNum w:abstractNumId="38">
    <w:nsid w:val="310C50B3"/>
    <w:multiLevelType w:val="hybridMultilevel"/>
    <w:lvl w:ilvl="0">
      <w:lvlJc w:val="left"/>
      <w:lvlText w:val="%1."/>
      <w:numFmt w:val="upperLetter"/>
      <w:start w:val="17"/>
    </w:lvl>
  </w:abstractNum>
  <w:abstractNum w:abstractNumId="39">
    <w:nsid w:val="5FF87E05"/>
    <w:multiLevelType w:val="hybridMultilevel"/>
    <w:lvl w:ilvl="0">
      <w:lvlJc w:val="left"/>
      <w:lvlText w:val="%1."/>
      <w:numFmt w:val="upperLetter"/>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amp;"/>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lvl w:ilvl="1">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1)"/>
      <w:numFmt w:val="decimal"/>
      <w:start w:val="1"/>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decimal"/>
      <w:start w:val="1"/>
    </w:lvl>
  </w:abstractNum>
  <w:abstractNum w:abstractNumId="74">
    <w:nsid w:val="14330624"/>
    <w:multiLevelType w:val="hybridMultilevel"/>
    <w:lvl w:ilvl="0">
      <w:lvlJc w:val="left"/>
      <w:lvlText w:val="(%1)"/>
      <w:numFmt w:val="lowerRoman"/>
      <w:start w:val="2"/>
    </w:lvl>
  </w:abstractNum>
  <w:abstractNum w:abstractNumId="75">
    <w:nsid w:val="7FFFCA11"/>
    <w:multiLevelType w:val="hybridMultilevel"/>
    <w:lvl w:ilvl="0">
      <w:lvlJc w:val="left"/>
      <w:lvlText w:val="(%1)"/>
      <w:numFmt w:val="lowerRoman"/>
      <w:start w:val="2"/>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1)"/>
      <w:numFmt w:val="decimal"/>
      <w:start w:val="8"/>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decimal"/>
      <w:start w:val="2"/>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
      <w:numFmt w:val="bullet"/>
      <w:start w:val="1"/>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2019-12-03T03:59:20Z</dcterms:created>
  <dcterms:modified xsi:type="dcterms:W3CDTF">2019-12-03T03:59:20Z</dcterms:modified>
</cp:coreProperties>
</file>