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191770</wp:posOffset>
            </wp:positionV>
            <wp:extent cx="15525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209550</wp:posOffset>
            </wp:positionV>
            <wp:extent cx="1552575"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2575" cy="1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Date of Report (Date of Earliest Event Reported): </w:t>
      </w:r>
      <w:r>
        <w:rPr>
          <w:rFonts w:ascii="Arial" w:cs="Arial" w:eastAsia="Arial" w:hAnsi="Arial"/>
          <w:sz w:val="17"/>
          <w:szCs w:val="17"/>
          <w:b w:val="1"/>
          <w:bCs w:val="1"/>
          <w:color w:val="auto"/>
        </w:rPr>
        <w:t>September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203200</wp:posOffset>
            </wp:positionV>
            <wp:extent cx="1552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Blueprint Medicines Corporation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191770</wp:posOffset>
            </wp:positionV>
            <wp:extent cx="1552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sectPr>
      </w:pPr>
    </w:p>
    <w:p>
      <w:pPr>
        <w:spacing w:after="0" w:line="200" w:lineRule="exact"/>
        <w:rPr>
          <w:sz w:val="24"/>
          <w:szCs w:val="24"/>
          <w:color w:val="auto"/>
        </w:rPr>
      </w:pPr>
    </w:p>
    <w:p>
      <w:pPr>
        <w:spacing w:after="0" w:line="397"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Delaware</w:t>
      </w:r>
    </w:p>
    <w:p>
      <w:pPr>
        <w:spacing w:after="0" w:line="21" w:lineRule="exact"/>
        <w:rPr>
          <w:sz w:val="24"/>
          <w:szCs w:val="24"/>
          <w:color w:val="auto"/>
        </w:rPr>
      </w:pPr>
    </w:p>
    <w:p>
      <w:pPr>
        <w:ind w:left="740"/>
        <w:spacing w:after="0"/>
        <w:rPr>
          <w:sz w:val="20"/>
          <w:szCs w:val="20"/>
          <w:color w:val="auto"/>
        </w:rPr>
      </w:pPr>
      <w:r>
        <w:rPr>
          <w:rFonts w:ascii="Arial" w:cs="Arial" w:eastAsia="Arial" w:hAnsi="Arial"/>
          <w:sz w:val="15"/>
          <w:szCs w:val="15"/>
          <w:color w:val="auto"/>
        </w:rPr>
        <w:t>(State or other jurisdiction</w:t>
      </w:r>
    </w:p>
    <w:p>
      <w:pPr>
        <w:spacing w:after="0" w:line="27" w:lineRule="exact"/>
        <w:rPr>
          <w:sz w:val="24"/>
          <w:szCs w:val="24"/>
          <w:color w:val="auto"/>
        </w:rPr>
      </w:pPr>
    </w:p>
    <w:p>
      <w:pPr>
        <w:ind w:left="1060"/>
        <w:spacing w:after="0"/>
        <w:rPr>
          <w:sz w:val="20"/>
          <w:szCs w:val="20"/>
          <w:color w:val="auto"/>
        </w:rPr>
      </w:pPr>
      <w:r>
        <w:rPr>
          <w:rFonts w:ascii="Arial" w:cs="Arial" w:eastAsia="Arial" w:hAnsi="Arial"/>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980"/>
        <w:spacing w:after="0"/>
        <w:rPr>
          <w:sz w:val="20"/>
          <w:szCs w:val="20"/>
          <w:color w:val="auto"/>
        </w:rPr>
      </w:pPr>
      <w:r>
        <w:rPr>
          <w:rFonts w:ascii="Arial" w:cs="Arial" w:eastAsia="Arial" w:hAnsi="Arial"/>
          <w:sz w:val="17"/>
          <w:szCs w:val="17"/>
          <w:b w:val="1"/>
          <w:bCs w:val="1"/>
          <w:color w:val="auto"/>
        </w:rPr>
        <w:t>001-37359</w:t>
      </w:r>
    </w:p>
    <w:p>
      <w:pPr>
        <w:spacing w:after="0" w:line="21" w:lineRule="exact"/>
        <w:rPr>
          <w:sz w:val="24"/>
          <w:szCs w:val="24"/>
          <w:color w:val="auto"/>
        </w:rPr>
      </w:pPr>
    </w:p>
    <w:p>
      <w:pPr>
        <w:jc w:val="center"/>
        <w:ind w:right="98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jc w:val="center"/>
        <w:ind w:right="1020"/>
        <w:spacing w:after="0"/>
        <w:rPr>
          <w:sz w:val="20"/>
          <w:szCs w:val="20"/>
          <w:color w:val="auto"/>
        </w:rPr>
      </w:pPr>
      <w:r>
        <w:rPr>
          <w:rFonts w:ascii="Arial" w:cs="Arial" w:eastAsia="Arial" w:hAnsi="Arial"/>
          <w:sz w:val="17"/>
          <w:szCs w:val="17"/>
          <w:b w:val="1"/>
          <w:bCs w:val="1"/>
          <w:color w:val="auto"/>
        </w:rPr>
        <w:t>26-3632015</w:t>
      </w:r>
    </w:p>
    <w:p>
      <w:pPr>
        <w:spacing w:after="0" w:line="21"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(I.R.S. Employer</w:t>
      </w:r>
    </w:p>
    <w:p>
      <w:pPr>
        <w:spacing w:after="0" w:line="16" w:lineRule="exact"/>
        <w:rPr>
          <w:sz w:val="24"/>
          <w:szCs w:val="24"/>
          <w:color w:val="auto"/>
        </w:rPr>
      </w:pPr>
    </w:p>
    <w:p>
      <w:pPr>
        <w:jc w:val="center"/>
        <w:ind w:right="1020"/>
        <w:spacing w:after="0"/>
        <w:rPr>
          <w:sz w:val="20"/>
          <w:szCs w:val="20"/>
          <w:color w:val="auto"/>
        </w:rPr>
      </w:pPr>
      <w:r>
        <w:rPr>
          <w:rFonts w:ascii="Arial" w:cs="Arial" w:eastAsia="Arial" w:hAnsi="Arial"/>
          <w:sz w:val="15"/>
          <w:szCs w:val="15"/>
          <w:color w:val="auto"/>
        </w:rPr>
        <w:t>Identification No.)</w:t>
      </w:r>
    </w:p>
    <w:p>
      <w:pPr>
        <w:spacing w:after="0" w:line="222" w:lineRule="exact"/>
        <w:rPr>
          <w:sz w:val="24"/>
          <w:szCs w:val="24"/>
          <w:color w:val="auto"/>
        </w:rPr>
      </w:pPr>
    </w:p>
    <w:p>
      <w:pPr>
        <w:sectPr>
          <w:pgSz w:w="11900" w:h="16838" w:orient="portrait"/>
          <w:cols w:equalWidth="0" w:num="3">
            <w:col w:w="3240" w:space="720"/>
            <w:col w:w="2820" w:space="720"/>
            <w:col w:w="2260"/>
          </w:cols>
          <w:pgMar w:left="740" w:top="201" w:right="1399" w:bottom="1440" w:gutter="0" w:footer="0" w:header="0"/>
          <w:type w:val="continuous"/>
        </w:sectPr>
      </w:pPr>
    </w:p>
    <w:p>
      <w:pPr>
        <w:spacing w:after="0" w:line="187"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45 Sidney Street</w:t>
      </w:r>
    </w:p>
    <w:p>
      <w:pPr>
        <w:spacing w:after="0" w:line="21" w:lineRule="exact"/>
        <w:rPr>
          <w:sz w:val="24"/>
          <w:szCs w:val="24"/>
          <w:color w:val="auto"/>
        </w:rPr>
      </w:pPr>
    </w:p>
    <w:p>
      <w:pPr>
        <w:jc w:val="center"/>
        <w:ind w:right="1360"/>
        <w:spacing w:after="0"/>
        <w:rPr>
          <w:sz w:val="20"/>
          <w:szCs w:val="20"/>
          <w:color w:val="auto"/>
        </w:rPr>
      </w:pPr>
      <w:r>
        <w:rPr>
          <w:rFonts w:ascii="Arial" w:cs="Arial" w:eastAsia="Arial" w:hAnsi="Arial"/>
          <w:sz w:val="17"/>
          <w:szCs w:val="17"/>
          <w:b w:val="1"/>
          <w:bCs w:val="1"/>
          <w:color w:val="auto"/>
        </w:rPr>
        <w:t>Cambridge, Massachusetts</w:t>
      </w:r>
    </w:p>
    <w:p>
      <w:pPr>
        <w:spacing w:after="0" w:line="4" w:lineRule="exact"/>
        <w:rPr>
          <w:sz w:val="24"/>
          <w:szCs w:val="24"/>
          <w:color w:val="auto"/>
        </w:rPr>
      </w:pPr>
    </w:p>
    <w:p>
      <w:pPr>
        <w:jc w:val="center"/>
        <w:ind w:right="13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2080"/>
        <w:spacing w:after="0"/>
        <w:rPr>
          <w:sz w:val="20"/>
          <w:szCs w:val="20"/>
          <w:color w:val="auto"/>
        </w:rPr>
      </w:pPr>
      <w:r>
        <w:rPr>
          <w:rFonts w:ascii="Arial" w:cs="Arial" w:eastAsia="Arial" w:hAnsi="Arial"/>
          <w:sz w:val="17"/>
          <w:szCs w:val="17"/>
          <w:b w:val="1"/>
          <w:bCs w:val="1"/>
          <w:color w:val="auto"/>
        </w:rPr>
        <w:t>02139</w:t>
      </w:r>
    </w:p>
    <w:p>
      <w:pPr>
        <w:spacing w:after="0" w:line="21" w:lineRule="exact"/>
        <w:rPr>
          <w:sz w:val="24"/>
          <w:szCs w:val="24"/>
          <w:color w:val="auto"/>
        </w:rPr>
      </w:pPr>
    </w:p>
    <w:p>
      <w:pPr>
        <w:jc w:val="center"/>
        <w:ind w:right="208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240" w:space="720"/>
            <w:col w:w="2800"/>
          </w:cols>
          <w:pgMar w:left="740" w:top="201" w:right="1399" w:bottom="1440" w:gutter="0" w:footer="0" w:header="0"/>
          <w:type w:val="continuous"/>
        </w:sectPr>
      </w:pP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Registrant’s telephone number, including area code: </w:t>
      </w:r>
      <w:r>
        <w:rPr>
          <w:rFonts w:ascii="Arial" w:cs="Arial" w:eastAsia="Arial" w:hAnsi="Arial"/>
          <w:sz w:val="17"/>
          <w:szCs w:val="17"/>
          <w:b w:val="1"/>
          <w:bCs w:val="1"/>
          <w:color w:val="auto"/>
        </w:rPr>
        <w:t>(617) 374-7580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200660</wp:posOffset>
            </wp:positionV>
            <wp:extent cx="15525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right="120" w:firstLine="599"/>
        <w:spacing w:after="0" w:line="26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67" w:lineRule="exact"/>
        <w:rPr>
          <w:sz w:val="24"/>
          <w:szCs w:val="24"/>
          <w:color w:val="auto"/>
        </w:rPr>
      </w:pPr>
    </w:p>
    <w:p>
      <w:pPr>
        <w:ind w:left="900" w:hanging="297"/>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6" w:lineRule="exact"/>
        <w:rPr>
          <w:rFonts w:ascii="Arial" w:cs="Arial" w:eastAsia="Arial" w:hAnsi="Arial"/>
          <w:sz w:val="17"/>
          <w:szCs w:val="17"/>
          <w:color w:val="auto"/>
        </w:rPr>
      </w:pPr>
    </w:p>
    <w:p>
      <w:pPr>
        <w:ind w:left="900" w:hanging="297"/>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4" w:lineRule="exact"/>
        <w:rPr>
          <w:rFonts w:ascii="Arial" w:cs="Arial" w:eastAsia="Arial" w:hAnsi="Arial"/>
          <w:sz w:val="17"/>
          <w:szCs w:val="17"/>
          <w:color w:val="auto"/>
        </w:rPr>
      </w:pPr>
    </w:p>
    <w:p>
      <w:pPr>
        <w:ind w:left="900" w:hanging="297"/>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4" w:lineRule="exact"/>
        <w:rPr>
          <w:rFonts w:ascii="Arial" w:cs="Arial" w:eastAsia="Arial" w:hAnsi="Arial"/>
          <w:sz w:val="17"/>
          <w:szCs w:val="17"/>
          <w:color w:val="auto"/>
        </w:rPr>
      </w:pPr>
    </w:p>
    <w:p>
      <w:pPr>
        <w:ind w:left="900" w:hanging="297"/>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91" w:lineRule="exact"/>
        <w:rPr>
          <w:sz w:val="24"/>
          <w:szCs w:val="24"/>
          <w:color w:val="auto"/>
        </w:rPr>
      </w:pPr>
    </w:p>
    <w:p>
      <w:pPr>
        <w:ind w:right="440" w:firstLine="599"/>
        <w:spacing w:after="0" w:line="29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77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57" w:lineRule="exact"/>
        <w:rPr>
          <w:sz w:val="24"/>
          <w:szCs w:val="24"/>
          <w:color w:val="auto"/>
        </w:rPr>
      </w:pPr>
    </w:p>
    <w:p>
      <w:pPr>
        <w:ind w:right="620" w:firstLine="599"/>
        <w:spacing w:after="0" w:line="21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384810</wp:posOffset>
            </wp:positionV>
            <wp:extent cx="619569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15875"/>
                    </a:xfrm>
                    <a:prstGeom prst="rect">
                      <a:avLst/>
                    </a:prstGeom>
                    <a:noFill/>
                  </pic:spPr>
                </pic:pic>
              </a:graphicData>
            </a:graphic>
          </wp:anchor>
        </w:drawing>
      </w:r>
    </w:p>
    <w:p>
      <w:pPr>
        <w:sectPr>
          <w:pgSz w:w="11900" w:h="16838" w:orient="portrait"/>
          <w:cols w:equalWidth="0" w:num="1">
            <w:col w:w="9760"/>
          </w:cols>
          <w:pgMar w:left="740" w:top="201" w:right="1399" w:bottom="1440" w:gutter="0" w:footer="0" w:header="0"/>
          <w:type w:val="continuous"/>
        </w:sectPr>
      </w:pPr>
    </w:p>
    <w:bookmarkStart w:id="1" w:name="page2"/>
    <w:bookmarkEnd w:id="1"/>
    <w:p>
      <w:pPr>
        <w:spacing w:after="0"/>
        <w:tabs>
          <w:tab w:leader="none" w:pos="124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8" w:lineRule="exact"/>
        <w:rPr>
          <w:sz w:val="20"/>
          <w:szCs w:val="20"/>
          <w:color w:val="auto"/>
        </w:rPr>
      </w:pPr>
    </w:p>
    <w:p>
      <w:pPr>
        <w:ind w:right="100" w:firstLine="599"/>
        <w:spacing w:after="0" w:line="267" w:lineRule="auto"/>
        <w:rPr>
          <w:sz w:val="20"/>
          <w:szCs w:val="20"/>
          <w:color w:val="auto"/>
        </w:rPr>
      </w:pPr>
      <w:r>
        <w:rPr>
          <w:rFonts w:ascii="Arial" w:cs="Arial" w:eastAsia="Arial" w:hAnsi="Arial"/>
          <w:sz w:val="16"/>
          <w:szCs w:val="16"/>
          <w:color w:val="auto"/>
        </w:rPr>
        <w:t>On October 1, 2018, Blueprint Medicines Corporation (the “Company”) issued a press release announcing the presentation of preclinical proof-of-concept data for BLU-782, the Company’s investigational oral precision therapy specifically designed to target mutant activin-like kinase 2, the underlying cause of fibrodysplasia ossificans progressiva. The data were presented on September 30, 2018 in a plenary oral session at the 2018 American Society for Bone and Mineral Research Annual Meeting in Quebec, Canada. A copy of the press release is furnished as Exhibit 99.1 to this Current Report on Form 8-K, and a copy of the presentation is furnished as Exhibit 99.2 to this Current Report on Form 8-K.</w:t>
      </w:r>
    </w:p>
    <w:p>
      <w:pPr>
        <w:spacing w:after="0" w:line="169" w:lineRule="exact"/>
        <w:rPr>
          <w:sz w:val="20"/>
          <w:szCs w:val="20"/>
          <w:color w:val="auto"/>
        </w:rPr>
      </w:pPr>
    </w:p>
    <w:p>
      <w:pPr>
        <w:ind w:right="40" w:firstLine="599"/>
        <w:spacing w:after="0" w:line="296" w:lineRule="auto"/>
        <w:rPr>
          <w:sz w:val="20"/>
          <w:szCs w:val="20"/>
          <w:color w:val="auto"/>
        </w:rPr>
      </w:pPr>
      <w:r>
        <w:rPr>
          <w:rFonts w:ascii="Arial" w:cs="Arial" w:eastAsia="Arial" w:hAnsi="Arial"/>
          <w:sz w:val="15"/>
          <w:szCs w:val="15"/>
          <w:color w:val="auto"/>
        </w:rPr>
        <w:t>The information in Item 7.01 of this Current Report on Form 8-K, including Exhibits 99.1 and 99.2,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Item 9.01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00" w:type="dxa"/>
            <w:vAlign w:val="bottom"/>
            <w:gridSpan w:val="3"/>
          </w:tcPr>
          <w:p>
            <w:pPr>
              <w:ind w:left="80"/>
              <w:spacing w:after="0"/>
              <w:rPr>
                <w:sz w:val="20"/>
                <w:szCs w:val="20"/>
                <w:color w:val="auto"/>
              </w:rPr>
            </w:pPr>
            <w:r>
              <w:rPr>
                <w:rFonts w:ascii="Arial" w:cs="Arial" w:eastAsia="Arial" w:hAnsi="Arial"/>
                <w:sz w:val="17"/>
                <w:szCs w:val="17"/>
                <w:b w:val="1"/>
                <w:bCs w:val="1"/>
                <w:color w:val="auto"/>
              </w:rPr>
              <w:t>Financial Statements and Exhibits.</w:t>
            </w:r>
          </w:p>
        </w:tc>
      </w:tr>
      <w:tr>
        <w:trPr>
          <w:trHeight w:val="399"/>
        </w:trPr>
        <w:tc>
          <w:tcPr>
            <w:tcW w:w="110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Exhibit No.</w:t>
            </w:r>
          </w:p>
        </w:tc>
        <w:tc>
          <w:tcPr>
            <w:tcW w:w="60" w:type="dxa"/>
            <w:vAlign w:val="bottom"/>
          </w:tcPr>
          <w:p>
            <w:pPr>
              <w:spacing w:after="0"/>
              <w:rPr>
                <w:sz w:val="24"/>
                <w:szCs w:val="24"/>
                <w:color w:val="auto"/>
              </w:rPr>
            </w:pPr>
          </w:p>
        </w:tc>
        <w:tc>
          <w:tcPr>
            <w:tcW w:w="7920" w:type="dxa"/>
            <w:vAlign w:val="bottom"/>
            <w:gridSpan w:val="4"/>
          </w:tcPr>
          <w:p>
            <w:pPr>
              <w:spacing w:after="0"/>
              <w:rPr>
                <w:sz w:val="20"/>
                <w:szCs w:val="20"/>
                <w:color w:val="auto"/>
              </w:rPr>
            </w:pPr>
            <w:r>
              <w:rPr>
                <w:rFonts w:ascii="Arial" w:cs="Arial" w:eastAsia="Arial" w:hAnsi="Arial"/>
                <w:sz w:val="13"/>
                <w:szCs w:val="13"/>
                <w:b w:val="1"/>
                <w:bCs w:val="1"/>
                <w:color w:val="auto"/>
              </w:rPr>
              <w:t>Description</w:t>
            </w:r>
          </w:p>
        </w:tc>
      </w:tr>
      <w:tr>
        <w:trPr>
          <w:trHeight w:val="155"/>
        </w:trPr>
        <w:tc>
          <w:tcPr>
            <w:tcW w:w="20" w:type="dxa"/>
            <w:vAlign w:val="bottom"/>
          </w:tcPr>
          <w:p>
            <w:pPr>
              <w:spacing w:after="0"/>
              <w:rPr>
                <w:sz w:val="13"/>
                <w:szCs w:val="13"/>
                <w:color w:val="auto"/>
              </w:rPr>
            </w:pPr>
          </w:p>
        </w:tc>
        <w:tc>
          <w:tcPr>
            <w:tcW w:w="900" w:type="dxa"/>
            <w:vAlign w:val="bottom"/>
            <w:tcBorders>
              <w:top w:val="single" w:sz="8" w:color="auto"/>
            </w:tcBorders>
          </w:tcPr>
          <w:p>
            <w:pPr>
              <w:ind w:left="40"/>
              <w:spacing w:after="0" w:line="154" w:lineRule="exact"/>
              <w:rPr>
                <w:sz w:val="20"/>
                <w:szCs w:val="20"/>
                <w:color w:val="auto"/>
              </w:rPr>
            </w:pPr>
            <w:r>
              <w:rPr>
                <w:rFonts w:ascii="Arial" w:cs="Arial" w:eastAsia="Arial" w:hAnsi="Arial"/>
                <w:sz w:val="17"/>
                <w:szCs w:val="17"/>
                <w:color w:val="auto"/>
              </w:rPr>
              <w:t>99.1</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100" w:type="dxa"/>
            <w:vAlign w:val="bottom"/>
            <w:tcBorders>
              <w:top w:val="single" w:sz="8" w:color="auto"/>
              <w:bottom w:val="single" w:sz="8" w:color="0000EE"/>
            </w:tcBorders>
            <w:gridSpan w:val="3"/>
          </w:tcPr>
          <w:p>
            <w:pPr>
              <w:spacing w:after="0" w:line="154" w:lineRule="exact"/>
              <w:rPr>
                <w:sz w:val="20"/>
                <w:szCs w:val="20"/>
                <w:color w:val="auto"/>
              </w:rPr>
            </w:pPr>
            <w:r>
              <w:rPr>
                <w:rFonts w:ascii="Arial" w:cs="Arial" w:eastAsia="Arial" w:hAnsi="Arial"/>
                <w:sz w:val="17"/>
                <w:szCs w:val="17"/>
                <w:color w:val="0000EE"/>
                <w:w w:val="87"/>
              </w:rPr>
              <w:t>Press release issued by Blueprint Medicines Corporation on October 1, 2018</w:t>
            </w:r>
          </w:p>
        </w:tc>
        <w:tc>
          <w:tcPr>
            <w:tcW w:w="2820" w:type="dxa"/>
            <w:vAlign w:val="bottom"/>
            <w:tcBorders>
              <w:top w:val="single" w:sz="8" w:color="auto"/>
            </w:tcBorders>
          </w:tcPr>
          <w:p>
            <w:pPr>
              <w:spacing w:after="0"/>
              <w:rPr>
                <w:sz w:val="13"/>
                <w:szCs w:val="13"/>
                <w:color w:val="auto"/>
              </w:rPr>
            </w:pPr>
          </w:p>
        </w:tc>
      </w:tr>
      <w:tr>
        <w:trPr>
          <w:trHeight w:val="180"/>
        </w:trPr>
        <w:tc>
          <w:tcPr>
            <w:tcW w:w="920" w:type="dxa"/>
            <w:vAlign w:val="bottom"/>
            <w:gridSpan w:val="2"/>
          </w:tcPr>
          <w:p>
            <w:pPr>
              <w:ind w:left="60"/>
              <w:spacing w:after="0" w:line="180" w:lineRule="exact"/>
              <w:rPr>
                <w:sz w:val="20"/>
                <w:szCs w:val="20"/>
                <w:color w:val="auto"/>
              </w:rPr>
            </w:pPr>
            <w:r>
              <w:rPr>
                <w:rFonts w:ascii="Arial" w:cs="Arial" w:eastAsia="Arial" w:hAnsi="Arial"/>
                <w:sz w:val="17"/>
                <w:szCs w:val="17"/>
                <w:color w:val="auto"/>
              </w:rPr>
              <w:t>99.2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920" w:type="dxa"/>
            <w:vAlign w:val="bottom"/>
            <w:gridSpan w:val="4"/>
          </w:tcPr>
          <w:p>
            <w:pPr>
              <w:spacing w:after="0" w:line="180" w:lineRule="exact"/>
              <w:rPr>
                <w:sz w:val="20"/>
                <w:szCs w:val="20"/>
                <w:color w:val="auto"/>
              </w:rPr>
            </w:pPr>
            <w:r>
              <w:rPr>
                <w:rFonts w:ascii="Arial" w:cs="Arial" w:eastAsia="Arial" w:hAnsi="Arial"/>
                <w:sz w:val="17"/>
                <w:szCs w:val="17"/>
                <w:color w:val="0000EE"/>
              </w:rPr>
              <w:t>Presentation by Blueprint Medicines Corporation on September 30, 2018</w:t>
            </w:r>
          </w:p>
        </w:tc>
      </w:tr>
      <w:tr>
        <w:trPr>
          <w:trHeight w:val="81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840" w:type="dxa"/>
            <w:vAlign w:val="bottom"/>
            <w:tcBorders>
              <w:top w:val="single" w:sz="8" w:color="0000EE"/>
            </w:tcBorders>
          </w:tcPr>
          <w:p>
            <w:pPr>
              <w:jc w:val="right"/>
              <w:ind w:right="1357"/>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ind w:right="100" w:firstLine="599"/>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6100" w:type="dxa"/>
            <w:vAlign w:val="bottom"/>
            <w:gridSpan w:val="2"/>
          </w:tcPr>
          <w:p>
            <w:pPr>
              <w:ind w:left="1720"/>
              <w:spacing w:after="0"/>
              <w:rPr>
                <w:sz w:val="20"/>
                <w:szCs w:val="20"/>
                <w:color w:val="auto"/>
              </w:rPr>
            </w:pPr>
            <w:r>
              <w:rPr>
                <w:rFonts w:ascii="Arial" w:cs="Arial" w:eastAsia="Arial" w:hAnsi="Arial"/>
                <w:sz w:val="17"/>
                <w:szCs w:val="17"/>
                <w:b w:val="1"/>
                <w:bCs w:val="1"/>
                <w:color w:val="auto"/>
              </w:rPr>
              <w:t>BLUEPRINT MEDICINES CORPORATION</w:t>
            </w:r>
          </w:p>
        </w:tc>
      </w:tr>
      <w:tr>
        <w:trPr>
          <w:trHeight w:val="599"/>
        </w:trPr>
        <w:tc>
          <w:tcPr>
            <w:tcW w:w="2980" w:type="dxa"/>
            <w:vAlign w:val="bottom"/>
          </w:tcPr>
          <w:p>
            <w:pPr>
              <w:spacing w:after="0"/>
              <w:rPr>
                <w:sz w:val="20"/>
                <w:szCs w:val="20"/>
                <w:color w:val="auto"/>
              </w:rPr>
            </w:pPr>
            <w:r>
              <w:rPr>
                <w:rFonts w:ascii="Arial" w:cs="Arial" w:eastAsia="Arial" w:hAnsi="Arial"/>
                <w:sz w:val="17"/>
                <w:szCs w:val="17"/>
                <w:color w:val="auto"/>
              </w:rPr>
              <w:t>Date: October 1, 2018</w:t>
            </w:r>
          </w:p>
        </w:tc>
        <w:tc>
          <w:tcPr>
            <w:tcW w:w="6100" w:type="dxa"/>
            <w:vAlign w:val="bottom"/>
            <w:gridSpan w:val="2"/>
          </w:tcPr>
          <w:p>
            <w:pPr>
              <w:ind w:left="1720"/>
              <w:spacing w:after="0"/>
              <w:rPr>
                <w:sz w:val="20"/>
                <w:szCs w:val="20"/>
                <w:color w:val="auto"/>
              </w:rPr>
            </w:pPr>
            <w:r>
              <w:rPr>
                <w:rFonts w:ascii="Arial" w:cs="Arial" w:eastAsia="Arial" w:hAnsi="Arial"/>
                <w:sz w:val="17"/>
                <w:szCs w:val="17"/>
                <w:color w:val="auto"/>
              </w:rPr>
              <w:t>By: /s/ Tracey L. McCain</w:t>
            </w:r>
          </w:p>
        </w:tc>
      </w:tr>
      <w:tr>
        <w:trPr>
          <w:trHeight w:val="180"/>
        </w:trPr>
        <w:tc>
          <w:tcPr>
            <w:tcW w:w="2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10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Tracey L. McCain</w:t>
            </w:r>
          </w:p>
        </w:tc>
      </w:tr>
      <w:tr>
        <w:trPr>
          <w:trHeight w:val="212"/>
        </w:trPr>
        <w:tc>
          <w:tcPr>
            <w:tcW w:w="2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Chief Legal Officer</w:t>
            </w:r>
          </w:p>
        </w:tc>
      </w:tr>
      <w:tr>
        <w:trPr>
          <w:trHeight w:val="798"/>
        </w:trPr>
        <w:tc>
          <w:tcPr>
            <w:tcW w:w="2980" w:type="dxa"/>
            <w:vAlign w:val="bottom"/>
          </w:tcPr>
          <w:p>
            <w:pPr>
              <w:spacing w:after="0"/>
              <w:rPr>
                <w:sz w:val="24"/>
                <w:szCs w:val="24"/>
                <w:color w:val="auto"/>
              </w:rPr>
            </w:pPr>
          </w:p>
        </w:tc>
        <w:tc>
          <w:tcPr>
            <w:tcW w:w="2000" w:type="dxa"/>
            <w:vAlign w:val="bottom"/>
          </w:tcPr>
          <w:p>
            <w:pPr>
              <w:jc w:val="right"/>
              <w:ind w:right="317"/>
              <w:spacing w:after="0"/>
              <w:rPr>
                <w:sz w:val="20"/>
                <w:szCs w:val="20"/>
                <w:color w:val="auto"/>
              </w:rPr>
            </w:pPr>
            <w:r>
              <w:rPr>
                <w:rFonts w:ascii="Arial" w:cs="Arial" w:eastAsia="Arial" w:hAnsi="Arial"/>
                <w:sz w:val="17"/>
                <w:szCs w:val="17"/>
                <w:color w:val="auto"/>
              </w:rPr>
              <w:t>3</w:t>
            </w:r>
          </w:p>
        </w:tc>
        <w:tc>
          <w:tcPr>
            <w:tcW w:w="4100" w:type="dxa"/>
            <w:vAlign w:val="bottom"/>
          </w:tcPr>
          <w:p>
            <w:pPr>
              <w:spacing w:after="0"/>
              <w:rPr>
                <w:sz w:val="24"/>
                <w:szCs w:val="24"/>
                <w:color w:val="auto"/>
              </w:rPr>
            </w:pPr>
          </w:p>
        </w:tc>
      </w:tr>
      <w:tr>
        <w:trPr>
          <w:trHeight w:val="117"/>
        </w:trPr>
        <w:tc>
          <w:tcPr>
            <w:tcW w:w="29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r>
    </w:tbl>
    <w:p>
      <w:pPr>
        <w:sectPr>
          <w:pgSz w:w="11900" w:h="16838" w:orient="portrait"/>
          <w:cols w:equalWidth="0" w:num="1">
            <w:col w:w="9080"/>
          </w:cols>
          <w:pgMar w:left="1420" w:top="123" w:right="1399"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-1270</wp:posOffset>
            </wp:positionV>
            <wp:extent cx="154495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495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Presents Foundational Preclinical Data Supporting the Development of BLU-782,</w:t>
      </w:r>
    </w:p>
    <w:p>
      <w:pPr>
        <w:jc w:val="center"/>
        <w:spacing w:after="0"/>
        <w:rPr>
          <w:sz w:val="20"/>
          <w:szCs w:val="20"/>
          <w:color w:val="auto"/>
        </w:rPr>
      </w:pPr>
      <w:r>
        <w:rPr>
          <w:rFonts w:ascii="Arial" w:cs="Arial" w:eastAsia="Arial" w:hAnsi="Arial"/>
          <w:sz w:val="17"/>
          <w:szCs w:val="17"/>
          <w:b w:val="1"/>
          <w:bCs w:val="1"/>
          <w:color w:val="auto"/>
        </w:rPr>
        <w:t>a Highly Selective ALK2 Inhibitor, for the Treatment of Patients with Fibrodysplasia Ossificans Progressiva</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Expect to File an IND Application by end of 2018 --</w:t>
      </w:r>
    </w:p>
    <w:p>
      <w:pPr>
        <w:jc w:val="center"/>
        <w:spacing w:after="0"/>
        <w:rPr>
          <w:sz w:val="20"/>
          <w:szCs w:val="20"/>
          <w:color w:val="auto"/>
        </w:rPr>
      </w:pPr>
      <w:r>
        <w:rPr>
          <w:rFonts w:ascii="Arial" w:cs="Arial" w:eastAsia="Arial" w:hAnsi="Arial"/>
          <w:sz w:val="17"/>
          <w:szCs w:val="17"/>
          <w:i w:val="1"/>
          <w:iCs w:val="1"/>
          <w:color w:val="auto"/>
        </w:rPr>
        <w:t>-- Plan to Initiate Phase 1 Clinical Trial in Healthy Volunteers in First Quarter of 2019 --</w:t>
      </w:r>
    </w:p>
    <w:p>
      <w:pPr>
        <w:spacing w:after="0" w:line="115" w:lineRule="exact"/>
        <w:rPr>
          <w:sz w:val="20"/>
          <w:szCs w:val="20"/>
          <w:color w:val="auto"/>
        </w:rPr>
      </w:pPr>
    </w:p>
    <w:p>
      <w:pPr>
        <w:ind w:left="140" w:right="219"/>
        <w:spacing w:after="0" w:line="235" w:lineRule="auto"/>
        <w:rPr>
          <w:sz w:val="20"/>
          <w:szCs w:val="20"/>
          <w:color w:val="auto"/>
        </w:rPr>
      </w:pPr>
      <w:r>
        <w:rPr>
          <w:rFonts w:ascii="Arial" w:cs="Arial" w:eastAsia="Arial" w:hAnsi="Arial"/>
          <w:sz w:val="15"/>
          <w:szCs w:val="15"/>
          <w:color w:val="auto"/>
        </w:rPr>
        <w:t>CAMBRIDGE, Mass., October 1, 2018 – Blueprint Medicines Corporation (NASDAQ: BPMC), a leader in discovering and developing targeted kinase medicines for patients with genomically defined diseases, today announced preclinical proof-of-concept data for BLU-782, an investigational oral precision therapy specifically designed to target mutant activin-like kinase 2 (ALK2), the underlying cause of fibrodysplasia ossificans progressiva (FOP). Preclinical studies in a well-characterized, genetically accurate FOP model showed BLU -782 prevented injury- and surgery-induced heterotopic ossification (HO), reduced edema and restored healthy tissue response to muscle injury. The data were presented on September 30 in a plenary oral session at the 2018 American Society for Bone and Mineral Research (ASBMR) Annual Meeting in Quebec, Canada.</w:t>
      </w:r>
    </w:p>
    <w:p>
      <w:pPr>
        <w:spacing w:after="0" w:line="115" w:lineRule="exact"/>
        <w:rPr>
          <w:sz w:val="20"/>
          <w:szCs w:val="20"/>
          <w:color w:val="auto"/>
        </w:rPr>
      </w:pPr>
    </w:p>
    <w:p>
      <w:pPr>
        <w:ind w:left="140" w:right="259"/>
        <w:spacing w:after="0" w:line="235" w:lineRule="auto"/>
        <w:rPr>
          <w:sz w:val="20"/>
          <w:szCs w:val="20"/>
          <w:color w:val="auto"/>
        </w:rPr>
      </w:pPr>
      <w:r>
        <w:rPr>
          <w:rFonts w:ascii="Arial" w:cs="Arial" w:eastAsia="Arial" w:hAnsi="Arial"/>
          <w:sz w:val="15"/>
          <w:szCs w:val="15"/>
          <w:color w:val="auto"/>
        </w:rPr>
        <w:t>“We are excited to report preclinical proof-of-concept data for BLU-782, a highly selective oral inhibitor of mutant ALK2, the underlying cause of FOP,” said Marion Dorsch, Ph.D., Chief Scientific Officer of Blueprint Medicines. “Despite the discovery of the FOP gene more than a decade ago, prior efforts to develop a selective ALK2 inhibitor faltered due to persistent technical challenges. By leveraging our proprietary compound library and expertise in structure-guided medicinal chemistry, we overcame these challenges and successfully designed BLU-782 to selectively target mutant ALK2. The new preclinical data reported at the ASBMR Annual Meeting showed BLU-782 prevented abnormal bone growth in a well-characterized FOP model, validating selective ALK2 inhibition as an important potential therapeutic strategy.”</w:t>
      </w:r>
    </w:p>
    <w:p>
      <w:pPr>
        <w:spacing w:after="0" w:line="115" w:lineRule="exact"/>
        <w:rPr>
          <w:sz w:val="20"/>
          <w:szCs w:val="20"/>
          <w:color w:val="auto"/>
        </w:rPr>
      </w:pPr>
    </w:p>
    <w:p>
      <w:pPr>
        <w:ind w:left="140" w:right="299"/>
        <w:spacing w:after="0" w:line="279" w:lineRule="auto"/>
        <w:rPr>
          <w:sz w:val="20"/>
          <w:szCs w:val="20"/>
          <w:color w:val="auto"/>
        </w:rPr>
      </w:pPr>
      <w:r>
        <w:rPr>
          <w:rFonts w:ascii="Arial" w:cs="Arial" w:eastAsia="Arial" w:hAnsi="Arial"/>
          <w:sz w:val="14"/>
          <w:szCs w:val="14"/>
          <w:color w:val="auto"/>
        </w:rPr>
        <w:t>FOP is a rare genetic disorder characterized by the abnormal transformation of skeletal muscle, ligaments and tendons into bone, either spontaneously or as the result of physical trauma. FOP is caused by a mutation in the gene for ALK2, which is known as ACVR1, that causes hypersensitivity to certain bone morphogenetic proteins (BMP) and a neomorphic response to activins.</w:t>
      </w:r>
    </w:p>
    <w:p>
      <w:pPr>
        <w:spacing w:after="0" w:line="87" w:lineRule="exact"/>
        <w:rPr>
          <w:sz w:val="20"/>
          <w:szCs w:val="20"/>
          <w:color w:val="auto"/>
        </w:rPr>
      </w:pPr>
    </w:p>
    <w:p>
      <w:pPr>
        <w:ind w:left="140" w:right="219"/>
        <w:spacing w:after="0" w:line="237" w:lineRule="auto"/>
        <w:rPr>
          <w:sz w:val="20"/>
          <w:szCs w:val="20"/>
          <w:color w:val="auto"/>
        </w:rPr>
      </w:pPr>
      <w:r>
        <w:rPr>
          <w:rFonts w:ascii="Arial" w:cs="Arial" w:eastAsia="Arial" w:hAnsi="Arial"/>
          <w:sz w:val="15"/>
          <w:szCs w:val="15"/>
          <w:color w:val="auto"/>
        </w:rPr>
        <w:t xml:space="preserve">In the preclinical data presented at the ASBMR meeting, BLU-782 demonstrated exquisite selectivity for R206H mutant ALK2 in cellular assays, while sparing closely related anti-targets including ALK1, ALK3, and ALK6. Additionally, BLU-782 potently inhibited mutant ALK2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regardless of the activating ligand, including Activin A, Activin B and BMP6.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studies in a conditional knock-in ALK2</w:t>
      </w:r>
      <w:r>
        <w:rPr>
          <w:rFonts w:ascii="Arial" w:cs="Arial" w:eastAsia="Arial" w:hAnsi="Arial"/>
          <w:sz w:val="15"/>
          <w:szCs w:val="15"/>
          <w:color w:val="auto"/>
          <w:vertAlign w:val="superscript"/>
        </w:rPr>
        <w:t>R206H</w:t>
      </w:r>
      <w:r>
        <w:rPr>
          <w:rFonts w:ascii="Arial" w:cs="Arial" w:eastAsia="Arial" w:hAnsi="Arial"/>
          <w:sz w:val="15"/>
          <w:szCs w:val="15"/>
          <w:color w:val="auto"/>
        </w:rPr>
        <w:t xml:space="preserve"> transgenic mouse model showed BLU-782 prevented the formation of injury-induced HO and edema, as measured by micro computed tomography and magnetic resonance imaging. Immunohistochemistry analyses also showed restoration of a healthy response to tissue injury in ALK2</w:t>
      </w:r>
      <w:r>
        <w:rPr>
          <w:rFonts w:ascii="Arial" w:cs="Arial" w:eastAsia="Arial" w:hAnsi="Arial"/>
          <w:sz w:val="15"/>
          <w:szCs w:val="15"/>
          <w:color w:val="auto"/>
          <w:vertAlign w:val="superscript"/>
        </w:rPr>
        <w:t>R206H</w:t>
      </w:r>
      <w:r>
        <w:rPr>
          <w:rFonts w:ascii="Arial" w:cs="Arial" w:eastAsia="Arial" w:hAnsi="Arial"/>
          <w:sz w:val="15"/>
          <w:szCs w:val="15"/>
          <w:color w:val="auto"/>
        </w:rPr>
        <w:t xml:space="preserve"> mice, including skeletal myofiber regeneration. In addition, BLU-782 prevented the formation of surgery-induced HO following fibular osteotomy surgery in ALK2</w:t>
      </w:r>
      <w:r>
        <w:rPr>
          <w:rFonts w:ascii="Arial" w:cs="Arial" w:eastAsia="Arial" w:hAnsi="Arial"/>
          <w:sz w:val="15"/>
          <w:szCs w:val="15"/>
          <w:color w:val="auto"/>
          <w:vertAlign w:val="superscript"/>
        </w:rPr>
        <w:t>R206H</w:t>
      </w:r>
      <w:r>
        <w:rPr>
          <w:rFonts w:ascii="Arial" w:cs="Arial" w:eastAsia="Arial" w:hAnsi="Arial"/>
          <w:sz w:val="15"/>
          <w:szCs w:val="15"/>
          <w:color w:val="auto"/>
        </w:rPr>
        <w:t xml:space="preserve"> mice.</w:t>
      </w:r>
    </w:p>
    <w:p>
      <w:pPr>
        <w:spacing w:after="0" w:line="105" w:lineRule="exact"/>
        <w:rPr>
          <w:sz w:val="20"/>
          <w:szCs w:val="20"/>
          <w:color w:val="auto"/>
        </w:rPr>
      </w:pPr>
    </w:p>
    <w:p>
      <w:pPr>
        <w:ind w:left="140" w:right="279"/>
        <w:spacing w:after="0" w:line="224" w:lineRule="auto"/>
        <w:rPr>
          <w:sz w:val="20"/>
          <w:szCs w:val="20"/>
          <w:color w:val="auto"/>
        </w:rPr>
      </w:pPr>
      <w:r>
        <w:rPr>
          <w:rFonts w:ascii="Arial" w:cs="Arial" w:eastAsia="Arial" w:hAnsi="Arial"/>
          <w:sz w:val="16"/>
          <w:szCs w:val="16"/>
          <w:color w:val="auto"/>
        </w:rPr>
        <w:t>“Given the disabling and destructive nature of this disease, people living with FOP have a desperate need for a safe and effective treatment,” said Adam Sherman, Research Development and Partnerships Director at the International Fibrodysplasia Ossificans Progressiva Association. “We are immensely grateful to have companies like Blueprint Medicines developing new treatments for those living with FOP. We look forward to seeing BLU-782 advance through the development pathway and hope a therapeutic option will one day change the course of this disease.”</w:t>
      </w:r>
    </w:p>
    <w:p>
      <w:pPr>
        <w:spacing w:after="0" w:line="115" w:lineRule="exact"/>
        <w:rPr>
          <w:sz w:val="20"/>
          <w:szCs w:val="20"/>
          <w:color w:val="auto"/>
        </w:rPr>
      </w:pPr>
    </w:p>
    <w:p>
      <w:pPr>
        <w:ind w:left="140" w:right="159"/>
        <w:spacing w:after="0" w:line="227" w:lineRule="auto"/>
        <w:rPr>
          <w:sz w:val="20"/>
          <w:szCs w:val="20"/>
          <w:color w:val="auto"/>
        </w:rPr>
      </w:pPr>
      <w:r>
        <w:rPr>
          <w:rFonts w:ascii="Arial" w:cs="Arial" w:eastAsia="Arial" w:hAnsi="Arial"/>
          <w:sz w:val="16"/>
          <w:szCs w:val="16"/>
          <w:color w:val="auto"/>
        </w:rPr>
        <w:t>Blueprint Medicines expects to submit an investigational new drug (IND) application for BLU-782 by the end of 2018, and subject to approval of the IND application by the U.S. Food and Drug Administration, plans to initiate a Phase 1 clinical trial in healthy volunteers in the first quarter of 2019. In addition, Blueprint Medicines plans to continue working with clinical experts and the patient community to design a potential Phase 2 clinical trial of BLU-782 in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112395</wp:posOffset>
            </wp:positionV>
            <wp:extent cx="554545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5455" cy="1587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140"/>
        <w:spacing w:after="0"/>
        <w:rPr>
          <w:sz w:val="20"/>
          <w:szCs w:val="20"/>
          <w:color w:val="auto"/>
        </w:rPr>
      </w:pPr>
      <w:r>
        <w:rPr>
          <w:rFonts w:ascii="Arial" w:cs="Arial" w:eastAsia="Arial" w:hAnsi="Arial"/>
          <w:sz w:val="17"/>
          <w:szCs w:val="17"/>
          <w:b w:val="1"/>
          <w:bCs w:val="1"/>
          <w:color w:val="auto"/>
        </w:rPr>
        <w:t>About BLU-782</w:t>
      </w:r>
    </w:p>
    <w:p>
      <w:pPr>
        <w:spacing w:after="0" w:line="133" w:lineRule="exact"/>
        <w:rPr>
          <w:sz w:val="20"/>
          <w:szCs w:val="20"/>
          <w:color w:val="auto"/>
        </w:rPr>
      </w:pPr>
    </w:p>
    <w:p>
      <w:pPr>
        <w:ind w:left="140" w:right="299"/>
        <w:spacing w:after="0" w:line="211" w:lineRule="auto"/>
        <w:rPr>
          <w:sz w:val="20"/>
          <w:szCs w:val="20"/>
          <w:color w:val="auto"/>
        </w:rPr>
      </w:pPr>
      <w:r>
        <w:rPr>
          <w:rFonts w:ascii="Arial" w:cs="Arial" w:eastAsia="Arial" w:hAnsi="Arial"/>
          <w:sz w:val="17"/>
          <w:szCs w:val="17"/>
          <w:color w:val="auto"/>
        </w:rPr>
        <w:t>BLU-782 is an oral precision therapy specifically designed to selectively target mutant ALK2, the underlying cause of FOP. Blueprint Medicines is developing BLU-782, an investigational medicine, for the treatment of patients with FOP. BLU-782 was derived from Blueprint Medicines’ proprietary compound library and optimized via structure-guided medicinal chemistry for potent and selective targeting of mutant ALK2. Blueprint Medicines owns worldwide development and commercialization rights for BLU-782.</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Fibrodysplasia Ossificans Progressiva</w:t>
      </w:r>
    </w:p>
    <w:p>
      <w:pPr>
        <w:spacing w:after="0" w:line="133" w:lineRule="exact"/>
        <w:rPr>
          <w:sz w:val="20"/>
          <w:szCs w:val="20"/>
          <w:color w:val="auto"/>
        </w:rPr>
      </w:pPr>
    </w:p>
    <w:p>
      <w:pPr>
        <w:ind w:left="140" w:right="159"/>
        <w:spacing w:after="0" w:line="222" w:lineRule="auto"/>
        <w:rPr>
          <w:sz w:val="20"/>
          <w:szCs w:val="20"/>
          <w:color w:val="auto"/>
        </w:rPr>
      </w:pPr>
      <w:r>
        <w:rPr>
          <w:rFonts w:ascii="Arial" w:cs="Arial" w:eastAsia="Arial" w:hAnsi="Arial"/>
          <w:sz w:val="16"/>
          <w:szCs w:val="16"/>
          <w:color w:val="auto"/>
        </w:rPr>
        <w:t>FOP is a rare, severely disabling genetic disorder characterized by progressive HO, or the abnormal transformation of muscle, ligaments and tendons into bone. HO may be spontaneous or associated with painful episodic disease flare-ups that are usually precipitated by soft tissue injury. As the disease progresses, extra-skeletal bone increasingly restricts joints, resulting in severe disability and loss of mobility, compromised respiratory function and increased risk of early death. FOP is caused by a mutation in the gene for ALK2, which is known as ACVR1, leading to inappropriate activation of the bone morphogenetic pathway. Currently, there are no approved therapies for FOP.</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About Blueprint Medicines</w:t>
      </w:r>
    </w:p>
    <w:p>
      <w:pPr>
        <w:spacing w:after="0" w:line="133" w:lineRule="exact"/>
        <w:rPr>
          <w:sz w:val="20"/>
          <w:szCs w:val="20"/>
          <w:color w:val="auto"/>
        </w:rPr>
      </w:pPr>
    </w:p>
    <w:p>
      <w:pPr>
        <w:ind w:left="140" w:right="279"/>
        <w:spacing w:after="0" w:line="254" w:lineRule="auto"/>
        <w:rPr>
          <w:sz w:val="20"/>
          <w:szCs w:val="20"/>
          <w:color w:val="auto"/>
        </w:rPr>
      </w:pPr>
      <w:r>
        <w:rPr>
          <w:rFonts w:ascii="Arial" w:cs="Arial" w:eastAsia="Arial" w:hAnsi="Arial"/>
          <w:sz w:val="15"/>
          <w:szCs w:val="15"/>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5"/>
          <w:szCs w:val="15"/>
          <w:u w:val="single" w:color="auto"/>
          <w:color w:val="auto"/>
        </w:rPr>
        <w:t>www.blueprintmedicines.com</w:t>
      </w:r>
      <w:r>
        <w:rPr>
          <w:rFonts w:ascii="Arial" w:cs="Arial" w:eastAsia="Arial" w:hAnsi="Arial"/>
          <w:sz w:val="15"/>
          <w:szCs w:val="15"/>
          <w:color w:val="auto"/>
        </w:rPr>
        <w:t>.</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33" w:lineRule="exact"/>
        <w:rPr>
          <w:sz w:val="20"/>
          <w:szCs w:val="20"/>
          <w:color w:val="auto"/>
        </w:rPr>
      </w:pPr>
    </w:p>
    <w:p>
      <w:pPr>
        <w:ind w:left="140" w:right="139"/>
        <w:spacing w:after="0"/>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as amended, including, without limitation, statements regarding plans and timelines for the preclinical and clinical development of BLU-782, including a Phase 1 clinical trial in healthy volunteers and a Phase 2 clinical trial in patients with FOP; the potential benefits of BLU-782 in treating patients with FOP; plans and timelines for submitting an IND application for BLU-782;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hepatocellular carcinoma, avapritinib for PDGFRα D842V-driven gastrointestinal stromal tumors and BLU-667 for RET-driven non-small cell lung cancer; and the success of Blueprint Medicines’ cancer immunotherapy collaboration with F. Hoffmann-La Roche Ltd and Hoffmann-La Roche Inc and Blueprint Medicines’ collaboration with CStone Pharmaceuticals. These and other risks and uncertainties are described in greater detail in the section entitled “Risk Factors” in Blueprint Medicines’ Quarterly Report 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114935</wp:posOffset>
            </wp:positionV>
            <wp:extent cx="554545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5455" cy="15875"/>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5" w:name="page6"/>
    <w:bookmarkEnd w:id="5"/>
    <w:p>
      <w:pPr>
        <w:ind w:left="140" w:right="379"/>
        <w:spacing w:after="0" w:line="211" w:lineRule="auto"/>
        <w:rPr>
          <w:sz w:val="20"/>
          <w:szCs w:val="20"/>
          <w:color w:val="auto"/>
        </w:rPr>
      </w:pPr>
      <w:r>
        <w:rPr>
          <w:rFonts w:ascii="Arial" w:cs="Arial" w:eastAsia="Arial" w:hAnsi="Arial"/>
          <w:sz w:val="17"/>
          <w:szCs w:val="17"/>
          <w:color w:val="auto"/>
        </w:rPr>
        <w:t>10-Q for the quarter ended June 30, 2018, as filed with the Securities and Exchange Commission (SEC) on August 1,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Investor Relations and Media Contacts</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Kristin Hodous</w:t>
      </w:r>
    </w:p>
    <w:p>
      <w:pPr>
        <w:ind w:left="140"/>
        <w:spacing w:after="0" w:line="199" w:lineRule="auto"/>
        <w:rPr>
          <w:sz w:val="20"/>
          <w:szCs w:val="20"/>
          <w:color w:val="auto"/>
        </w:rPr>
      </w:pPr>
      <w:r>
        <w:rPr>
          <w:rFonts w:ascii="Arial" w:cs="Arial" w:eastAsia="Arial" w:hAnsi="Arial"/>
          <w:sz w:val="17"/>
          <w:szCs w:val="17"/>
          <w:color w:val="auto"/>
        </w:rPr>
        <w:t>617-714-6674</w:t>
      </w:r>
    </w:p>
    <w:p>
      <w:pPr>
        <w:ind w:left="140"/>
        <w:spacing w:after="0"/>
        <w:rPr>
          <w:sz w:val="20"/>
          <w:szCs w:val="20"/>
          <w:color w:val="auto"/>
        </w:rPr>
      </w:pPr>
      <w:r>
        <w:rPr>
          <w:rFonts w:ascii="Arial" w:cs="Arial" w:eastAsia="Arial" w:hAnsi="Arial"/>
          <w:sz w:val="17"/>
          <w:szCs w:val="17"/>
          <w:color w:val="auto"/>
        </w:rPr>
        <w:t>KHodous@blueprintmedicines.com</w:t>
      </w:r>
    </w:p>
    <w:p>
      <w:pPr>
        <w:spacing w:after="0" w:line="9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Jim Baker</w:t>
      </w:r>
    </w:p>
    <w:p>
      <w:pPr>
        <w:ind w:left="140"/>
        <w:spacing w:after="0" w:line="199" w:lineRule="auto"/>
        <w:rPr>
          <w:sz w:val="20"/>
          <w:szCs w:val="20"/>
          <w:color w:val="auto"/>
        </w:rPr>
      </w:pPr>
      <w:r>
        <w:rPr>
          <w:rFonts w:ascii="Arial" w:cs="Arial" w:eastAsia="Arial" w:hAnsi="Arial"/>
          <w:sz w:val="17"/>
          <w:szCs w:val="17"/>
          <w:color w:val="auto"/>
        </w:rPr>
        <w:t>617-844-8236</w:t>
      </w:r>
    </w:p>
    <w:p>
      <w:pPr>
        <w:ind w:left="140"/>
        <w:spacing w:after="0"/>
        <w:rPr>
          <w:sz w:val="20"/>
          <w:szCs w:val="20"/>
          <w:color w:val="auto"/>
        </w:rPr>
      </w:pPr>
      <w:r>
        <w:rPr>
          <w:rFonts w:ascii="Arial" w:cs="Arial" w:eastAsia="Arial" w:hAnsi="Arial"/>
          <w:sz w:val="17"/>
          <w:szCs w:val="17"/>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421640</wp:posOffset>
            </wp:positionV>
            <wp:extent cx="554545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5455" cy="23495"/>
                    </a:xfrm>
                    <a:prstGeom prst="rect">
                      <a:avLst/>
                    </a:prstGeom>
                    <a:noFill/>
                  </pic:spPr>
                </pic:pic>
              </a:graphicData>
            </a:graphic>
          </wp:anchor>
        </w:drawing>
      </w:r>
    </w:p>
    <w:p>
      <w:pPr>
        <w:sectPr>
          <w:pgSz w:w="11900" w:h="16838" w:orient="portrait"/>
          <w:cols w:equalWidth="0" w:num="1">
            <w:col w:w="9019"/>
          </w:cols>
          <w:pgMar w:left="1440" w:top="289" w:right="1440" w:bottom="1440" w:gutter="0" w:footer="0" w:header="0"/>
        </w:sectPr>
      </w:pPr>
    </w:p>
    <w:bookmarkStart w:id="6" w:name="page7"/>
    <w:bookmarkEnd w:id="6"/>
    <w:p>
      <w:pPr>
        <w:ind w:left="884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4234815</wp:posOffset>
            </wp:positionV>
            <wp:extent cx="659130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154305</wp:posOffset>
            </wp:positionV>
            <wp:extent cx="6575425" cy="3699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0" w:num="1">
            <w:col w:w="9700"/>
          </w:cols>
          <w:pgMar w:left="1440" w:top="123" w:right="75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4192905</wp:posOffset>
            </wp:positionV>
            <wp:extent cx="659130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112395</wp:posOffset>
            </wp:positionV>
            <wp:extent cx="6575425" cy="3699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4192905</wp:posOffset>
            </wp:positionV>
            <wp:extent cx="659130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112395</wp:posOffset>
            </wp:positionV>
            <wp:extent cx="6575425" cy="3699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4192905</wp:posOffset>
            </wp:positionV>
            <wp:extent cx="659130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112395</wp:posOffset>
            </wp:positionV>
            <wp:extent cx="6575425" cy="3699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4168775</wp:posOffset>
            </wp:positionV>
            <wp:extent cx="659130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1300" cy="23495"/>
                    </a:xfrm>
                    <a:prstGeom prst="rect">
                      <a:avLst/>
                    </a:prstGeom>
                    <a:noFill/>
                  </pic:spPr>
                </pic:pic>
              </a:graphicData>
            </a:graphic>
          </wp:anchor>
        </w:drawing>
        <w:drawing>
          <wp:anchor simplePos="0" relativeHeight="251657728" behindDoc="1" locked="0" layoutInCell="0" allowOverlap="1">
            <wp:simplePos x="0" y="0"/>
            <wp:positionH relativeFrom="page">
              <wp:posOffset>556260</wp:posOffset>
            </wp:positionH>
            <wp:positionV relativeFrom="page">
              <wp:posOffset>88900</wp:posOffset>
            </wp:positionV>
            <wp:extent cx="6575425" cy="3699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575425" cy="3699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485140</wp:posOffset>
            </wp:positionH>
            <wp:positionV relativeFrom="page">
              <wp:posOffset>88900</wp:posOffset>
            </wp:positionV>
            <wp:extent cx="6647180" cy="3977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7180" cy="39770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2019-12-08T10:26:49Z</dcterms:created>
  <dcterms:modified xsi:type="dcterms:W3CDTF">2019-12-08T10:26:49Z</dcterms:modified>
</cp:coreProperties>
</file>