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 Pursuant to Rules 13d-1 and 13d-2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tabs>
          <w:tab w:leader="none" w:pos="2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3942715</wp:posOffset>
            </wp:positionH>
            <wp:positionV relativeFrom="paragraph">
              <wp:posOffset>-19050</wp:posOffset>
            </wp:positionV>
            <wp:extent cx="142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14605</wp:posOffset>
            </wp:positionV>
            <wp:extent cx="3267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14605</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18,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80" w:firstLine="8"/>
        <w:spacing w:after="0" w:line="291" w:lineRule="auto"/>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gridSpan w:val="5"/>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40" w:type="dxa"/>
            <w:vAlign w:val="bottom"/>
          </w:tcPr>
          <w:p>
            <w:pPr>
              <w:ind w:left="1140"/>
              <w:spacing w:after="0"/>
              <w:rPr>
                <w:sz w:val="20"/>
                <w:szCs w:val="20"/>
                <w:color w:val="auto"/>
              </w:rPr>
            </w:pPr>
            <w:r>
              <w:rPr>
                <w:rFonts w:ascii="Arial" w:cs="Arial" w:eastAsia="Arial" w:hAnsi="Arial"/>
                <w:sz w:val="18"/>
                <w:szCs w:val="18"/>
                <w:b w:val="1"/>
                <w:bCs w:val="1"/>
                <w:color w:val="auto"/>
              </w:rPr>
              <w:t>13G</w:t>
            </w:r>
          </w:p>
        </w:tc>
        <w:tc>
          <w:tcPr>
            <w:tcW w:w="1860" w:type="dxa"/>
            <w:vAlign w:val="bottom"/>
            <w:tcBorders>
              <w:right w:val="single" w:sz="8" w:color="auto"/>
            </w:tcBorders>
          </w:tcPr>
          <w:p>
            <w:pPr>
              <w:spacing w:after="0"/>
              <w:rPr>
                <w:sz w:val="22"/>
                <w:szCs w:val="22"/>
                <w:color w:val="auto"/>
              </w:rPr>
            </w:pP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2 of 13 Pages</w:t>
            </w: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Arial" w:cs="Arial" w:eastAsia="Arial" w:hAnsi="Arial"/>
                <w:sz w:val="18"/>
                <w:szCs w:val="18"/>
                <w:color w:val="auto"/>
                <w:w w:val="98"/>
              </w:rPr>
              <w:t>NAME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gridSpan w:val="7"/>
          </w:tcPr>
          <w:p>
            <w:pPr>
              <w:spacing w:after="0"/>
              <w:rPr>
                <w:sz w:val="20"/>
                <w:szCs w:val="20"/>
                <w:color w:val="auto"/>
              </w:rPr>
            </w:pPr>
            <w:r>
              <w:rPr>
                <w:rFonts w:ascii="Arial" w:cs="Arial" w:eastAsia="Arial" w:hAnsi="Arial"/>
                <w:sz w:val="18"/>
                <w:szCs w:val="18"/>
                <w:color w:val="auto"/>
              </w:rPr>
              <w:t>S.S. OR I.R.S. IDENTIFICATION NO. OF ABOVE PERSON</w:t>
            </w:r>
          </w:p>
        </w:tc>
        <w:tc>
          <w:tcPr>
            <w:tcW w:w="1860" w:type="dxa"/>
            <w:vAlign w:val="bottom"/>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Partner Fund Management, L.P.</w:t>
            </w: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60" w:type="dxa"/>
            <w:vAlign w:val="bottom"/>
            <w:gridSpan w:val="7"/>
          </w:tcPr>
          <w:p>
            <w:pPr>
              <w:spacing w:after="0"/>
              <w:rPr>
                <w:sz w:val="20"/>
                <w:szCs w:val="20"/>
                <w:color w:val="auto"/>
              </w:rPr>
            </w:pPr>
            <w:r>
              <w:rPr>
                <w:rFonts w:ascii="Arial" w:cs="Arial" w:eastAsia="Arial" w:hAnsi="Arial"/>
                <w:sz w:val="18"/>
                <w:szCs w:val="18"/>
                <w:color w:val="auto"/>
              </w:rPr>
              <w:t>CHECK THE APPROPRIATE BOX IF A MEMBER OF A GROUP</w:t>
            </w:r>
          </w:p>
        </w:tc>
        <w:tc>
          <w:tcPr>
            <w:tcW w:w="4920" w:type="dxa"/>
            <w:vAlign w:val="bottom"/>
            <w:tcBorders>
              <w:right w:val="single" w:sz="8" w:color="auto"/>
            </w:tcBorders>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ind w:left="1880"/>
              <w:spacing w:after="0"/>
              <w:rPr>
                <w:sz w:val="20"/>
                <w:szCs w:val="20"/>
                <w:color w:val="auto"/>
              </w:rPr>
            </w:pPr>
            <w:r>
              <w:rPr>
                <w:rFonts w:ascii="Arial" w:cs="Arial" w:eastAsia="Arial" w:hAnsi="Arial"/>
                <w:sz w:val="18"/>
                <w:szCs w:val="18"/>
                <w:color w:val="auto"/>
              </w:rPr>
              <w:t>(a)</w:t>
            </w:r>
          </w:p>
        </w:tc>
        <w:tc>
          <w:tcPr>
            <w:tcW w:w="492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(b)</w:t>
            </w:r>
          </w:p>
        </w:tc>
        <w:tc>
          <w:tcPr>
            <w:tcW w:w="4920" w:type="dxa"/>
            <w:vAlign w:val="bottom"/>
            <w:tcBorders>
              <w:bottom w:val="single" w:sz="8" w:color="auto"/>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560" w:type="dxa"/>
            <w:vAlign w:val="bottom"/>
            <w:gridSpan w:val="7"/>
          </w:tcPr>
          <w:p>
            <w:pPr>
              <w:spacing w:after="0"/>
              <w:rPr>
                <w:sz w:val="20"/>
                <w:szCs w:val="20"/>
                <w:color w:val="auto"/>
              </w:rPr>
            </w:pPr>
            <w:r>
              <w:rPr>
                <w:rFonts w:ascii="Arial" w:cs="Arial" w:eastAsia="Arial" w:hAnsi="Arial"/>
                <w:sz w:val="18"/>
                <w:szCs w:val="18"/>
                <w:color w:val="auto"/>
              </w:rPr>
              <w:t>CITIZENSHIP OR PLACE OF ORGANIZATION</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Delaware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2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4"/>
          </w:tcPr>
          <w:p>
            <w:pPr>
              <w:jc w:val="center"/>
              <w:ind w:right="940"/>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right w:val="single" w:sz="8" w:color="auto"/>
            </w:tcBorders>
            <w:gridSpan w:val="4"/>
          </w:tcPr>
          <w:p>
            <w:pPr>
              <w:jc w:val="center"/>
              <w:ind w:right="940"/>
              <w:spacing w:after="0" w:line="182" w:lineRule="exact"/>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4"/>
          </w:tcPr>
          <w:p>
            <w:pPr>
              <w:jc w:val="center"/>
              <w:ind w:right="94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2240" w:type="dxa"/>
            <w:vAlign w:val="bottom"/>
          </w:tcPr>
          <w:p>
            <w:pPr>
              <w:ind w:left="100"/>
              <w:spacing w:after="0"/>
              <w:rPr>
                <w:sz w:val="20"/>
                <w:szCs w:val="20"/>
                <w:color w:val="auto"/>
              </w:rPr>
            </w:pPr>
            <w:r>
              <w:rPr>
                <w:rFonts w:ascii="Arial" w:cs="Arial" w:eastAsia="Arial" w:hAnsi="Arial"/>
                <w:sz w:val="18"/>
                <w:szCs w:val="18"/>
                <w:color w:val="auto"/>
                <w:w w:val="95"/>
              </w:rPr>
              <w:t>SHARED VOTING POWER</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4"/>
          </w:tcPr>
          <w:p>
            <w:pPr>
              <w:jc w:val="center"/>
              <w:ind w:right="940"/>
              <w:spacing w:after="0"/>
              <w:rPr>
                <w:sz w:val="20"/>
                <w:szCs w:val="20"/>
                <w:color w:val="auto"/>
              </w:rPr>
            </w:pPr>
            <w:r>
              <w:rPr>
                <w:rFonts w:ascii="Arial" w:cs="Arial" w:eastAsia="Arial" w:hAnsi="Arial"/>
                <w:sz w:val="18"/>
                <w:szCs w:val="18"/>
                <w:color w:val="auto"/>
                <w:w w:val="99"/>
              </w:rPr>
              <w:t>OWNED BY</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4"/>
          </w:tcPr>
          <w:p>
            <w:pPr>
              <w:jc w:val="center"/>
              <w:ind w:right="940"/>
              <w:spacing w:after="0"/>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ind w:left="760"/>
              <w:spacing w:after="0"/>
              <w:rPr>
                <w:sz w:val="20"/>
                <w:szCs w:val="20"/>
                <w:color w:val="auto"/>
              </w:rPr>
            </w:pPr>
            <w:r>
              <w:rPr>
                <w:rFonts w:ascii="Arial" w:cs="Arial" w:eastAsia="Arial" w:hAnsi="Arial"/>
                <w:sz w:val="18"/>
                <w:szCs w:val="18"/>
                <w:b w:val="1"/>
                <w:bCs w:val="1"/>
                <w:color w:val="auto"/>
              </w:rPr>
              <w:t>1,359,946 shares</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4"/>
          </w:tcPr>
          <w:p>
            <w:pPr>
              <w:jc w:val="center"/>
              <w:ind w:right="940"/>
              <w:spacing w:after="0"/>
              <w:rPr>
                <w:sz w:val="20"/>
                <w:szCs w:val="20"/>
                <w:color w:val="auto"/>
              </w:rPr>
            </w:pPr>
            <w:r>
              <w:rPr>
                <w:rFonts w:ascii="Arial" w:cs="Arial" w:eastAsia="Arial" w:hAnsi="Arial"/>
                <w:sz w:val="18"/>
                <w:szCs w:val="18"/>
                <w:color w:val="auto"/>
                <w:w w:val="91"/>
              </w:rPr>
              <w:t>REPORTING</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tcBorders>
              <w:right w:val="single" w:sz="8" w:color="auto"/>
            </w:tcBorders>
            <w:gridSpan w:val="4"/>
            <w:vMerge w:val="restart"/>
          </w:tcPr>
          <w:p>
            <w:pPr>
              <w:jc w:val="center"/>
              <w:ind w:right="940"/>
              <w:spacing w:after="0"/>
              <w:rPr>
                <w:sz w:val="20"/>
                <w:szCs w:val="20"/>
                <w:color w:val="auto"/>
              </w:rPr>
            </w:pPr>
            <w:r>
              <w:rPr>
                <w:rFonts w:ascii="Arial" w:cs="Arial" w:eastAsia="Arial" w:hAnsi="Arial"/>
                <w:sz w:val="18"/>
                <w:szCs w:val="18"/>
                <w:color w:val="auto"/>
                <w:w w:val="92"/>
              </w:rPr>
              <w:t>PERSON</w:t>
            </w: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520" w:type="dxa"/>
            <w:vAlign w:val="bottom"/>
            <w:tcBorders>
              <w:right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4"/>
          </w:tcPr>
          <w:p>
            <w:pPr>
              <w:jc w:val="center"/>
              <w:ind w:right="940"/>
              <w:spacing w:after="0"/>
              <w:rPr>
                <w:sz w:val="20"/>
                <w:szCs w:val="20"/>
                <w:color w:val="auto"/>
              </w:rPr>
            </w:pPr>
            <w:r>
              <w:rPr>
                <w:rFonts w:ascii="Arial" w:cs="Arial" w:eastAsia="Arial" w:hAnsi="Arial"/>
                <w:sz w:val="18"/>
                <w:szCs w:val="18"/>
                <w:color w:val="auto"/>
                <w:w w:val="99"/>
              </w:rPr>
              <w:t>WITH</w:t>
            </w:r>
          </w:p>
        </w:tc>
        <w:tc>
          <w:tcPr>
            <w:tcW w:w="200" w:type="dxa"/>
            <w:vAlign w:val="bottom"/>
          </w:tcPr>
          <w:p>
            <w:pPr>
              <w:spacing w:after="0"/>
              <w:rPr>
                <w:sz w:val="20"/>
                <w:szCs w:val="20"/>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w w:val="99"/>
              </w:rPr>
              <w:t>See Row 6 above</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See Row 6 above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63"/>
        </w:trPr>
        <w:tc>
          <w:tcPr>
            <w:tcW w:w="84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27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CERTAIN SHARES</w:t>
            </w:r>
          </w:p>
        </w:tc>
        <w:tc>
          <w:tcPr>
            <w:tcW w:w="6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gridSpan w:val="2"/>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4"/>
                <w:szCs w:val="24"/>
                <w:color w:val="auto"/>
              </w:rPr>
            </w:pPr>
          </w:p>
        </w:tc>
        <w:tc>
          <w:tcPr>
            <w:tcW w:w="556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vMerge w:val="restart"/>
          </w:tcPr>
          <w:p>
            <w:pPr>
              <w:ind w:left="760"/>
              <w:spacing w:after="0"/>
              <w:rPr>
                <w:sz w:val="20"/>
                <w:szCs w:val="20"/>
                <w:color w:val="auto"/>
              </w:rPr>
            </w:pPr>
            <w:r>
              <w:rPr>
                <w:rFonts w:ascii="Arial" w:cs="Arial" w:eastAsia="Arial" w:hAnsi="Arial"/>
                <w:sz w:val="18"/>
                <w:szCs w:val="18"/>
                <w:b w:val="1"/>
                <w:bCs w:val="1"/>
                <w:color w:val="auto"/>
                <w:w w:val="92"/>
              </w:rPr>
              <w:t>5.0%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1</w:t>
            </w:r>
          </w:p>
        </w:tc>
        <w:tc>
          <w:tcPr>
            <w:tcW w:w="58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40" w:type="dxa"/>
            <w:vAlign w:val="bottom"/>
            <w:tcBorders>
              <w:left w:val="single" w:sz="8" w:color="auto"/>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3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4"/>
                <w:szCs w:val="24"/>
                <w:color w:val="auto"/>
              </w:rPr>
            </w:pPr>
          </w:p>
        </w:tc>
        <w:tc>
          <w:tcPr>
            <w:tcW w:w="2720" w:type="dxa"/>
            <w:vAlign w:val="bottom"/>
            <w:gridSpan w:val="5"/>
          </w:tcPr>
          <w:p>
            <w:pPr>
              <w:ind w:left="100"/>
              <w:spacing w:after="0"/>
              <w:rPr>
                <w:sz w:val="20"/>
                <w:szCs w:val="20"/>
                <w:color w:val="auto"/>
              </w:rPr>
            </w:pPr>
            <w:r>
              <w:rPr>
                <w:rFonts w:ascii="Arial" w:cs="Arial" w:eastAsia="Arial" w:hAnsi="Arial"/>
                <w:sz w:val="18"/>
                <w:szCs w:val="18"/>
                <w:color w:val="auto"/>
                <w:w w:val="96"/>
              </w:rPr>
              <w:t>TYPE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IA; PN</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9" w:lineRule="exact"/>
        <w:rPr>
          <w:sz w:val="20"/>
          <w:szCs w:val="20"/>
          <w:color w:val="auto"/>
        </w:rPr>
      </w:pPr>
    </w:p>
    <w:p>
      <w:pPr>
        <w:jc w:val="both"/>
        <w:ind w:left="660" w:hanging="652"/>
        <w:spacing w:after="0" w:line="209" w:lineRule="auto"/>
        <w:tabs>
          <w:tab w:leader="none" w:pos="660" w:val="left"/>
        </w:tabs>
        <w:numPr>
          <w:ilvl w:val="0"/>
          <w:numId w:val="2"/>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The percentages reported in this Schedule 13G are based upon 27,201,271 shares of common stock outstanding as of February 29, 2016 according to the Form 10-K filed by the issuer with the Securities and Exchange Commission on March 11, 2016. All of the other numbers and percentages reported in this Schedule 13G are as of 9:00 a.m. (PT) on the date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gridSpan w:val="3"/>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40" w:type="dxa"/>
            <w:vAlign w:val="bottom"/>
          </w:tcPr>
          <w:p>
            <w:pPr>
              <w:ind w:left="1140"/>
              <w:spacing w:after="0"/>
              <w:rPr>
                <w:sz w:val="20"/>
                <w:szCs w:val="20"/>
                <w:color w:val="auto"/>
              </w:rPr>
            </w:pPr>
            <w:r>
              <w:rPr>
                <w:rFonts w:ascii="Arial" w:cs="Arial" w:eastAsia="Arial" w:hAnsi="Arial"/>
                <w:sz w:val="18"/>
                <w:szCs w:val="18"/>
                <w:b w:val="1"/>
                <w:bCs w:val="1"/>
                <w:color w:val="auto"/>
              </w:rPr>
              <w:t>13G</w:t>
            </w:r>
          </w:p>
        </w:tc>
        <w:tc>
          <w:tcPr>
            <w:tcW w:w="1860" w:type="dxa"/>
            <w:vAlign w:val="bottom"/>
            <w:tcBorders>
              <w:right w:val="single" w:sz="8" w:color="auto"/>
            </w:tcBorders>
          </w:tcPr>
          <w:p>
            <w:pPr>
              <w:spacing w:after="0"/>
              <w:rPr>
                <w:sz w:val="22"/>
                <w:szCs w:val="22"/>
                <w:color w:val="auto"/>
              </w:rPr>
            </w:pP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3 of 13 Pages</w:t>
            </w: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8"/>
              </w:rPr>
              <w:t>NAME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S.S. OR I.R.S. IDENTIFICATION NO. OF ABOVE PERSON</w:t>
            </w:r>
          </w:p>
        </w:tc>
        <w:tc>
          <w:tcPr>
            <w:tcW w:w="1860" w:type="dxa"/>
            <w:vAlign w:val="bottom"/>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Partner Fund Management GP, LLC</w:t>
            </w: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4920" w:type="dxa"/>
            <w:vAlign w:val="bottom"/>
            <w:tcBorders>
              <w:right w:val="single" w:sz="8" w:color="auto"/>
            </w:tcBorders>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ind w:left="1880"/>
              <w:spacing w:after="0"/>
              <w:rPr>
                <w:sz w:val="20"/>
                <w:szCs w:val="20"/>
                <w:color w:val="auto"/>
              </w:rPr>
            </w:pPr>
            <w:r>
              <w:rPr>
                <w:rFonts w:ascii="Arial" w:cs="Arial" w:eastAsia="Arial" w:hAnsi="Arial"/>
                <w:sz w:val="18"/>
                <w:szCs w:val="18"/>
                <w:color w:val="auto"/>
              </w:rPr>
              <w:t>(a)</w:t>
            </w:r>
          </w:p>
        </w:tc>
        <w:tc>
          <w:tcPr>
            <w:tcW w:w="492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(b)</w:t>
            </w:r>
          </w:p>
        </w:tc>
        <w:tc>
          <w:tcPr>
            <w:tcW w:w="4920" w:type="dxa"/>
            <w:vAlign w:val="bottom"/>
            <w:tcBorders>
              <w:bottom w:val="single" w:sz="8" w:color="auto"/>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Delaware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2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right w:val="single" w:sz="8" w:color="auto"/>
            </w:tcBorders>
            <w:gridSpan w:val="2"/>
          </w:tcPr>
          <w:p>
            <w:pPr>
              <w:jc w:val="center"/>
              <w:ind w:right="940"/>
              <w:spacing w:after="0" w:line="182" w:lineRule="exact"/>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2240" w:type="dxa"/>
            <w:vAlign w:val="bottom"/>
          </w:tcPr>
          <w:p>
            <w:pPr>
              <w:ind w:left="100"/>
              <w:spacing w:after="0"/>
              <w:rPr>
                <w:sz w:val="20"/>
                <w:szCs w:val="20"/>
                <w:color w:val="auto"/>
              </w:rPr>
            </w:pPr>
            <w:r>
              <w:rPr>
                <w:rFonts w:ascii="Arial" w:cs="Arial" w:eastAsia="Arial" w:hAnsi="Arial"/>
                <w:sz w:val="18"/>
                <w:szCs w:val="18"/>
                <w:color w:val="auto"/>
                <w:w w:val="95"/>
              </w:rPr>
              <w:t>SHARED VOTING POWER</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OWNED BY</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ind w:left="760"/>
              <w:spacing w:after="0"/>
              <w:rPr>
                <w:sz w:val="20"/>
                <w:szCs w:val="20"/>
                <w:color w:val="auto"/>
              </w:rPr>
            </w:pPr>
            <w:r>
              <w:rPr>
                <w:rFonts w:ascii="Arial" w:cs="Arial" w:eastAsia="Arial" w:hAnsi="Arial"/>
                <w:sz w:val="18"/>
                <w:szCs w:val="18"/>
                <w:b w:val="1"/>
                <w:bCs w:val="1"/>
                <w:color w:val="auto"/>
              </w:rPr>
              <w:t>1,359,946 shares</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1"/>
              </w:rPr>
              <w:t>REPORTING</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tcBorders>
              <w:right w:val="single" w:sz="8" w:color="auto"/>
            </w:tcBorders>
            <w:gridSpan w:val="2"/>
            <w:vMerge w:val="restart"/>
          </w:tcPr>
          <w:p>
            <w:pPr>
              <w:jc w:val="center"/>
              <w:ind w:right="940"/>
              <w:spacing w:after="0"/>
              <w:rPr>
                <w:sz w:val="20"/>
                <w:szCs w:val="20"/>
                <w:color w:val="auto"/>
              </w:rPr>
            </w:pPr>
            <w:r>
              <w:rPr>
                <w:rFonts w:ascii="Arial" w:cs="Arial" w:eastAsia="Arial" w:hAnsi="Arial"/>
                <w:sz w:val="18"/>
                <w:szCs w:val="18"/>
                <w:color w:val="auto"/>
                <w:w w:val="92"/>
              </w:rPr>
              <w:t>PERSON</w:t>
            </w: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WITH</w:t>
            </w:r>
          </w:p>
        </w:tc>
        <w:tc>
          <w:tcPr>
            <w:tcW w:w="200" w:type="dxa"/>
            <w:vAlign w:val="bottom"/>
          </w:tcPr>
          <w:p>
            <w:pPr>
              <w:spacing w:after="0"/>
              <w:rPr>
                <w:sz w:val="20"/>
                <w:szCs w:val="20"/>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w w:val="99"/>
              </w:rPr>
              <w:t>See Row 6 above</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63"/>
        </w:trPr>
        <w:tc>
          <w:tcPr>
            <w:tcW w:w="84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2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CERTAIN SHARES</w:t>
            </w:r>
          </w:p>
        </w:tc>
        <w:tc>
          <w:tcPr>
            <w:tcW w:w="6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gridSpan w:val="2"/>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4"/>
                <w:szCs w:val="24"/>
                <w:color w:val="auto"/>
              </w:rPr>
            </w:pPr>
          </w:p>
        </w:tc>
        <w:tc>
          <w:tcPr>
            <w:tcW w:w="55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5.0%</w:t>
            </w: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4"/>
                <w:szCs w:val="24"/>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OO</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gridSpan w:val="3"/>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40" w:type="dxa"/>
            <w:vAlign w:val="bottom"/>
          </w:tcPr>
          <w:p>
            <w:pPr>
              <w:ind w:left="1140"/>
              <w:spacing w:after="0"/>
              <w:rPr>
                <w:sz w:val="20"/>
                <w:szCs w:val="20"/>
                <w:color w:val="auto"/>
              </w:rPr>
            </w:pPr>
            <w:r>
              <w:rPr>
                <w:rFonts w:ascii="Arial" w:cs="Arial" w:eastAsia="Arial" w:hAnsi="Arial"/>
                <w:sz w:val="18"/>
                <w:szCs w:val="18"/>
                <w:b w:val="1"/>
                <w:bCs w:val="1"/>
                <w:color w:val="auto"/>
              </w:rPr>
              <w:t>13G</w:t>
            </w:r>
          </w:p>
        </w:tc>
        <w:tc>
          <w:tcPr>
            <w:tcW w:w="1860" w:type="dxa"/>
            <w:vAlign w:val="bottom"/>
            <w:tcBorders>
              <w:right w:val="single" w:sz="8" w:color="auto"/>
            </w:tcBorders>
          </w:tcPr>
          <w:p>
            <w:pPr>
              <w:spacing w:after="0"/>
              <w:rPr>
                <w:sz w:val="22"/>
                <w:szCs w:val="22"/>
                <w:color w:val="auto"/>
              </w:rPr>
            </w:pP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4 of 13 Pages</w:t>
            </w: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8"/>
              </w:rPr>
              <w:t>NAME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S.S. OR I.R.S. IDENTIFICATION NO. OF ABOVE PERSON</w:t>
            </w:r>
          </w:p>
        </w:tc>
        <w:tc>
          <w:tcPr>
            <w:tcW w:w="1860" w:type="dxa"/>
            <w:vAlign w:val="bottom"/>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Partner Investment Management, L.P.</w:t>
            </w: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4920" w:type="dxa"/>
            <w:vAlign w:val="bottom"/>
            <w:tcBorders>
              <w:right w:val="single" w:sz="8" w:color="auto"/>
            </w:tcBorders>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ind w:left="1880"/>
              <w:spacing w:after="0"/>
              <w:rPr>
                <w:sz w:val="20"/>
                <w:szCs w:val="20"/>
                <w:color w:val="auto"/>
              </w:rPr>
            </w:pPr>
            <w:r>
              <w:rPr>
                <w:rFonts w:ascii="Arial" w:cs="Arial" w:eastAsia="Arial" w:hAnsi="Arial"/>
                <w:sz w:val="18"/>
                <w:szCs w:val="18"/>
                <w:color w:val="auto"/>
              </w:rPr>
              <w:t>(a)</w:t>
            </w:r>
          </w:p>
        </w:tc>
        <w:tc>
          <w:tcPr>
            <w:tcW w:w="492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(b)</w:t>
            </w:r>
          </w:p>
        </w:tc>
        <w:tc>
          <w:tcPr>
            <w:tcW w:w="4920" w:type="dxa"/>
            <w:vAlign w:val="bottom"/>
            <w:tcBorders>
              <w:bottom w:val="single" w:sz="8" w:color="auto"/>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Delaware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2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right w:val="single" w:sz="8" w:color="auto"/>
            </w:tcBorders>
            <w:gridSpan w:val="2"/>
          </w:tcPr>
          <w:p>
            <w:pPr>
              <w:jc w:val="center"/>
              <w:ind w:right="940"/>
              <w:spacing w:after="0" w:line="182" w:lineRule="exact"/>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2240" w:type="dxa"/>
            <w:vAlign w:val="bottom"/>
          </w:tcPr>
          <w:p>
            <w:pPr>
              <w:ind w:left="100"/>
              <w:spacing w:after="0"/>
              <w:rPr>
                <w:sz w:val="20"/>
                <w:szCs w:val="20"/>
                <w:color w:val="auto"/>
              </w:rPr>
            </w:pPr>
            <w:r>
              <w:rPr>
                <w:rFonts w:ascii="Arial" w:cs="Arial" w:eastAsia="Arial" w:hAnsi="Arial"/>
                <w:sz w:val="18"/>
                <w:szCs w:val="18"/>
                <w:color w:val="auto"/>
                <w:w w:val="95"/>
              </w:rPr>
              <w:t>SHARED VOTING POWER</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OWNED BY</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ind w:left="760"/>
              <w:spacing w:after="0"/>
              <w:rPr>
                <w:sz w:val="20"/>
                <w:szCs w:val="20"/>
                <w:color w:val="auto"/>
              </w:rPr>
            </w:pPr>
            <w:r>
              <w:rPr>
                <w:rFonts w:ascii="Arial" w:cs="Arial" w:eastAsia="Arial" w:hAnsi="Arial"/>
                <w:sz w:val="18"/>
                <w:szCs w:val="18"/>
                <w:b w:val="1"/>
                <w:bCs w:val="1"/>
                <w:color w:val="auto"/>
              </w:rPr>
              <w:t>18,788 shares</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1"/>
              </w:rPr>
              <w:t>REPORTING</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tcBorders>
              <w:right w:val="single" w:sz="8" w:color="auto"/>
            </w:tcBorders>
            <w:gridSpan w:val="2"/>
            <w:vMerge w:val="restart"/>
          </w:tcPr>
          <w:p>
            <w:pPr>
              <w:jc w:val="center"/>
              <w:ind w:right="940"/>
              <w:spacing w:after="0"/>
              <w:rPr>
                <w:sz w:val="20"/>
                <w:szCs w:val="20"/>
                <w:color w:val="auto"/>
              </w:rPr>
            </w:pPr>
            <w:r>
              <w:rPr>
                <w:rFonts w:ascii="Arial" w:cs="Arial" w:eastAsia="Arial" w:hAnsi="Arial"/>
                <w:sz w:val="18"/>
                <w:szCs w:val="18"/>
                <w:color w:val="auto"/>
                <w:w w:val="92"/>
              </w:rPr>
              <w:t>PERSON</w:t>
            </w: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WITH</w:t>
            </w:r>
          </w:p>
        </w:tc>
        <w:tc>
          <w:tcPr>
            <w:tcW w:w="200" w:type="dxa"/>
            <w:vAlign w:val="bottom"/>
          </w:tcPr>
          <w:p>
            <w:pPr>
              <w:spacing w:after="0"/>
              <w:rPr>
                <w:sz w:val="20"/>
                <w:szCs w:val="20"/>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w w:val="99"/>
              </w:rPr>
              <w:t>See Row 6 above</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63"/>
        </w:trPr>
        <w:tc>
          <w:tcPr>
            <w:tcW w:w="84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2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CERTAIN SHARES</w:t>
            </w:r>
          </w:p>
        </w:tc>
        <w:tc>
          <w:tcPr>
            <w:tcW w:w="6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gridSpan w:val="2"/>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4"/>
                <w:szCs w:val="24"/>
                <w:color w:val="auto"/>
              </w:rPr>
            </w:pPr>
          </w:p>
        </w:tc>
        <w:tc>
          <w:tcPr>
            <w:tcW w:w="55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0.1%</w:t>
            </w: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4"/>
                <w:szCs w:val="24"/>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IA; PN</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gridSpan w:val="3"/>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40" w:type="dxa"/>
            <w:vAlign w:val="bottom"/>
          </w:tcPr>
          <w:p>
            <w:pPr>
              <w:ind w:left="1140"/>
              <w:spacing w:after="0"/>
              <w:rPr>
                <w:sz w:val="20"/>
                <w:szCs w:val="20"/>
                <w:color w:val="auto"/>
              </w:rPr>
            </w:pPr>
            <w:r>
              <w:rPr>
                <w:rFonts w:ascii="Arial" w:cs="Arial" w:eastAsia="Arial" w:hAnsi="Arial"/>
                <w:sz w:val="18"/>
                <w:szCs w:val="18"/>
                <w:b w:val="1"/>
                <w:bCs w:val="1"/>
                <w:color w:val="auto"/>
              </w:rPr>
              <w:t>13G</w:t>
            </w:r>
          </w:p>
        </w:tc>
        <w:tc>
          <w:tcPr>
            <w:tcW w:w="1860" w:type="dxa"/>
            <w:vAlign w:val="bottom"/>
            <w:tcBorders>
              <w:right w:val="single" w:sz="8" w:color="auto"/>
            </w:tcBorders>
          </w:tcPr>
          <w:p>
            <w:pPr>
              <w:spacing w:after="0"/>
              <w:rPr>
                <w:sz w:val="22"/>
                <w:szCs w:val="22"/>
                <w:color w:val="auto"/>
              </w:rPr>
            </w:pP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5 of 13 Pages</w:t>
            </w: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8"/>
              </w:rPr>
              <w:t>NAME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S.S. OR I.R.S. IDENTIFICATION NO. OF ABOVE PERSON</w:t>
            </w:r>
          </w:p>
        </w:tc>
        <w:tc>
          <w:tcPr>
            <w:tcW w:w="1860" w:type="dxa"/>
            <w:vAlign w:val="bottom"/>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Partner Investment Management GP, LLC</w:t>
            </w: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4920" w:type="dxa"/>
            <w:vAlign w:val="bottom"/>
            <w:tcBorders>
              <w:right w:val="single" w:sz="8" w:color="auto"/>
            </w:tcBorders>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ind w:left="1880"/>
              <w:spacing w:after="0"/>
              <w:rPr>
                <w:sz w:val="20"/>
                <w:szCs w:val="20"/>
                <w:color w:val="auto"/>
              </w:rPr>
            </w:pPr>
            <w:r>
              <w:rPr>
                <w:rFonts w:ascii="Arial" w:cs="Arial" w:eastAsia="Arial" w:hAnsi="Arial"/>
                <w:sz w:val="18"/>
                <w:szCs w:val="18"/>
                <w:color w:val="auto"/>
              </w:rPr>
              <w:t>(a)</w:t>
            </w:r>
          </w:p>
        </w:tc>
        <w:tc>
          <w:tcPr>
            <w:tcW w:w="492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(b)</w:t>
            </w:r>
          </w:p>
        </w:tc>
        <w:tc>
          <w:tcPr>
            <w:tcW w:w="4920" w:type="dxa"/>
            <w:vAlign w:val="bottom"/>
            <w:tcBorders>
              <w:bottom w:val="single" w:sz="8" w:color="auto"/>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Delaware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2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right w:val="single" w:sz="8" w:color="auto"/>
            </w:tcBorders>
            <w:gridSpan w:val="2"/>
          </w:tcPr>
          <w:p>
            <w:pPr>
              <w:jc w:val="center"/>
              <w:ind w:right="940"/>
              <w:spacing w:after="0" w:line="182" w:lineRule="exact"/>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2240" w:type="dxa"/>
            <w:vAlign w:val="bottom"/>
          </w:tcPr>
          <w:p>
            <w:pPr>
              <w:ind w:left="100"/>
              <w:spacing w:after="0"/>
              <w:rPr>
                <w:sz w:val="20"/>
                <w:szCs w:val="20"/>
                <w:color w:val="auto"/>
              </w:rPr>
            </w:pPr>
            <w:r>
              <w:rPr>
                <w:rFonts w:ascii="Arial" w:cs="Arial" w:eastAsia="Arial" w:hAnsi="Arial"/>
                <w:sz w:val="18"/>
                <w:szCs w:val="18"/>
                <w:color w:val="auto"/>
                <w:w w:val="95"/>
              </w:rPr>
              <w:t>SHARED VOTING POWER</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OWNED BY</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ind w:left="760"/>
              <w:spacing w:after="0"/>
              <w:rPr>
                <w:sz w:val="20"/>
                <w:szCs w:val="20"/>
                <w:color w:val="auto"/>
              </w:rPr>
            </w:pPr>
            <w:r>
              <w:rPr>
                <w:rFonts w:ascii="Arial" w:cs="Arial" w:eastAsia="Arial" w:hAnsi="Arial"/>
                <w:sz w:val="18"/>
                <w:szCs w:val="18"/>
                <w:b w:val="1"/>
                <w:bCs w:val="1"/>
                <w:color w:val="auto"/>
              </w:rPr>
              <w:t>18,788 shares</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1"/>
              </w:rPr>
              <w:t>REPORTING</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tcBorders>
              <w:right w:val="single" w:sz="8" w:color="auto"/>
            </w:tcBorders>
            <w:gridSpan w:val="2"/>
            <w:vMerge w:val="restart"/>
          </w:tcPr>
          <w:p>
            <w:pPr>
              <w:jc w:val="center"/>
              <w:ind w:right="940"/>
              <w:spacing w:after="0"/>
              <w:rPr>
                <w:sz w:val="20"/>
                <w:szCs w:val="20"/>
                <w:color w:val="auto"/>
              </w:rPr>
            </w:pPr>
            <w:r>
              <w:rPr>
                <w:rFonts w:ascii="Arial" w:cs="Arial" w:eastAsia="Arial" w:hAnsi="Arial"/>
                <w:sz w:val="18"/>
                <w:szCs w:val="18"/>
                <w:color w:val="auto"/>
                <w:w w:val="92"/>
              </w:rPr>
              <w:t>PERSON</w:t>
            </w: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WITH</w:t>
            </w:r>
          </w:p>
        </w:tc>
        <w:tc>
          <w:tcPr>
            <w:tcW w:w="200" w:type="dxa"/>
            <w:vAlign w:val="bottom"/>
          </w:tcPr>
          <w:p>
            <w:pPr>
              <w:spacing w:after="0"/>
              <w:rPr>
                <w:sz w:val="20"/>
                <w:szCs w:val="20"/>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w w:val="99"/>
              </w:rPr>
              <w:t>See Row 6 above</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63"/>
        </w:trPr>
        <w:tc>
          <w:tcPr>
            <w:tcW w:w="84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2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CERTAIN SHARES</w:t>
            </w:r>
          </w:p>
        </w:tc>
        <w:tc>
          <w:tcPr>
            <w:tcW w:w="6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gridSpan w:val="2"/>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4"/>
                <w:szCs w:val="24"/>
                <w:color w:val="auto"/>
              </w:rPr>
            </w:pPr>
          </w:p>
        </w:tc>
        <w:tc>
          <w:tcPr>
            <w:tcW w:w="55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0.1%</w:t>
            </w: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4"/>
                <w:szCs w:val="24"/>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OO</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gridSpan w:val="3"/>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40" w:type="dxa"/>
            <w:vAlign w:val="bottom"/>
          </w:tcPr>
          <w:p>
            <w:pPr>
              <w:ind w:left="1140"/>
              <w:spacing w:after="0"/>
              <w:rPr>
                <w:sz w:val="20"/>
                <w:szCs w:val="20"/>
                <w:color w:val="auto"/>
              </w:rPr>
            </w:pPr>
            <w:r>
              <w:rPr>
                <w:rFonts w:ascii="Arial" w:cs="Arial" w:eastAsia="Arial" w:hAnsi="Arial"/>
                <w:sz w:val="18"/>
                <w:szCs w:val="18"/>
                <w:b w:val="1"/>
                <w:bCs w:val="1"/>
                <w:color w:val="auto"/>
              </w:rPr>
              <w:t>13G</w:t>
            </w:r>
          </w:p>
        </w:tc>
        <w:tc>
          <w:tcPr>
            <w:tcW w:w="1860" w:type="dxa"/>
            <w:vAlign w:val="bottom"/>
            <w:tcBorders>
              <w:right w:val="single" w:sz="8" w:color="auto"/>
            </w:tcBorders>
          </w:tcPr>
          <w:p>
            <w:pPr>
              <w:spacing w:after="0"/>
              <w:rPr>
                <w:sz w:val="22"/>
                <w:szCs w:val="22"/>
                <w:color w:val="auto"/>
              </w:rPr>
            </w:pP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6 of 13 Pages</w:t>
            </w: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8"/>
              </w:rPr>
              <w:t>NAME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S.S. OR I.R.S. IDENTIFICATION NO. OF ABOVE PERSON</w:t>
            </w:r>
          </w:p>
        </w:tc>
        <w:tc>
          <w:tcPr>
            <w:tcW w:w="1860" w:type="dxa"/>
            <w:vAlign w:val="bottom"/>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Brian D. Grossman</w:t>
            </w: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4920" w:type="dxa"/>
            <w:vAlign w:val="bottom"/>
            <w:tcBorders>
              <w:right w:val="single" w:sz="8" w:color="auto"/>
            </w:tcBorders>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ind w:left="1880"/>
              <w:spacing w:after="0"/>
              <w:rPr>
                <w:sz w:val="20"/>
                <w:szCs w:val="20"/>
                <w:color w:val="auto"/>
              </w:rPr>
            </w:pPr>
            <w:r>
              <w:rPr>
                <w:rFonts w:ascii="Arial" w:cs="Arial" w:eastAsia="Arial" w:hAnsi="Arial"/>
                <w:sz w:val="18"/>
                <w:szCs w:val="18"/>
                <w:color w:val="auto"/>
              </w:rPr>
              <w:t>(a)</w:t>
            </w:r>
          </w:p>
        </w:tc>
        <w:tc>
          <w:tcPr>
            <w:tcW w:w="492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(b)</w:t>
            </w:r>
          </w:p>
        </w:tc>
        <w:tc>
          <w:tcPr>
            <w:tcW w:w="4920" w:type="dxa"/>
            <w:vAlign w:val="bottom"/>
            <w:tcBorders>
              <w:bottom w:val="single" w:sz="8" w:color="auto"/>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U.S. Citizen</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2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right w:val="single" w:sz="8" w:color="auto"/>
            </w:tcBorders>
            <w:gridSpan w:val="2"/>
          </w:tcPr>
          <w:p>
            <w:pPr>
              <w:jc w:val="center"/>
              <w:ind w:right="940"/>
              <w:spacing w:after="0" w:line="182" w:lineRule="exact"/>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2240" w:type="dxa"/>
            <w:vAlign w:val="bottom"/>
          </w:tcPr>
          <w:p>
            <w:pPr>
              <w:ind w:left="100"/>
              <w:spacing w:after="0"/>
              <w:rPr>
                <w:sz w:val="20"/>
                <w:szCs w:val="20"/>
                <w:color w:val="auto"/>
              </w:rPr>
            </w:pPr>
            <w:r>
              <w:rPr>
                <w:rFonts w:ascii="Arial" w:cs="Arial" w:eastAsia="Arial" w:hAnsi="Arial"/>
                <w:sz w:val="18"/>
                <w:szCs w:val="18"/>
                <w:color w:val="auto"/>
                <w:w w:val="95"/>
              </w:rPr>
              <w:t>SHARED VOTING POWER</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OWNED BY</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ind w:left="760"/>
              <w:spacing w:after="0"/>
              <w:rPr>
                <w:sz w:val="20"/>
                <w:szCs w:val="20"/>
                <w:color w:val="auto"/>
              </w:rPr>
            </w:pPr>
            <w:r>
              <w:rPr>
                <w:rFonts w:ascii="Arial" w:cs="Arial" w:eastAsia="Arial" w:hAnsi="Arial"/>
                <w:sz w:val="18"/>
                <w:szCs w:val="18"/>
                <w:b w:val="1"/>
                <w:bCs w:val="1"/>
                <w:color w:val="auto"/>
              </w:rPr>
              <w:t>1,378,734 shares</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1"/>
              </w:rPr>
              <w:t>REPORTING</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tcBorders>
              <w:right w:val="single" w:sz="8" w:color="auto"/>
            </w:tcBorders>
            <w:gridSpan w:val="2"/>
            <w:vMerge w:val="restart"/>
          </w:tcPr>
          <w:p>
            <w:pPr>
              <w:jc w:val="center"/>
              <w:ind w:right="940"/>
              <w:spacing w:after="0"/>
              <w:rPr>
                <w:sz w:val="20"/>
                <w:szCs w:val="20"/>
                <w:color w:val="auto"/>
              </w:rPr>
            </w:pPr>
            <w:r>
              <w:rPr>
                <w:rFonts w:ascii="Arial" w:cs="Arial" w:eastAsia="Arial" w:hAnsi="Arial"/>
                <w:sz w:val="18"/>
                <w:szCs w:val="18"/>
                <w:color w:val="auto"/>
                <w:w w:val="92"/>
              </w:rPr>
              <w:t>PERSON</w:t>
            </w: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WITH</w:t>
            </w:r>
          </w:p>
        </w:tc>
        <w:tc>
          <w:tcPr>
            <w:tcW w:w="200" w:type="dxa"/>
            <w:vAlign w:val="bottom"/>
          </w:tcPr>
          <w:p>
            <w:pPr>
              <w:spacing w:after="0"/>
              <w:rPr>
                <w:sz w:val="20"/>
                <w:szCs w:val="20"/>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w w:val="99"/>
              </w:rPr>
              <w:t>See Row 6 above</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63"/>
        </w:trPr>
        <w:tc>
          <w:tcPr>
            <w:tcW w:w="84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2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CERTAIN SHARES</w:t>
            </w:r>
          </w:p>
        </w:tc>
        <w:tc>
          <w:tcPr>
            <w:tcW w:w="6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gridSpan w:val="2"/>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4"/>
                <w:szCs w:val="24"/>
                <w:color w:val="auto"/>
              </w:rPr>
            </w:pPr>
          </w:p>
        </w:tc>
        <w:tc>
          <w:tcPr>
            <w:tcW w:w="55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5.1%</w:t>
            </w: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4"/>
                <w:szCs w:val="24"/>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IN</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gridSpan w:val="3"/>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40" w:type="dxa"/>
            <w:vAlign w:val="bottom"/>
          </w:tcPr>
          <w:p>
            <w:pPr>
              <w:ind w:left="1140"/>
              <w:spacing w:after="0"/>
              <w:rPr>
                <w:sz w:val="20"/>
                <w:szCs w:val="20"/>
                <w:color w:val="auto"/>
              </w:rPr>
            </w:pPr>
            <w:r>
              <w:rPr>
                <w:rFonts w:ascii="Arial" w:cs="Arial" w:eastAsia="Arial" w:hAnsi="Arial"/>
                <w:sz w:val="18"/>
                <w:szCs w:val="18"/>
                <w:b w:val="1"/>
                <w:bCs w:val="1"/>
                <w:color w:val="auto"/>
              </w:rPr>
              <w:t>13G</w:t>
            </w:r>
          </w:p>
        </w:tc>
        <w:tc>
          <w:tcPr>
            <w:tcW w:w="1860" w:type="dxa"/>
            <w:vAlign w:val="bottom"/>
            <w:tcBorders>
              <w:right w:val="single" w:sz="8" w:color="auto"/>
            </w:tcBorders>
          </w:tcPr>
          <w:p>
            <w:pPr>
              <w:spacing w:after="0"/>
              <w:rPr>
                <w:sz w:val="22"/>
                <w:szCs w:val="22"/>
                <w:color w:val="auto"/>
              </w:rPr>
            </w:pP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7 of 13 Pages</w:t>
            </w: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8"/>
              </w:rPr>
              <w:t>NAME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S.S. OR I.R.S. IDENTIFICATION NO. OF ABOVE PERSON</w:t>
            </w:r>
          </w:p>
        </w:tc>
        <w:tc>
          <w:tcPr>
            <w:tcW w:w="1860" w:type="dxa"/>
            <w:vAlign w:val="bottom"/>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Christopher M. James</w:t>
            </w: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4920" w:type="dxa"/>
            <w:vAlign w:val="bottom"/>
            <w:tcBorders>
              <w:right w:val="single" w:sz="8" w:color="auto"/>
            </w:tcBorders>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ind w:left="1880"/>
              <w:spacing w:after="0"/>
              <w:rPr>
                <w:sz w:val="20"/>
                <w:szCs w:val="20"/>
                <w:color w:val="auto"/>
              </w:rPr>
            </w:pPr>
            <w:r>
              <w:rPr>
                <w:rFonts w:ascii="Arial" w:cs="Arial" w:eastAsia="Arial" w:hAnsi="Arial"/>
                <w:sz w:val="18"/>
                <w:szCs w:val="18"/>
                <w:color w:val="auto"/>
              </w:rPr>
              <w:t>(a)</w:t>
            </w:r>
          </w:p>
        </w:tc>
        <w:tc>
          <w:tcPr>
            <w:tcW w:w="492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(b)</w:t>
            </w:r>
          </w:p>
        </w:tc>
        <w:tc>
          <w:tcPr>
            <w:tcW w:w="4920" w:type="dxa"/>
            <w:vAlign w:val="bottom"/>
            <w:tcBorders>
              <w:bottom w:val="single" w:sz="8" w:color="auto"/>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U.S. Citizen</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2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right w:val="single" w:sz="8" w:color="auto"/>
            </w:tcBorders>
            <w:gridSpan w:val="2"/>
          </w:tcPr>
          <w:p>
            <w:pPr>
              <w:jc w:val="center"/>
              <w:ind w:right="940"/>
              <w:spacing w:after="0" w:line="182" w:lineRule="exact"/>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2240" w:type="dxa"/>
            <w:vAlign w:val="bottom"/>
          </w:tcPr>
          <w:p>
            <w:pPr>
              <w:ind w:left="100"/>
              <w:spacing w:after="0"/>
              <w:rPr>
                <w:sz w:val="20"/>
                <w:szCs w:val="20"/>
                <w:color w:val="auto"/>
              </w:rPr>
            </w:pPr>
            <w:r>
              <w:rPr>
                <w:rFonts w:ascii="Arial" w:cs="Arial" w:eastAsia="Arial" w:hAnsi="Arial"/>
                <w:sz w:val="18"/>
                <w:szCs w:val="18"/>
                <w:color w:val="auto"/>
                <w:w w:val="95"/>
              </w:rPr>
              <w:t>SHARED VOTING POWER</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OWNED BY</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ind w:left="760"/>
              <w:spacing w:after="0"/>
              <w:rPr>
                <w:sz w:val="20"/>
                <w:szCs w:val="20"/>
                <w:color w:val="auto"/>
              </w:rPr>
            </w:pPr>
            <w:r>
              <w:rPr>
                <w:rFonts w:ascii="Arial" w:cs="Arial" w:eastAsia="Arial" w:hAnsi="Arial"/>
                <w:sz w:val="18"/>
                <w:szCs w:val="18"/>
                <w:b w:val="1"/>
                <w:bCs w:val="1"/>
                <w:color w:val="auto"/>
              </w:rPr>
              <w:t>1,378,734 shares</w:t>
            </w: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1"/>
              </w:rPr>
              <w:t>REPORTING</w:t>
            </w:r>
          </w:p>
        </w:tc>
        <w:tc>
          <w:tcPr>
            <w:tcW w:w="2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20" w:type="dxa"/>
            <w:vAlign w:val="bottom"/>
            <w:tcBorders>
              <w:right w:val="single" w:sz="8" w:color="auto"/>
            </w:tcBorders>
            <w:gridSpan w:val="2"/>
            <w:vMerge w:val="restart"/>
          </w:tcPr>
          <w:p>
            <w:pPr>
              <w:jc w:val="center"/>
              <w:ind w:right="940"/>
              <w:spacing w:after="0"/>
              <w:rPr>
                <w:sz w:val="20"/>
                <w:szCs w:val="20"/>
                <w:color w:val="auto"/>
              </w:rPr>
            </w:pPr>
            <w:r>
              <w:rPr>
                <w:rFonts w:ascii="Arial" w:cs="Arial" w:eastAsia="Arial" w:hAnsi="Arial"/>
                <w:sz w:val="18"/>
                <w:szCs w:val="18"/>
                <w:color w:val="auto"/>
                <w:w w:val="92"/>
              </w:rPr>
              <w:t>PERSON</w:t>
            </w: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52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WITH</w:t>
            </w:r>
          </w:p>
        </w:tc>
        <w:tc>
          <w:tcPr>
            <w:tcW w:w="200" w:type="dxa"/>
            <w:vAlign w:val="bottom"/>
          </w:tcPr>
          <w:p>
            <w:pPr>
              <w:spacing w:after="0"/>
              <w:rPr>
                <w:sz w:val="20"/>
                <w:szCs w:val="20"/>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7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w w:val="99"/>
              </w:rPr>
              <w:t>See Row 6 above</w:t>
            </w: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63"/>
        </w:trPr>
        <w:tc>
          <w:tcPr>
            <w:tcW w:w="84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2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CERTAIN SHARES</w:t>
            </w:r>
          </w:p>
        </w:tc>
        <w:tc>
          <w:tcPr>
            <w:tcW w:w="6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gridSpan w:val="2"/>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4"/>
                <w:szCs w:val="24"/>
                <w:color w:val="auto"/>
              </w:rPr>
            </w:pPr>
          </w:p>
        </w:tc>
        <w:tc>
          <w:tcPr>
            <w:tcW w:w="55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5.1%</w:t>
            </w: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4"/>
                <w:szCs w:val="24"/>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IN</w:t>
            </w: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gridSpan w:val="2"/>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260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w w:val="99"/>
              </w:rPr>
              <w:t>13G</w:t>
            </w:r>
          </w:p>
        </w:tc>
        <w:tc>
          <w:tcPr>
            <w:tcW w:w="2600" w:type="dxa"/>
            <w:vAlign w:val="bottom"/>
            <w:tcBorders>
              <w:right w:val="single" w:sz="8" w:color="auto"/>
            </w:tcBorders>
          </w:tcPr>
          <w:p>
            <w:pPr>
              <w:spacing w:after="0"/>
              <w:rPr>
                <w:sz w:val="22"/>
                <w:szCs w:val="22"/>
                <w:color w:val="auto"/>
              </w:rPr>
            </w:pP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8 of 13 Pages</w:t>
            </w: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411"/>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140" w:type="dxa"/>
            <w:vAlign w:val="bottom"/>
            <w:gridSpan w:val="2"/>
          </w:tcPr>
          <w:p>
            <w:pPr>
              <w:ind w:left="500"/>
              <w:spacing w:after="0"/>
              <w:rPr>
                <w:sz w:val="20"/>
                <w:szCs w:val="20"/>
                <w:color w:val="auto"/>
              </w:rPr>
            </w:pPr>
            <w:r>
              <w:rPr>
                <w:rFonts w:ascii="Arial" w:cs="Arial" w:eastAsia="Arial" w:hAnsi="Arial"/>
                <w:sz w:val="18"/>
                <w:szCs w:val="18"/>
                <w:b w:val="1"/>
                <w:bCs w:val="1"/>
                <w:color w:val="auto"/>
              </w:rPr>
              <w:t>Name of Issuer</w:t>
            </w:r>
          </w:p>
        </w:tc>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4140" w:type="dxa"/>
            <w:vAlign w:val="bottom"/>
            <w:gridSpan w:val="2"/>
          </w:tcPr>
          <w:p>
            <w:pPr>
              <w:ind w:left="500"/>
              <w:spacing w:after="0"/>
              <w:rPr>
                <w:sz w:val="20"/>
                <w:szCs w:val="20"/>
                <w:color w:val="auto"/>
              </w:rPr>
            </w:pPr>
            <w:r>
              <w:rPr>
                <w:rFonts w:ascii="Arial" w:cs="Arial" w:eastAsia="Arial" w:hAnsi="Arial"/>
                <w:sz w:val="18"/>
                <w:szCs w:val="18"/>
                <w:color w:val="auto"/>
              </w:rPr>
              <w:t>Blueprint Medicines Corporation</w:t>
            </w:r>
          </w:p>
        </w:tc>
        <w:tc>
          <w:tcPr>
            <w:tcW w:w="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140" w:type="dxa"/>
            <w:vAlign w:val="bottom"/>
            <w:gridSpan w:val="2"/>
          </w:tcPr>
          <w:p>
            <w:pPr>
              <w:ind w:left="500"/>
              <w:spacing w:after="0"/>
              <w:rPr>
                <w:sz w:val="20"/>
                <w:szCs w:val="20"/>
                <w:color w:val="auto"/>
              </w:rPr>
            </w:pPr>
            <w:r>
              <w:rPr>
                <w:rFonts w:ascii="Arial" w:cs="Arial" w:eastAsia="Arial" w:hAnsi="Arial"/>
                <w:sz w:val="18"/>
                <w:szCs w:val="18"/>
                <w:b w:val="1"/>
                <w:bCs w:val="1"/>
                <w:color w:val="auto"/>
                <w:w w:val="89"/>
              </w:rPr>
              <w:t>Address of Issuer’s Principal Executive Offices</w:t>
            </w:r>
          </w:p>
        </w:tc>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4540" w:type="dxa"/>
            <w:vAlign w:val="bottom"/>
            <w:gridSpan w:val="3"/>
          </w:tcPr>
          <w:p>
            <w:pPr>
              <w:ind w:left="500"/>
              <w:spacing w:after="0"/>
              <w:rPr>
                <w:sz w:val="20"/>
                <w:szCs w:val="20"/>
                <w:color w:val="auto"/>
              </w:rPr>
            </w:pPr>
            <w:r>
              <w:rPr>
                <w:rFonts w:ascii="Arial" w:cs="Arial" w:eastAsia="Arial" w:hAnsi="Arial"/>
                <w:sz w:val="18"/>
                <w:szCs w:val="18"/>
                <w:color w:val="auto"/>
                <w:w w:val="89"/>
              </w:rPr>
              <w:t>38 Sidney Street, Suite 200, Cambridge, Massachusetts</w:t>
            </w:r>
          </w:p>
        </w:tc>
        <w:tc>
          <w:tcPr>
            <w:tcW w:w="2600" w:type="dxa"/>
            <w:vAlign w:val="bottom"/>
          </w:tcPr>
          <w:p>
            <w:pPr>
              <w:jc w:val="right"/>
              <w:ind w:right="2030"/>
              <w:spacing w:after="0"/>
              <w:rPr>
                <w:sz w:val="20"/>
                <w:szCs w:val="20"/>
                <w:color w:val="auto"/>
              </w:rPr>
            </w:pPr>
            <w:r>
              <w:rPr>
                <w:rFonts w:ascii="Arial" w:cs="Arial" w:eastAsia="Arial" w:hAnsi="Arial"/>
                <w:sz w:val="18"/>
                <w:szCs w:val="18"/>
                <w:color w:val="auto"/>
                <w:w w:val="91"/>
              </w:rPr>
              <w:t>02139</w:t>
            </w:r>
          </w:p>
        </w:tc>
        <w:tc>
          <w:tcPr>
            <w:tcW w:w="3060" w:type="dxa"/>
            <w:vAlign w:val="bottom"/>
          </w:tcPr>
          <w:p>
            <w:pPr>
              <w:spacing w:after="0"/>
              <w:rPr>
                <w:sz w:val="20"/>
                <w:szCs w:val="20"/>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140" w:type="dxa"/>
            <w:vAlign w:val="bottom"/>
            <w:gridSpan w:val="2"/>
          </w:tcPr>
          <w:p>
            <w:pPr>
              <w:ind w:left="500"/>
              <w:spacing w:after="0"/>
              <w:rPr>
                <w:sz w:val="20"/>
                <w:szCs w:val="20"/>
                <w:color w:val="auto"/>
              </w:rPr>
            </w:pPr>
            <w:r>
              <w:rPr>
                <w:rFonts w:ascii="Arial" w:cs="Arial" w:eastAsia="Arial" w:hAnsi="Arial"/>
                <w:sz w:val="18"/>
                <w:szCs w:val="18"/>
                <w:b w:val="1"/>
                <w:bCs w:val="1"/>
                <w:color w:val="auto"/>
              </w:rPr>
              <w:t>Name of Person Filing</w:t>
            </w:r>
          </w:p>
        </w:tc>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ind w:left="1720" w:right="140"/>
        <w:spacing w:after="0" w:line="287" w:lineRule="auto"/>
        <w:rPr>
          <w:sz w:val="20"/>
          <w:szCs w:val="20"/>
          <w:color w:val="auto"/>
        </w:rPr>
      </w:pPr>
      <w:r>
        <w:rPr>
          <w:rFonts w:ascii="Arial" w:cs="Arial" w:eastAsia="Arial" w:hAnsi="Arial"/>
          <w:sz w:val="16"/>
          <w:szCs w:val="16"/>
          <w:color w:val="auto"/>
        </w:rPr>
        <w:t>This Schedule 13G is being jointly filed by Partner Fund Management, L.P. (“PFM”), Partner Fund Management GP, LLC (“PFM-GP”), Partner Investment Management, L.P. (“PIM”), Partner Investment Management GP, LLC (“PIM-GP”), Brian D. Grossman (“Grossman”) and Christopher M. James (“James” and, collectively with PFM, PFM-GP, PIM, PIM-GP and Grossman, the “Reporting Persons”) with respect to shares of common stock of the above-named issuer owned by PFM Healthcare Master Fund, L.P., a Cayman Islands limited partnership (“HCM”), PFM Healthcare Opportunities Master Fund, L.P., a Cayman Islands limited partnership (“HCOPP”), PFM Healthcare Principals Fund, L.P., a Delaware limited partnership (“HCP”), PFM Healthcare Emerging Growth Master Fund, L.P., a Cayman Islands limited partnership (“HEGM”), and PFM Oncology Opportunities Master Fund, L.P., a Cayman Islands limited partnership (“ONCOPP” and, collectively with HCM, HCOPP, HCP and HEGM, the “Funds”).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w w:val="92"/>
              </w:rPr>
              <w:t>PFM is the investment advisor for HCM, HCOPP, HEGM and ONCOPP. PIM is the investment advisor for HCP. PFM-GP and PIM-</w:t>
            </w:r>
          </w:p>
        </w:tc>
      </w:tr>
      <w:tr>
        <w:trPr>
          <w:trHeight w:val="216"/>
        </w:trPr>
        <w:tc>
          <w:tcPr>
            <w:tcW w:w="1220" w:type="dxa"/>
            <w:vAlign w:val="bottom"/>
          </w:tcPr>
          <w:p>
            <w:pPr>
              <w:spacing w:after="0"/>
              <w:rPr>
                <w:sz w:val="18"/>
                <w:szCs w:val="18"/>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w w:val="94"/>
              </w:rPr>
              <w:t>GP are, respectively, the general partners of PFM and PIM. Grossman is the portfolio manager for the health care strategy for the</w:t>
            </w:r>
          </w:p>
        </w:tc>
      </w:tr>
      <w:tr>
        <w:trPr>
          <w:trHeight w:val="230"/>
        </w:trPr>
        <w:tc>
          <w:tcPr>
            <w:tcW w:w="1220" w:type="dxa"/>
            <w:vAlign w:val="bottom"/>
          </w:tcPr>
          <w:p>
            <w:pPr>
              <w:spacing w:after="0"/>
              <w:rPr>
                <w:sz w:val="20"/>
                <w:szCs w:val="20"/>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rPr>
              <w:t>Funds. James is the chief investment officer for PIM and PFM and member manager of PFM-GP and PIM-GP.</w:t>
            </w:r>
          </w:p>
        </w:tc>
      </w:tr>
      <w:tr>
        <w:trPr>
          <w:trHeight w:val="418"/>
        </w:trPr>
        <w:tc>
          <w:tcPr>
            <w:tcW w:w="1220" w:type="dxa"/>
            <w:vAlign w:val="bottom"/>
          </w:tcPr>
          <w:p>
            <w:pPr>
              <w:spacing w:after="0"/>
              <w:rPr>
                <w:sz w:val="24"/>
                <w:szCs w:val="24"/>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w w:val="93"/>
              </w:rPr>
              <w:t>The filing of this statement shall not be construed as an admission that any of the Reporting Persons is the beneficial owner of any</w:t>
            </w:r>
          </w:p>
        </w:tc>
      </w:tr>
      <w:tr>
        <w:trPr>
          <w:trHeight w:val="230"/>
        </w:trPr>
        <w:tc>
          <w:tcPr>
            <w:tcW w:w="1220" w:type="dxa"/>
            <w:vAlign w:val="bottom"/>
          </w:tcPr>
          <w:p>
            <w:pPr>
              <w:spacing w:after="0"/>
              <w:rPr>
                <w:sz w:val="20"/>
                <w:szCs w:val="20"/>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rPr>
              <w:t>securities covered by the statement other than the securities actually owned by such person (if any).</w:t>
            </w:r>
          </w:p>
        </w:tc>
      </w:tr>
      <w:tr>
        <w:trPr>
          <w:trHeight w:val="418"/>
        </w:trPr>
        <w:tc>
          <w:tcPr>
            <w:tcW w:w="12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00" w:type="dxa"/>
            <w:vAlign w:val="bottom"/>
          </w:tcPr>
          <w:p>
            <w:pPr>
              <w:ind w:left="50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16"/>
        </w:trPr>
        <w:tc>
          <w:tcPr>
            <w:tcW w:w="1220" w:type="dxa"/>
            <w:vAlign w:val="bottom"/>
          </w:tcPr>
          <w:p>
            <w:pPr>
              <w:spacing w:after="0"/>
              <w:rPr>
                <w:sz w:val="18"/>
                <w:szCs w:val="18"/>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w w:val="91"/>
              </w:rPr>
              <w:t>The address of the principal business office of each of the Reporting Persons is c/o Partner Fund Management, L.P., 4 Embarcadero</w:t>
            </w:r>
          </w:p>
        </w:tc>
      </w:tr>
      <w:tr>
        <w:trPr>
          <w:trHeight w:val="230"/>
        </w:trPr>
        <w:tc>
          <w:tcPr>
            <w:tcW w:w="1220" w:type="dxa"/>
            <w:vAlign w:val="bottom"/>
          </w:tcPr>
          <w:p>
            <w:pPr>
              <w:spacing w:after="0"/>
              <w:rPr>
                <w:sz w:val="20"/>
                <w:szCs w:val="20"/>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rPr>
              <w:t>Center, Suite 3500, San Francisco, CA 94111.</w:t>
            </w:r>
          </w:p>
        </w:tc>
      </w:tr>
      <w:tr>
        <w:trPr>
          <w:trHeight w:val="418"/>
        </w:trPr>
        <w:tc>
          <w:tcPr>
            <w:tcW w:w="12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00" w:type="dxa"/>
            <w:vAlign w:val="bottom"/>
          </w:tcPr>
          <w:p>
            <w:pPr>
              <w:ind w:left="50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1220" w:type="dxa"/>
            <w:vAlign w:val="bottom"/>
          </w:tcPr>
          <w:p>
            <w:pPr>
              <w:spacing w:after="0"/>
              <w:rPr>
                <w:sz w:val="18"/>
                <w:szCs w:val="18"/>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w w:val="91"/>
              </w:rPr>
              <w:t>Each of PFM and PIM is organized as a limited partnership under the laws of the State of Delaware. Each of PFM-GP and PIM-GP is</w:t>
            </w:r>
          </w:p>
        </w:tc>
      </w:tr>
      <w:tr>
        <w:trPr>
          <w:trHeight w:val="230"/>
        </w:trPr>
        <w:tc>
          <w:tcPr>
            <w:tcW w:w="1220" w:type="dxa"/>
            <w:vAlign w:val="bottom"/>
          </w:tcPr>
          <w:p>
            <w:pPr>
              <w:spacing w:after="0"/>
              <w:rPr>
                <w:sz w:val="20"/>
                <w:szCs w:val="20"/>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w w:val="95"/>
              </w:rPr>
              <w:t>organized as a limited liability company under the laws of the State of Delaware. Each of Grossman and James is a U.S. citizen.</w:t>
            </w:r>
          </w:p>
        </w:tc>
      </w:tr>
      <w:tr>
        <w:trPr>
          <w:trHeight w:val="418"/>
        </w:trPr>
        <w:tc>
          <w:tcPr>
            <w:tcW w:w="12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00" w:type="dxa"/>
            <w:vAlign w:val="bottom"/>
          </w:tcPr>
          <w:p>
            <w:pPr>
              <w:ind w:left="50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220" w:type="dxa"/>
            <w:vAlign w:val="bottom"/>
          </w:tcPr>
          <w:p>
            <w:pPr>
              <w:spacing w:after="0"/>
              <w:rPr>
                <w:sz w:val="20"/>
                <w:szCs w:val="20"/>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rPr>
              <w:t>Common stock, $0.001 par value</w:t>
            </w:r>
          </w:p>
        </w:tc>
      </w:tr>
      <w:tr>
        <w:trPr>
          <w:trHeight w:val="418"/>
        </w:trPr>
        <w:tc>
          <w:tcPr>
            <w:tcW w:w="12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00" w:type="dxa"/>
            <w:vAlign w:val="bottom"/>
          </w:tcPr>
          <w:p>
            <w:pPr>
              <w:ind w:left="50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220" w:type="dxa"/>
            <w:vAlign w:val="bottom"/>
          </w:tcPr>
          <w:p>
            <w:pPr>
              <w:spacing w:after="0"/>
              <w:rPr>
                <w:sz w:val="20"/>
                <w:szCs w:val="20"/>
                <w:color w:val="auto"/>
              </w:rPr>
            </w:pPr>
          </w:p>
        </w:tc>
        <w:tc>
          <w:tcPr>
            <w:tcW w:w="10200" w:type="dxa"/>
            <w:vAlign w:val="bottom"/>
          </w:tcPr>
          <w:p>
            <w:pPr>
              <w:ind w:left="500"/>
              <w:spacing w:after="0"/>
              <w:rPr>
                <w:sz w:val="20"/>
                <w:szCs w:val="20"/>
                <w:color w:val="auto"/>
              </w:rPr>
            </w:pPr>
            <w:r>
              <w:rPr>
                <w:rFonts w:ascii="Arial" w:cs="Arial" w:eastAsia="Arial" w:hAnsi="Arial"/>
                <w:sz w:val="18"/>
                <w:szCs w:val="18"/>
                <w:color w:val="auto"/>
              </w:rPr>
              <w:t>09627Y109</w:t>
            </w:r>
          </w:p>
        </w:tc>
      </w:tr>
      <w:tr>
        <w:trPr>
          <w:trHeight w:val="702"/>
        </w:trPr>
        <w:tc>
          <w:tcPr>
            <w:tcW w:w="122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5600" w:type="dxa"/>
            <w:vAlign w:val="bottom"/>
            <w:tcBorders>
              <w:right w:val="single" w:sz="8" w:color="auto"/>
            </w:tcBorders>
          </w:tcPr>
          <w:p>
            <w:pPr>
              <w:ind w:left="2640"/>
              <w:spacing w:after="0"/>
              <w:rPr>
                <w:sz w:val="20"/>
                <w:szCs w:val="20"/>
                <w:color w:val="auto"/>
              </w:rPr>
            </w:pPr>
            <w:r>
              <w:rPr>
                <w:rFonts w:ascii="Arial" w:cs="Arial" w:eastAsia="Arial" w:hAnsi="Arial"/>
                <w:sz w:val="18"/>
                <w:szCs w:val="18"/>
                <w:b w:val="1"/>
                <w:bCs w:val="1"/>
                <w:color w:val="auto"/>
              </w:rPr>
              <w:t>13G</w:t>
            </w: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9 of 13 Pages</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97" w:lineRule="exact"/>
        <w:rPr>
          <w:sz w:val="20"/>
          <w:szCs w:val="20"/>
          <w:color w:val="auto"/>
        </w:rPr>
      </w:pPr>
    </w:p>
    <w:p>
      <w:pPr>
        <w:ind w:left="1420" w:hanging="44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880" w:hanging="900"/>
        <w:spacing w:after="0" w:line="239" w:lineRule="exact"/>
        <w:tabs>
          <w:tab w:leader="none" w:pos="1434"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tcBorders>
          </w:tcPr>
          <w:p>
            <w:pPr>
              <w:spacing w:after="0"/>
              <w:rPr>
                <w:sz w:val="22"/>
                <w:szCs w:val="22"/>
                <w:color w:val="auto"/>
              </w:rPr>
            </w:pPr>
          </w:p>
        </w:tc>
        <w:tc>
          <w:tcPr>
            <w:tcW w:w="2240" w:type="dxa"/>
            <w:vAlign w:val="bottom"/>
            <w:tcBorders>
              <w:top w:val="single" w:sz="8" w:color="auto"/>
              <w:right w:val="single" w:sz="8" w:color="auto"/>
            </w:tcBorders>
          </w:tcPr>
          <w:p>
            <w:pPr>
              <w:jc w:val="center"/>
              <w:ind w:right="430"/>
              <w:spacing w:after="0"/>
              <w:rPr>
                <w:sz w:val="20"/>
                <w:szCs w:val="20"/>
                <w:color w:val="auto"/>
              </w:rPr>
            </w:pPr>
            <w:r>
              <w:rPr>
                <w:rFonts w:ascii="Arial" w:cs="Arial" w:eastAsia="Arial" w:hAnsi="Arial"/>
                <w:sz w:val="18"/>
                <w:szCs w:val="18"/>
                <w:color w:val="auto"/>
                <w:w w:val="93"/>
              </w:rPr>
              <w:t>CUSIP N</w:t>
            </w:r>
            <w:r>
              <w:rPr>
                <w:rFonts w:ascii="Arial" w:cs="Arial" w:eastAsia="Arial" w:hAnsi="Arial"/>
                <w:sz w:val="12"/>
                <w:szCs w:val="12"/>
                <w:color w:val="auto"/>
                <w:w w:val="93"/>
              </w:rPr>
              <w:t>O</w:t>
            </w:r>
            <w:r>
              <w:rPr>
                <w:rFonts w:ascii="Arial" w:cs="Arial" w:eastAsia="Arial" w:hAnsi="Arial"/>
                <w:sz w:val="18"/>
                <w:szCs w:val="18"/>
                <w:color w:val="auto"/>
                <w:w w:val="93"/>
              </w:rPr>
              <w:t>. 09627Y109</w:t>
            </w:r>
          </w:p>
        </w:tc>
        <w:tc>
          <w:tcPr>
            <w:tcW w:w="5600" w:type="dxa"/>
            <w:vAlign w:val="bottom"/>
            <w:tcBorders>
              <w:right w:val="single" w:sz="8" w:color="auto"/>
            </w:tcBorders>
          </w:tcPr>
          <w:p>
            <w:pPr>
              <w:ind w:left="2640"/>
              <w:spacing w:after="0"/>
              <w:rPr>
                <w:sz w:val="20"/>
                <w:szCs w:val="20"/>
                <w:color w:val="auto"/>
              </w:rPr>
            </w:pPr>
            <w:r>
              <w:rPr>
                <w:rFonts w:ascii="Arial" w:cs="Arial" w:eastAsia="Arial" w:hAnsi="Arial"/>
                <w:sz w:val="18"/>
                <w:szCs w:val="18"/>
                <w:b w:val="1"/>
                <w:bCs w:val="1"/>
                <w:color w:val="auto"/>
              </w:rPr>
              <w:t>13G</w:t>
            </w: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10 of 13 Pages</w:t>
            </w:r>
          </w:p>
        </w:tc>
      </w:tr>
      <w:tr>
        <w:trPr>
          <w:trHeight w:val="27"/>
        </w:trPr>
        <w:tc>
          <w:tcPr>
            <w:tcW w:w="52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560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426"/>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4</w:t>
            </w:r>
          </w:p>
        </w:tc>
        <w:tc>
          <w:tcPr>
            <w:tcW w:w="224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Ownership</w:t>
            </w:r>
          </w:p>
        </w:tc>
        <w:tc>
          <w:tcPr>
            <w:tcW w:w="560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pacing w:after="0" w:line="202" w:lineRule="exact"/>
        <w:rPr>
          <w:sz w:val="20"/>
          <w:szCs w:val="20"/>
          <w:color w:val="auto"/>
        </w:rPr>
      </w:pPr>
    </w:p>
    <w:p>
      <w:pPr>
        <w:ind w:left="1620" w:hanging="640"/>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 Fund Management, L.P. and Partner Fund Management GP, LLC</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PFM and PFM-GP may be deemed to beneficially own 1,359,946 shares of Common Stock.</w:t>
      </w:r>
    </w:p>
    <w:p>
      <w:pPr>
        <w:spacing w:after="0" w:line="225" w:lineRule="exact"/>
        <w:rPr>
          <w:rFonts w:ascii="Arial" w:cs="Arial" w:eastAsia="Arial" w:hAnsi="Arial"/>
          <w:sz w:val="18"/>
          <w:szCs w:val="18"/>
          <w:color w:val="auto"/>
        </w:rPr>
      </w:pPr>
    </w:p>
    <w:p>
      <w:pPr>
        <w:ind w:left="2280" w:right="60" w:hanging="651"/>
        <w:spacing w:after="0" w:line="277" w:lineRule="auto"/>
        <w:tabs>
          <w:tab w:leader="none" w:pos="2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PFM and PFM-GP may be deemed to beneficially own constitutes approximately 5.0% of the Common Stock outstanding.</w:t>
      </w:r>
    </w:p>
    <w:p>
      <w:pPr>
        <w:spacing w:after="0" w:line="170" w:lineRule="exact"/>
        <w:rPr>
          <w:rFonts w:ascii="Arial" w:cs="Arial" w:eastAsia="Arial" w:hAnsi="Arial"/>
          <w:sz w:val="18"/>
          <w:szCs w:val="18"/>
          <w:color w:val="auto"/>
        </w:rPr>
      </w:pPr>
    </w:p>
    <w:p>
      <w:pPr>
        <w:ind w:left="2280" w:hanging="651"/>
        <w:spacing w:after="0"/>
        <w:tabs>
          <w:tab w:leader="none" w:pos="2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1,359,946</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1,359,946</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 Investment Management, L.P. and Partner Investment Management GP, LLC</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PIM and PIM-GP may be deemed to beneficially own 18,788 shares of Common Stock.</w:t>
      </w:r>
    </w:p>
    <w:p>
      <w:pPr>
        <w:spacing w:after="0" w:line="225" w:lineRule="exact"/>
        <w:rPr>
          <w:rFonts w:ascii="Arial" w:cs="Arial" w:eastAsia="Arial" w:hAnsi="Arial"/>
          <w:sz w:val="18"/>
          <w:szCs w:val="18"/>
          <w:color w:val="auto"/>
        </w:rPr>
      </w:pPr>
    </w:p>
    <w:p>
      <w:pPr>
        <w:ind w:left="2280" w:right="140" w:hanging="651"/>
        <w:spacing w:after="0" w:line="277" w:lineRule="auto"/>
        <w:tabs>
          <w:tab w:leader="none" w:pos="2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PIM and PIM-GP may be deemed to beneficially own constitutes approximately 0.1% of the Common Stock outstanding.</w:t>
      </w:r>
    </w:p>
    <w:p>
      <w:pPr>
        <w:spacing w:after="0" w:line="170" w:lineRule="exact"/>
        <w:rPr>
          <w:rFonts w:ascii="Arial" w:cs="Arial" w:eastAsia="Arial" w:hAnsi="Arial"/>
          <w:sz w:val="18"/>
          <w:szCs w:val="18"/>
          <w:color w:val="auto"/>
        </w:rPr>
      </w:pPr>
    </w:p>
    <w:p>
      <w:pPr>
        <w:ind w:left="2280" w:hanging="651"/>
        <w:spacing w:after="0"/>
        <w:tabs>
          <w:tab w:leader="none" w:pos="2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18,788</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18,788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5600" w:type="dxa"/>
            <w:vAlign w:val="bottom"/>
            <w:tcBorders>
              <w:right w:val="single" w:sz="8" w:color="auto"/>
            </w:tcBorders>
          </w:tcPr>
          <w:p>
            <w:pPr>
              <w:ind w:left="2640"/>
              <w:spacing w:after="0"/>
              <w:rPr>
                <w:sz w:val="20"/>
                <w:szCs w:val="20"/>
                <w:color w:val="auto"/>
              </w:rPr>
            </w:pPr>
            <w:r>
              <w:rPr>
                <w:rFonts w:ascii="Arial" w:cs="Arial" w:eastAsia="Arial" w:hAnsi="Arial"/>
                <w:sz w:val="18"/>
                <w:szCs w:val="18"/>
                <w:b w:val="1"/>
                <w:bCs w:val="1"/>
                <w:color w:val="auto"/>
              </w:rPr>
              <w:t>13G</w:t>
            </w: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11 of 13 Pages</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Brian D. Grossman</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Grossman may be deemed to beneficially own 1,378,734 shares of Common Stock.</w:t>
      </w:r>
    </w:p>
    <w:p>
      <w:pPr>
        <w:spacing w:after="0" w:line="225" w:lineRule="exact"/>
        <w:rPr>
          <w:rFonts w:ascii="Arial" w:cs="Arial" w:eastAsia="Arial" w:hAnsi="Arial"/>
          <w:sz w:val="18"/>
          <w:szCs w:val="18"/>
          <w:color w:val="auto"/>
        </w:rPr>
      </w:pPr>
    </w:p>
    <w:p>
      <w:pPr>
        <w:ind w:left="2280" w:right="240" w:hanging="651"/>
        <w:spacing w:after="0" w:line="277" w:lineRule="auto"/>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number of shares Grossman may be deemed to beneficially own constitutes approximately 5.1% of the Common Stock outstanding.</w:t>
      </w:r>
    </w:p>
    <w:p>
      <w:pPr>
        <w:spacing w:after="0" w:line="170" w:lineRule="exact"/>
        <w:rPr>
          <w:rFonts w:ascii="Arial" w:cs="Arial" w:eastAsia="Arial" w:hAnsi="Arial"/>
          <w:sz w:val="18"/>
          <w:szCs w:val="18"/>
          <w:color w:val="auto"/>
        </w:rPr>
      </w:pPr>
    </w:p>
    <w:p>
      <w:pPr>
        <w:ind w:left="2280" w:hanging="651"/>
        <w:spacing w:after="0"/>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1,378,734</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1,378,734</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Christopher M. James</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James may be deemed to beneficially own 1,378,734 shares of Common Stock.</w:t>
      </w:r>
    </w:p>
    <w:p>
      <w:pPr>
        <w:spacing w:after="0" w:line="225" w:lineRule="exact"/>
        <w:rPr>
          <w:rFonts w:ascii="Arial" w:cs="Arial" w:eastAsia="Arial" w:hAnsi="Arial"/>
          <w:sz w:val="18"/>
          <w:szCs w:val="18"/>
          <w:color w:val="auto"/>
        </w:rPr>
      </w:pPr>
    </w:p>
    <w:p>
      <w:pPr>
        <w:ind w:left="2280" w:right="540" w:hanging="651"/>
        <w:spacing w:after="0" w:line="277" w:lineRule="auto"/>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number of shares James may be deemed to beneficially own constitutes approximately 5.1% of the Common Stock outstanding.</w:t>
      </w:r>
    </w:p>
    <w:p>
      <w:pPr>
        <w:spacing w:after="0" w:line="170" w:lineRule="exact"/>
        <w:rPr>
          <w:rFonts w:ascii="Arial" w:cs="Arial" w:eastAsia="Arial" w:hAnsi="Arial"/>
          <w:sz w:val="18"/>
          <w:szCs w:val="18"/>
          <w:color w:val="auto"/>
        </w:rPr>
      </w:pPr>
    </w:p>
    <w:p>
      <w:pPr>
        <w:ind w:left="2280" w:hanging="651"/>
        <w:spacing w:after="0"/>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1,378,734</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1,378,734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tcPr>
          <w:p>
            <w:pPr>
              <w:ind w:left="6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183"/>
        </w:trPr>
        <w:tc>
          <w:tcPr>
            <w:tcW w:w="1120" w:type="dxa"/>
            <w:vAlign w:val="bottom"/>
          </w:tcPr>
          <w:p>
            <w:pPr>
              <w:spacing w:after="0"/>
              <w:rPr>
                <w:sz w:val="15"/>
                <w:szCs w:val="15"/>
                <w:color w:val="auto"/>
              </w:rPr>
            </w:pPr>
          </w:p>
        </w:tc>
        <w:tc>
          <w:tcPr>
            <w:tcW w:w="10300" w:type="dxa"/>
            <w:vAlign w:val="bottom"/>
          </w:tcPr>
          <w:p>
            <w:pPr>
              <w:ind w:left="600"/>
              <w:spacing w:after="0" w:line="183" w:lineRule="exact"/>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w:t>
            </w:r>
          </w:p>
        </w:tc>
      </w:tr>
      <w:tr>
        <w:trPr>
          <w:trHeight w:val="283"/>
        </w:trPr>
        <w:tc>
          <w:tcPr>
            <w:tcW w:w="1120" w:type="dxa"/>
            <w:vAlign w:val="bottom"/>
          </w:tcPr>
          <w:p>
            <w:pPr>
              <w:spacing w:after="0"/>
              <w:rPr>
                <w:sz w:val="24"/>
                <w:szCs w:val="24"/>
                <w:color w:val="auto"/>
              </w:rPr>
            </w:pPr>
          </w:p>
        </w:tc>
        <w:tc>
          <w:tcPr>
            <w:tcW w:w="1030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98"/>
        </w:trPr>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ind w:left="6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1120" w:type="dxa"/>
            <w:vAlign w:val="bottom"/>
          </w:tcPr>
          <w:p>
            <w:pPr>
              <w:spacing w:after="0"/>
              <w:rPr>
                <w:sz w:val="20"/>
                <w:szCs w:val="20"/>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Not Applicable</w:t>
            </w:r>
          </w:p>
        </w:tc>
      </w:tr>
      <w:tr>
        <w:trPr>
          <w:trHeight w:val="41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tcPr>
          <w:p>
            <w:pPr>
              <w:ind w:left="600"/>
              <w:spacing w:after="0"/>
              <w:rPr>
                <w:sz w:val="20"/>
                <w:szCs w:val="20"/>
                <w:color w:val="auto"/>
              </w:rPr>
            </w:pPr>
            <w:r>
              <w:rPr>
                <w:rFonts w:ascii="Arial" w:cs="Arial" w:eastAsia="Arial" w:hAnsi="Arial"/>
                <w:sz w:val="18"/>
                <w:szCs w:val="18"/>
                <w:b w:val="1"/>
                <w:bCs w:val="1"/>
                <w:color w:val="auto"/>
                <w:w w:val="94"/>
              </w:rPr>
              <w:t>Identification and Classification of the Subsidiary which Acquired the Security Being Reported on by the Parent Holding</w:t>
            </w:r>
          </w:p>
        </w:tc>
      </w:tr>
      <w:tr>
        <w:trPr>
          <w:trHeight w:val="220"/>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b w:val="1"/>
                <w:bCs w:val="1"/>
                <w:color w:val="auto"/>
              </w:rPr>
              <w:t>Company</w:t>
            </w:r>
          </w:p>
        </w:tc>
      </w:tr>
      <w:tr>
        <w:trPr>
          <w:trHeight w:val="230"/>
        </w:trPr>
        <w:tc>
          <w:tcPr>
            <w:tcW w:w="1120" w:type="dxa"/>
            <w:vAlign w:val="bottom"/>
          </w:tcPr>
          <w:p>
            <w:pPr>
              <w:spacing w:after="0"/>
              <w:rPr>
                <w:sz w:val="20"/>
                <w:szCs w:val="20"/>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See Item 2 above</w:t>
            </w:r>
          </w:p>
        </w:tc>
      </w:tr>
      <w:tr>
        <w:trPr>
          <w:trHeight w:val="418"/>
        </w:trPr>
        <w:tc>
          <w:tcPr>
            <w:tcW w:w="11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tcPr>
          <w:p>
            <w:pPr>
              <w:ind w:left="60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1120" w:type="dxa"/>
            <w:vAlign w:val="bottom"/>
          </w:tcPr>
          <w:p>
            <w:pPr>
              <w:spacing w:after="0"/>
              <w:rPr>
                <w:sz w:val="20"/>
                <w:szCs w:val="20"/>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Not Applicable</w:t>
            </w:r>
          </w:p>
        </w:tc>
      </w:tr>
      <w:tr>
        <w:trPr>
          <w:trHeight w:val="675"/>
        </w:trPr>
        <w:tc>
          <w:tcPr>
            <w:tcW w:w="11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gridSpan w:val="2"/>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1960" w:type="dxa"/>
            <w:vAlign w:val="bottom"/>
          </w:tcPr>
          <w:p>
            <w:pPr>
              <w:spacing w:after="0"/>
              <w:rPr>
                <w:sz w:val="22"/>
                <w:szCs w:val="22"/>
                <w:color w:val="auto"/>
              </w:rPr>
            </w:pPr>
          </w:p>
        </w:tc>
        <w:tc>
          <w:tcPr>
            <w:tcW w:w="3640" w:type="dxa"/>
            <w:vAlign w:val="bottom"/>
            <w:tcBorders>
              <w:right w:val="single" w:sz="8" w:color="auto"/>
            </w:tcBorders>
          </w:tcPr>
          <w:p>
            <w:pPr>
              <w:ind w:left="680"/>
              <w:spacing w:after="0"/>
              <w:rPr>
                <w:sz w:val="20"/>
                <w:szCs w:val="20"/>
                <w:color w:val="auto"/>
              </w:rPr>
            </w:pPr>
            <w:r>
              <w:rPr>
                <w:rFonts w:ascii="Arial" w:cs="Arial" w:eastAsia="Arial" w:hAnsi="Arial"/>
                <w:sz w:val="18"/>
                <w:szCs w:val="18"/>
                <w:b w:val="1"/>
                <w:bCs w:val="1"/>
                <w:color w:val="auto"/>
              </w:rPr>
              <w:t>13G</w:t>
            </w: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12 of 13 Pages</w:t>
            </w:r>
          </w:p>
        </w:tc>
      </w:tr>
      <w:tr>
        <w:trPr>
          <w:trHeight w:val="27"/>
        </w:trPr>
        <w:tc>
          <w:tcPr>
            <w:tcW w:w="11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364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3560" w:type="dxa"/>
            <w:vAlign w:val="bottom"/>
            <w:gridSpan w:val="2"/>
          </w:tcPr>
          <w:p>
            <w:pPr>
              <w:ind w:left="560"/>
              <w:spacing w:after="0"/>
              <w:rPr>
                <w:sz w:val="20"/>
                <w:szCs w:val="20"/>
                <w:color w:val="auto"/>
              </w:rPr>
            </w:pPr>
            <w:r>
              <w:rPr>
                <w:rFonts w:ascii="Arial" w:cs="Arial" w:eastAsia="Arial" w:hAnsi="Arial"/>
                <w:sz w:val="18"/>
                <w:szCs w:val="18"/>
                <w:b w:val="1"/>
                <w:bCs w:val="1"/>
                <w:color w:val="auto"/>
              </w:rPr>
              <w:t>Notice of Dissolution of Group</w:t>
            </w:r>
          </w:p>
        </w:tc>
        <w:tc>
          <w:tcPr>
            <w:tcW w:w="36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3560" w:type="dxa"/>
            <w:vAlign w:val="bottom"/>
            <w:gridSpan w:val="2"/>
          </w:tcPr>
          <w:p>
            <w:pPr>
              <w:ind w:left="560"/>
              <w:spacing w:after="0"/>
              <w:rPr>
                <w:sz w:val="20"/>
                <w:szCs w:val="20"/>
                <w:color w:val="auto"/>
              </w:rPr>
            </w:pPr>
            <w:r>
              <w:rPr>
                <w:rFonts w:ascii="Arial" w:cs="Arial" w:eastAsia="Arial" w:hAnsi="Arial"/>
                <w:sz w:val="18"/>
                <w:szCs w:val="18"/>
                <w:color w:val="auto"/>
              </w:rPr>
              <w:t>Not Applicable</w:t>
            </w:r>
          </w:p>
        </w:tc>
        <w:tc>
          <w:tcPr>
            <w:tcW w:w="364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3560" w:type="dxa"/>
            <w:vAlign w:val="bottom"/>
            <w:gridSpan w:val="2"/>
          </w:tcPr>
          <w:p>
            <w:pPr>
              <w:ind w:left="560"/>
              <w:spacing w:after="0"/>
              <w:rPr>
                <w:sz w:val="20"/>
                <w:szCs w:val="20"/>
                <w:color w:val="auto"/>
              </w:rPr>
            </w:pPr>
            <w:r>
              <w:rPr>
                <w:rFonts w:ascii="Arial" w:cs="Arial" w:eastAsia="Arial" w:hAnsi="Arial"/>
                <w:sz w:val="18"/>
                <w:szCs w:val="18"/>
                <w:b w:val="1"/>
                <w:bCs w:val="1"/>
                <w:color w:val="auto"/>
              </w:rPr>
              <w:t>Certification</w:t>
            </w:r>
          </w:p>
        </w:tc>
        <w:tc>
          <w:tcPr>
            <w:tcW w:w="36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4"/>
          </w:tcPr>
          <w:p>
            <w:pPr>
              <w:ind w:left="56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w:t>
            </w:r>
          </w:p>
        </w:tc>
      </w:tr>
    </w:tbl>
    <w:p>
      <w:pPr>
        <w:ind w:left="1720" w:right="260"/>
        <w:spacing w:after="0" w:line="261" w:lineRule="auto"/>
        <w:rPr>
          <w:sz w:val="20"/>
          <w:szCs w:val="20"/>
          <w:color w:val="auto"/>
        </w:rPr>
      </w:pPr>
      <w:r>
        <w:rPr>
          <w:rFonts w:ascii="Arial" w:cs="Arial" w:eastAsia="Arial" w:hAnsi="Arial"/>
          <w:sz w:val="18"/>
          <w:szCs w:val="18"/>
          <w:color w:val="auto"/>
        </w:rPr>
        <w:t>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09627Y109</w:t>
            </w:r>
          </w:p>
        </w:tc>
        <w:tc>
          <w:tcPr>
            <w:tcW w:w="5600" w:type="dxa"/>
            <w:vAlign w:val="bottom"/>
            <w:tcBorders>
              <w:right w:val="single" w:sz="8" w:color="auto"/>
            </w:tcBorders>
          </w:tcPr>
          <w:p>
            <w:pPr>
              <w:ind w:left="2640"/>
              <w:spacing w:after="0"/>
              <w:rPr>
                <w:sz w:val="20"/>
                <w:szCs w:val="20"/>
                <w:color w:val="auto"/>
              </w:rPr>
            </w:pPr>
            <w:r>
              <w:rPr>
                <w:rFonts w:ascii="Arial" w:cs="Arial" w:eastAsia="Arial" w:hAnsi="Arial"/>
                <w:sz w:val="18"/>
                <w:szCs w:val="18"/>
                <w:b w:val="1"/>
                <w:bCs w:val="1"/>
                <w:color w:val="auto"/>
              </w:rPr>
              <w:t>13G</w:t>
            </w:r>
          </w:p>
        </w:tc>
        <w:tc>
          <w:tcPr>
            <w:tcW w:w="3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13 of 13 Pages</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PARTNER FUND MANAGEMENT, L.P.</w:t>
            </w:r>
          </w:p>
        </w:tc>
        <w:tc>
          <w:tcPr>
            <w:tcW w:w="6040" w:type="dxa"/>
            <w:vAlign w:val="bottom"/>
            <w:gridSpan w:val="4"/>
          </w:tcPr>
          <w:p>
            <w:pPr>
              <w:ind w:left="580"/>
              <w:spacing w:after="0"/>
              <w:rPr>
                <w:sz w:val="20"/>
                <w:szCs w:val="20"/>
                <w:color w:val="auto"/>
              </w:rPr>
            </w:pPr>
            <w:r>
              <w:rPr>
                <w:rFonts w:ascii="Arial" w:cs="Arial" w:eastAsia="Arial" w:hAnsi="Arial"/>
                <w:sz w:val="18"/>
                <w:szCs w:val="18"/>
                <w:b w:val="1"/>
                <w:bCs w:val="1"/>
                <w:color w:val="auto"/>
              </w:rPr>
              <w:t>PARTNER FUND MANAGEMENT GP,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spacing w:after="0"/>
              <w:rPr>
                <w:sz w:val="20"/>
                <w:szCs w:val="20"/>
                <w:color w:val="auto"/>
              </w:rPr>
            </w:pPr>
            <w:r>
              <w:rPr>
                <w:rFonts w:ascii="Arial" w:cs="Arial" w:eastAsia="Arial" w:hAnsi="Arial"/>
                <w:sz w:val="18"/>
                <w:szCs w:val="18"/>
                <w:color w:val="auto"/>
              </w:rPr>
              <w:t>Partner Fund Management GP, LLC</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Darin Sadow, Authorized Signatory</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Darin Sadow, Authorized Signatory</w:t>
            </w:r>
          </w:p>
        </w:tc>
        <w:tc>
          <w:tcPr>
            <w:tcW w:w="1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PARTNER INVESTMENT MANAGEMENT, L.P.</w:t>
            </w:r>
          </w:p>
        </w:tc>
        <w:tc>
          <w:tcPr>
            <w:tcW w:w="6040" w:type="dxa"/>
            <w:vAlign w:val="bottom"/>
            <w:gridSpan w:val="4"/>
          </w:tcPr>
          <w:p>
            <w:pPr>
              <w:ind w:left="580"/>
              <w:spacing w:after="0"/>
              <w:rPr>
                <w:sz w:val="20"/>
                <w:szCs w:val="20"/>
                <w:color w:val="auto"/>
              </w:rPr>
            </w:pPr>
            <w:r>
              <w:rPr>
                <w:rFonts w:ascii="Arial" w:cs="Arial" w:eastAsia="Arial" w:hAnsi="Arial"/>
                <w:sz w:val="18"/>
                <w:szCs w:val="18"/>
                <w:b w:val="1"/>
                <w:bCs w:val="1"/>
                <w:color w:val="auto"/>
              </w:rPr>
              <w:t>PARTNER INVESTMENT MANAGEMENT GP,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spacing w:after="0"/>
              <w:rPr>
                <w:sz w:val="20"/>
                <w:szCs w:val="20"/>
                <w:color w:val="auto"/>
              </w:rPr>
            </w:pPr>
            <w:r>
              <w:rPr>
                <w:rFonts w:ascii="Arial" w:cs="Arial" w:eastAsia="Arial" w:hAnsi="Arial"/>
                <w:sz w:val="18"/>
                <w:szCs w:val="18"/>
                <w:color w:val="auto"/>
              </w:rPr>
              <w:t>Partner Investment Management GP, LLC,</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Darin Sadow, Authorized Signatory</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Darin Sadow, Authorized Signatory</w:t>
            </w:r>
          </w:p>
        </w:tc>
        <w:tc>
          <w:tcPr>
            <w:tcW w:w="1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BRIAN D. GROSSMAN</w:t>
            </w:r>
          </w:p>
        </w:tc>
        <w:tc>
          <w:tcPr>
            <w:tcW w:w="6040" w:type="dxa"/>
            <w:vAlign w:val="bottom"/>
            <w:gridSpan w:val="4"/>
          </w:tcPr>
          <w:p>
            <w:pPr>
              <w:ind w:left="580"/>
              <w:spacing w:after="0"/>
              <w:rPr>
                <w:sz w:val="20"/>
                <w:szCs w:val="20"/>
                <w:color w:val="auto"/>
              </w:rPr>
            </w:pPr>
            <w:r>
              <w:rPr>
                <w:rFonts w:ascii="Arial" w:cs="Arial" w:eastAsia="Arial" w:hAnsi="Arial"/>
                <w:sz w:val="18"/>
                <w:szCs w:val="18"/>
                <w:b w:val="1"/>
                <w:bCs w:val="1"/>
                <w:color w:val="auto"/>
              </w:rPr>
              <w:t>CHRISTOPHER M. JAMES</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160" w:type="dxa"/>
            <w:vAlign w:val="bottom"/>
            <w:vMerge w:val="restart"/>
          </w:tcPr>
          <w:p>
            <w:pPr>
              <w:spacing w:after="0"/>
              <w:rPr>
                <w:sz w:val="20"/>
                <w:szCs w:val="20"/>
                <w:color w:val="auto"/>
              </w:rPr>
            </w:pPr>
            <w:r>
              <w:rPr>
                <w:rFonts w:ascii="Arial" w:cs="Arial" w:eastAsia="Arial" w:hAnsi="Arial"/>
                <w:sz w:val="18"/>
                <w:szCs w:val="18"/>
                <w:color w:val="auto"/>
                <w:w w:val="91"/>
              </w:rPr>
              <w:t>Darin Sadow, attorney-in-fact</w:t>
            </w:r>
          </w:p>
        </w:tc>
        <w:tc>
          <w:tcPr>
            <w:tcW w:w="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2"/>
              </w:rPr>
              <w:t>*</w:t>
            </w:r>
          </w:p>
        </w:tc>
        <w:tc>
          <w:tcPr>
            <w:tcW w:w="258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w w:val="90"/>
              </w:rPr>
              <w:t>Darin Sadow, attorney-in-fact</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6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9" w:lineRule="exact"/>
        <w:rPr>
          <w:sz w:val="20"/>
          <w:szCs w:val="20"/>
          <w:color w:val="auto"/>
        </w:rPr>
      </w:pPr>
    </w:p>
    <w:p>
      <w:pPr>
        <w:ind w:left="660" w:right="180" w:hanging="652"/>
        <w:spacing w:after="0" w:line="209" w:lineRule="auto"/>
        <w:tabs>
          <w:tab w:leader="none" w:pos="660" w:val="left"/>
        </w:tabs>
        <w:numPr>
          <w:ilvl w:val="0"/>
          <w:numId w:val="6"/>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Darin Sadow is signing on behalf of Brian Grossman as attorney-in-fact pursuant to a power of attorney dated August 4, 2011, and incorporated by reference herein. The power of attorney was filed as an attachment to a filing by certain of the Reporting Persons on Schedule 13G for K-V Pharmaceutical Company on August 5, 2011.</w:t>
      </w:r>
    </w:p>
    <w:p>
      <w:pPr>
        <w:spacing w:after="0" w:line="203" w:lineRule="exact"/>
        <w:rPr>
          <w:sz w:val="20"/>
          <w:szCs w:val="20"/>
          <w:color w:val="auto"/>
        </w:rPr>
      </w:pPr>
    </w:p>
    <w:p>
      <w:pPr>
        <w:ind w:left="660" w:right="160" w:hanging="652"/>
        <w:spacing w:after="0" w:line="209" w:lineRule="auto"/>
        <w:tabs>
          <w:tab w:leader="none" w:pos="660" w:val="left"/>
        </w:tabs>
        <w:numPr>
          <w:ilvl w:val="0"/>
          <w:numId w:val="7"/>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Darin Sadow is signing on behalf of Christopher M. James as attorney-in-fact pursuant to a power of attorney dated August 4, 2011, and incorporated by reference herein. The power of attorney was filed as an attachment to a filing by certain of the Reporting Persons on Schedule 13G for K-V Pharmaceutical Company on August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common stock of Blueprint Medicines Corporation, a Delaware corporation, is being filed jointly with the Securities and Exchange Commission pursuant to Rule 13d-1(c) under the Securities Exchange Act of 1934, as amended, on behalf of each of the undersigned.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may be executed in counterparts and each of such counterparts taken together shall constitute one and the same instrument.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this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PARTNER FUND MANAGEMENT, L.P.</w:t>
            </w:r>
          </w:p>
        </w:tc>
        <w:tc>
          <w:tcPr>
            <w:tcW w:w="6040" w:type="dxa"/>
            <w:vAlign w:val="bottom"/>
            <w:gridSpan w:val="2"/>
          </w:tcPr>
          <w:p>
            <w:pPr>
              <w:ind w:left="580"/>
              <w:spacing w:after="0"/>
              <w:rPr>
                <w:sz w:val="20"/>
                <w:szCs w:val="20"/>
                <w:color w:val="auto"/>
              </w:rPr>
            </w:pPr>
            <w:r>
              <w:rPr>
                <w:rFonts w:ascii="Arial" w:cs="Arial" w:eastAsia="Arial" w:hAnsi="Arial"/>
                <w:sz w:val="18"/>
                <w:szCs w:val="18"/>
                <w:b w:val="1"/>
                <w:bCs w:val="1"/>
                <w:color w:val="auto"/>
              </w:rPr>
              <w:t>PARTNER FUND MANAGEMENT GP,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Partner Fund Management GP, LLC</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r>
      <w:tr>
        <w:trPr>
          <w:trHeight w:val="224"/>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Darin Sadow, Authorized Signatory</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c>
          <w:tcPr>
            <w:tcW w:w="11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Darin Sadow, Authorized Signatory</w:t>
            </w:r>
          </w:p>
        </w:tc>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PARTNER INVESTMENT MANAGEMENT, L.P.</w:t>
            </w:r>
          </w:p>
        </w:tc>
        <w:tc>
          <w:tcPr>
            <w:tcW w:w="6040" w:type="dxa"/>
            <w:vAlign w:val="bottom"/>
            <w:gridSpan w:val="2"/>
          </w:tcPr>
          <w:p>
            <w:pPr>
              <w:ind w:left="580"/>
              <w:spacing w:after="0"/>
              <w:rPr>
                <w:sz w:val="20"/>
                <w:szCs w:val="20"/>
                <w:color w:val="auto"/>
              </w:rPr>
            </w:pPr>
            <w:r>
              <w:rPr>
                <w:rFonts w:ascii="Arial" w:cs="Arial" w:eastAsia="Arial" w:hAnsi="Arial"/>
                <w:sz w:val="18"/>
                <w:szCs w:val="18"/>
                <w:b w:val="1"/>
                <w:bCs w:val="1"/>
                <w:color w:val="auto"/>
              </w:rPr>
              <w:t>PARTNER INVESTMENT MANAGEMENT GP,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Partner Investment Management GP, LLC,</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r>
      <w:tr>
        <w:trPr>
          <w:trHeight w:val="224"/>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Darin Sadow, Authorized Signatory</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c>
          <w:tcPr>
            <w:tcW w:w="11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Darin Sadow, Authorized Signatory</w:t>
            </w:r>
          </w:p>
        </w:tc>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BRIAN D. GROSSMAN</w:t>
            </w:r>
          </w:p>
        </w:tc>
        <w:tc>
          <w:tcPr>
            <w:tcW w:w="6040" w:type="dxa"/>
            <w:vAlign w:val="bottom"/>
            <w:gridSpan w:val="2"/>
          </w:tcPr>
          <w:p>
            <w:pPr>
              <w:ind w:left="580"/>
              <w:spacing w:after="0"/>
              <w:rPr>
                <w:sz w:val="20"/>
                <w:szCs w:val="20"/>
                <w:color w:val="auto"/>
              </w:rPr>
            </w:pPr>
            <w:r>
              <w:rPr>
                <w:rFonts w:ascii="Arial" w:cs="Arial" w:eastAsia="Arial" w:hAnsi="Arial"/>
                <w:sz w:val="18"/>
                <w:szCs w:val="18"/>
                <w:b w:val="1"/>
                <w:bCs w:val="1"/>
                <w:color w:val="auto"/>
              </w:rPr>
              <w:t>CHRISTOPHER M. JAMES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r>
      <w:tr>
        <w:trPr>
          <w:trHeight w:val="224"/>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Darin Sadow, attorney-in-fact</w:t>
            </w:r>
          </w:p>
        </w:tc>
        <w:tc>
          <w:tcPr>
            <w:tcW w:w="11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Darin Sadow, attorney-in-fact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507ED7AB"/>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2019-12-17T07:13:07Z</dcterms:created>
  <dcterms:modified xsi:type="dcterms:W3CDTF">2019-12-17T07:13:07Z</dcterms:modified>
</cp:coreProperties>
</file>