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6"/>
          <w:szCs w:val="16"/>
          <w:b w:val="1"/>
          <w:bCs w:val="1"/>
          <w:color w:val="auto"/>
        </w:rPr>
        <w:t>As filed with the Securities and Exchange Commission on February 21, 2018</w:t>
      </w:r>
    </w:p>
    <w:p>
      <w:pPr>
        <w:spacing w:after="0" w:line="26" w:lineRule="exact"/>
        <w:rPr>
          <w:sz w:val="24"/>
          <w:szCs w:val="24"/>
          <w:color w:val="auto"/>
        </w:rPr>
      </w:pPr>
    </w:p>
    <w:p>
      <w:pPr>
        <w:ind w:left="8620"/>
        <w:spacing w:after="0"/>
        <w:rPr>
          <w:sz w:val="20"/>
          <w:szCs w:val="20"/>
          <w:color w:val="auto"/>
        </w:rPr>
      </w:pPr>
      <w:r>
        <w:rPr>
          <w:rFonts w:ascii="Arial" w:cs="Arial" w:eastAsia="Arial" w:hAnsi="Arial"/>
          <w:sz w:val="16"/>
          <w:szCs w:val="16"/>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109855</wp:posOffset>
            </wp:positionV>
            <wp:extent cx="661225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2483485</wp:posOffset>
            </wp:positionH>
            <wp:positionV relativeFrom="paragraph">
              <wp:posOffset>90805</wp:posOffset>
            </wp:positionV>
            <wp:extent cx="165544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221" w:lineRule="exact"/>
        <w:rPr>
          <w:sz w:val="24"/>
          <w:szCs w:val="24"/>
          <w:color w:val="auto"/>
        </w:rPr>
      </w:pPr>
    </w:p>
    <w:tbl>
      <w:tblPr>
        <w:tblLayout w:type="fixed"/>
        <w:tblInd w:w="1420" w:type="dxa"/>
        <w:tblCellMar>
          <w:top w:w="0" w:type="dxa"/>
          <w:left w:w="0" w:type="dxa"/>
          <w:bottom w:w="0" w:type="dxa"/>
          <w:right w:w="0" w:type="dxa"/>
        </w:tblCellMar>
      </w:tblPr>
      <w:tr>
        <w:trPr>
          <w:trHeight w:val="297"/>
        </w:trPr>
        <w:tc>
          <w:tcPr>
            <w:tcW w:w="2500" w:type="dxa"/>
            <w:vAlign w:val="bottom"/>
          </w:tcPr>
          <w:p>
            <w:pPr>
              <w:spacing w:after="0"/>
              <w:rPr>
                <w:sz w:val="24"/>
                <w:szCs w:val="24"/>
                <w:color w:val="auto"/>
              </w:rPr>
            </w:pPr>
          </w:p>
        </w:tc>
        <w:tc>
          <w:tcPr>
            <w:tcW w:w="3260" w:type="dxa"/>
            <w:vAlign w:val="bottom"/>
            <w:gridSpan w:val="2"/>
          </w:tcPr>
          <w:p>
            <w:pPr>
              <w:jc w:val="center"/>
              <w:ind w:right="680"/>
              <w:spacing w:after="0"/>
              <w:rPr>
                <w:sz w:val="20"/>
                <w:szCs w:val="20"/>
                <w:color w:val="auto"/>
              </w:rPr>
            </w:pPr>
            <w:r>
              <w:rPr>
                <w:rFonts w:ascii="Arial" w:cs="Arial" w:eastAsia="Arial" w:hAnsi="Arial"/>
                <w:sz w:val="25"/>
                <w:szCs w:val="25"/>
                <w:b w:val="1"/>
                <w:bCs w:val="1"/>
                <w:color w:val="auto"/>
                <w:w w:val="98"/>
              </w:rPr>
              <w:t>FORM S-8</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5760" w:type="dxa"/>
            <w:vAlign w:val="bottom"/>
            <w:gridSpan w:val="3"/>
          </w:tcPr>
          <w:p>
            <w:pPr>
              <w:jc w:val="center"/>
              <w:ind w:left="1740"/>
              <w:spacing w:after="0"/>
              <w:rPr>
                <w:sz w:val="20"/>
                <w:szCs w:val="20"/>
                <w:color w:val="auto"/>
              </w:rPr>
            </w:pPr>
            <w:r>
              <w:rPr>
                <w:rFonts w:ascii="Arial" w:cs="Arial" w:eastAsia="Arial" w:hAnsi="Arial"/>
                <w:sz w:val="25"/>
                <w:szCs w:val="25"/>
                <w:b w:val="1"/>
                <w:bCs w:val="1"/>
                <w:color w:val="auto"/>
              </w:rPr>
              <w:t>REGISTRATION STATEMENT</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500" w:type="dxa"/>
            <w:vAlign w:val="bottom"/>
          </w:tcPr>
          <w:p>
            <w:pPr>
              <w:spacing w:after="0"/>
              <w:rPr>
                <w:sz w:val="18"/>
                <w:szCs w:val="18"/>
                <w:color w:val="auto"/>
              </w:rPr>
            </w:pPr>
          </w:p>
        </w:tc>
        <w:tc>
          <w:tcPr>
            <w:tcW w:w="3260" w:type="dxa"/>
            <w:vAlign w:val="bottom"/>
            <w:gridSpan w:val="2"/>
          </w:tcPr>
          <w:p>
            <w:pPr>
              <w:jc w:val="center"/>
              <w:ind w:right="660"/>
              <w:spacing w:after="0"/>
              <w:rPr>
                <w:sz w:val="20"/>
                <w:szCs w:val="20"/>
                <w:color w:val="auto"/>
              </w:rPr>
            </w:pPr>
            <w:r>
              <w:rPr>
                <w:rFonts w:ascii="Arial" w:cs="Arial" w:eastAsia="Arial" w:hAnsi="Arial"/>
                <w:sz w:val="18"/>
                <w:szCs w:val="18"/>
                <w:b w:val="1"/>
                <w:bCs w:val="1"/>
                <w:i w:val="1"/>
                <w:iCs w:val="1"/>
                <w:color w:val="auto"/>
                <w:w w:val="99"/>
              </w:rPr>
              <w:t>UNDER THE</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00" w:type="dxa"/>
            <w:vAlign w:val="bottom"/>
          </w:tcPr>
          <w:p>
            <w:pPr>
              <w:spacing w:after="0"/>
              <w:rPr>
                <w:sz w:val="20"/>
                <w:szCs w:val="20"/>
                <w:color w:val="auto"/>
              </w:rPr>
            </w:pPr>
          </w:p>
        </w:tc>
        <w:tc>
          <w:tcPr>
            <w:tcW w:w="3260" w:type="dxa"/>
            <w:vAlign w:val="bottom"/>
            <w:gridSpan w:val="2"/>
          </w:tcPr>
          <w:p>
            <w:pPr>
              <w:jc w:val="center"/>
              <w:ind w:right="660"/>
              <w:spacing w:after="0"/>
              <w:rPr>
                <w:sz w:val="20"/>
                <w:szCs w:val="20"/>
                <w:color w:val="auto"/>
              </w:rPr>
            </w:pPr>
            <w:r>
              <w:rPr>
                <w:rFonts w:ascii="Arial" w:cs="Arial" w:eastAsia="Arial" w:hAnsi="Arial"/>
                <w:sz w:val="18"/>
                <w:szCs w:val="18"/>
                <w:b w:val="1"/>
                <w:bCs w:val="1"/>
                <w:i w:val="1"/>
                <w:iCs w:val="1"/>
                <w:color w:val="auto"/>
                <w:w w:val="95"/>
              </w:rPr>
              <w:t>SECURITIES ACT OF 1933</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2600" w:type="dxa"/>
            <w:vAlign w:val="bottom"/>
            <w:tcBorders>
              <w:bottom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0"/>
        </w:trPr>
        <w:tc>
          <w:tcPr>
            <w:tcW w:w="5760" w:type="dxa"/>
            <w:vAlign w:val="bottom"/>
            <w:gridSpan w:val="3"/>
          </w:tcPr>
          <w:p>
            <w:pPr>
              <w:jc w:val="center"/>
              <w:ind w:left="1760"/>
              <w:spacing w:after="0"/>
              <w:rPr>
                <w:sz w:val="20"/>
                <w:szCs w:val="20"/>
                <w:color w:val="auto"/>
              </w:rPr>
            </w:pPr>
            <w:r>
              <w:rPr>
                <w:rFonts w:ascii="Arial" w:cs="Arial" w:eastAsia="Arial" w:hAnsi="Arial"/>
                <w:sz w:val="25"/>
                <w:szCs w:val="25"/>
                <w:b w:val="1"/>
                <w:bCs w:val="1"/>
                <w:color w:val="auto"/>
                <w:w w:val="92"/>
              </w:rPr>
              <w:t>Blueprint Medicines Corporation</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5760" w:type="dxa"/>
            <w:vAlign w:val="bottom"/>
            <w:gridSpan w:val="3"/>
          </w:tcPr>
          <w:p>
            <w:pPr>
              <w:jc w:val="center"/>
              <w:ind w:left="1740"/>
              <w:spacing w:after="0"/>
              <w:rPr>
                <w:sz w:val="20"/>
                <w:szCs w:val="20"/>
                <w:color w:val="auto"/>
              </w:rPr>
            </w:pPr>
            <w:r>
              <w:rPr>
                <w:rFonts w:ascii="Arial" w:cs="Arial" w:eastAsia="Arial" w:hAnsi="Arial"/>
                <w:sz w:val="14"/>
                <w:szCs w:val="14"/>
                <w:color w:val="auto"/>
                <w:w w:val="93"/>
              </w:rPr>
              <w:t>(Exact name of registrant as specified in its charter)</w:t>
            </w: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500" w:type="dxa"/>
            <w:vAlign w:val="bottom"/>
          </w:tcPr>
          <w:p>
            <w:pPr>
              <w:spacing w:after="0"/>
              <w:rPr>
                <w:sz w:val="11"/>
                <w:szCs w:val="11"/>
                <w:color w:val="auto"/>
              </w:rPr>
            </w:pPr>
          </w:p>
        </w:tc>
        <w:tc>
          <w:tcPr>
            <w:tcW w:w="260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2"/>
        </w:trPr>
        <w:tc>
          <w:tcPr>
            <w:tcW w:w="5760" w:type="dxa"/>
            <w:vAlign w:val="bottom"/>
            <w:gridSpan w:val="3"/>
          </w:tcPr>
          <w:p>
            <w:pPr>
              <w:jc w:val="center"/>
              <w:ind w:right="3460"/>
              <w:spacing w:after="0"/>
              <w:rPr>
                <w:sz w:val="20"/>
                <w:szCs w:val="20"/>
                <w:color w:val="auto"/>
              </w:rPr>
            </w:pPr>
            <w:r>
              <w:rPr>
                <w:rFonts w:ascii="Arial" w:cs="Arial" w:eastAsia="Arial" w:hAnsi="Arial"/>
                <w:sz w:val="14"/>
                <w:szCs w:val="14"/>
                <w:b w:val="1"/>
                <w:bCs w:val="1"/>
                <w:color w:val="auto"/>
                <w:w w:val="94"/>
              </w:rPr>
              <w:t>Delaware</w:t>
            </w:r>
          </w:p>
        </w:tc>
        <w:tc>
          <w:tcPr>
            <w:tcW w:w="1220" w:type="dxa"/>
            <w:vAlign w:val="bottom"/>
          </w:tcPr>
          <w:p>
            <w:pPr>
              <w:jc w:val="right"/>
              <w:ind w:right="108"/>
              <w:spacing w:after="0"/>
              <w:rPr>
                <w:sz w:val="20"/>
                <w:szCs w:val="20"/>
                <w:color w:val="auto"/>
              </w:rPr>
            </w:pPr>
            <w:r>
              <w:rPr>
                <w:rFonts w:ascii="Arial" w:cs="Arial" w:eastAsia="Arial" w:hAnsi="Arial"/>
                <w:sz w:val="14"/>
                <w:szCs w:val="14"/>
                <w:b w:val="1"/>
                <w:bCs w:val="1"/>
                <w:color w:val="auto"/>
              </w:rPr>
              <w:t>26-3632015</w:t>
            </w:r>
          </w:p>
        </w:tc>
        <w:tc>
          <w:tcPr>
            <w:tcW w:w="0" w:type="dxa"/>
            <w:vAlign w:val="bottom"/>
          </w:tcPr>
          <w:p>
            <w:pPr>
              <w:spacing w:after="0"/>
              <w:rPr>
                <w:sz w:val="1"/>
                <w:szCs w:val="1"/>
                <w:color w:val="auto"/>
              </w:rPr>
            </w:pPr>
          </w:p>
        </w:tc>
      </w:tr>
      <w:tr>
        <w:trPr>
          <w:trHeight w:val="149"/>
        </w:trPr>
        <w:tc>
          <w:tcPr>
            <w:tcW w:w="5760" w:type="dxa"/>
            <w:vAlign w:val="bottom"/>
            <w:gridSpan w:val="3"/>
          </w:tcPr>
          <w:p>
            <w:pPr>
              <w:jc w:val="center"/>
              <w:ind w:right="3480"/>
              <w:spacing w:after="0" w:line="149" w:lineRule="exact"/>
              <w:rPr>
                <w:sz w:val="20"/>
                <w:szCs w:val="20"/>
                <w:color w:val="auto"/>
              </w:rPr>
            </w:pPr>
            <w:r>
              <w:rPr>
                <w:rFonts w:ascii="Arial" w:cs="Arial" w:eastAsia="Arial" w:hAnsi="Arial"/>
                <w:sz w:val="14"/>
                <w:szCs w:val="14"/>
                <w:color w:val="auto"/>
                <w:w w:val="95"/>
              </w:rPr>
              <w:t>(State or other jurisdiction</w:t>
            </w:r>
          </w:p>
        </w:tc>
        <w:tc>
          <w:tcPr>
            <w:tcW w:w="1220" w:type="dxa"/>
            <w:vAlign w:val="bottom"/>
          </w:tcPr>
          <w:p>
            <w:pPr>
              <w:jc w:val="center"/>
              <w:ind w:left="88"/>
              <w:spacing w:after="0" w:line="149" w:lineRule="exact"/>
              <w:rPr>
                <w:sz w:val="20"/>
                <w:szCs w:val="20"/>
                <w:color w:val="auto"/>
              </w:rPr>
            </w:pPr>
            <w:r>
              <w:rPr>
                <w:rFonts w:ascii="Arial" w:cs="Arial" w:eastAsia="Arial" w:hAnsi="Arial"/>
                <w:sz w:val="14"/>
                <w:szCs w:val="14"/>
                <w:color w:val="auto"/>
                <w:w w:val="95"/>
              </w:rPr>
              <w:t>(I.R.S. Employer</w:t>
            </w:r>
          </w:p>
        </w:tc>
        <w:tc>
          <w:tcPr>
            <w:tcW w:w="0" w:type="dxa"/>
            <w:vAlign w:val="bottom"/>
          </w:tcPr>
          <w:p>
            <w:pPr>
              <w:spacing w:after="0"/>
              <w:rPr>
                <w:sz w:val="1"/>
                <w:szCs w:val="1"/>
                <w:color w:val="auto"/>
              </w:rPr>
            </w:pPr>
          </w:p>
        </w:tc>
      </w:tr>
      <w:tr>
        <w:trPr>
          <w:trHeight w:val="182"/>
        </w:trPr>
        <w:tc>
          <w:tcPr>
            <w:tcW w:w="5760" w:type="dxa"/>
            <w:vAlign w:val="bottom"/>
            <w:gridSpan w:val="3"/>
          </w:tcPr>
          <w:p>
            <w:pPr>
              <w:jc w:val="center"/>
              <w:ind w:right="3460"/>
              <w:spacing w:after="0"/>
              <w:rPr>
                <w:sz w:val="20"/>
                <w:szCs w:val="20"/>
                <w:color w:val="auto"/>
              </w:rPr>
            </w:pPr>
            <w:r>
              <w:rPr>
                <w:rFonts w:ascii="Arial" w:cs="Arial" w:eastAsia="Arial" w:hAnsi="Arial"/>
                <w:sz w:val="14"/>
                <w:szCs w:val="14"/>
                <w:color w:val="auto"/>
                <w:w w:val="96"/>
              </w:rPr>
              <w:t>of incorporation)</w:t>
            </w:r>
          </w:p>
        </w:tc>
        <w:tc>
          <w:tcPr>
            <w:tcW w:w="1220" w:type="dxa"/>
            <w:vAlign w:val="bottom"/>
          </w:tcPr>
          <w:p>
            <w:pPr>
              <w:jc w:val="center"/>
              <w:ind w:left="68"/>
              <w:spacing w:after="0"/>
              <w:rPr>
                <w:sz w:val="20"/>
                <w:szCs w:val="20"/>
                <w:color w:val="auto"/>
              </w:rPr>
            </w:pPr>
            <w:r>
              <w:rPr>
                <w:rFonts w:ascii="Arial" w:cs="Arial" w:eastAsia="Arial" w:hAnsi="Arial"/>
                <w:sz w:val="14"/>
                <w:szCs w:val="14"/>
                <w:color w:val="auto"/>
                <w:w w:val="99"/>
              </w:rPr>
              <w:t>Identification No.)</w:t>
            </w:r>
          </w:p>
        </w:tc>
        <w:tc>
          <w:tcPr>
            <w:tcW w:w="0" w:type="dxa"/>
            <w:vAlign w:val="bottom"/>
          </w:tcPr>
          <w:p>
            <w:pPr>
              <w:spacing w:after="0"/>
              <w:rPr>
                <w:sz w:val="1"/>
                <w:szCs w:val="1"/>
                <w:color w:val="auto"/>
              </w:rPr>
            </w:pPr>
          </w:p>
        </w:tc>
      </w:tr>
      <w:tr>
        <w:trPr>
          <w:trHeight w:val="259"/>
        </w:trPr>
        <w:tc>
          <w:tcPr>
            <w:tcW w:w="5760" w:type="dxa"/>
            <w:vAlign w:val="bottom"/>
            <w:gridSpan w:val="3"/>
          </w:tcPr>
          <w:p>
            <w:pPr>
              <w:jc w:val="center"/>
              <w:ind w:right="3480"/>
              <w:spacing w:after="0"/>
              <w:rPr>
                <w:sz w:val="20"/>
                <w:szCs w:val="20"/>
                <w:color w:val="auto"/>
              </w:rPr>
            </w:pPr>
            <w:r>
              <w:rPr>
                <w:rFonts w:ascii="Arial" w:cs="Arial" w:eastAsia="Arial" w:hAnsi="Arial"/>
                <w:sz w:val="14"/>
                <w:szCs w:val="14"/>
                <w:b w:val="1"/>
                <w:bCs w:val="1"/>
                <w:color w:val="auto"/>
                <w:w w:val="91"/>
              </w:rPr>
              <w:t>45 Sidney Street</w:t>
            </w:r>
          </w:p>
        </w:tc>
        <w:tc>
          <w:tcPr>
            <w:tcW w:w="122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02139</w:t>
            </w:r>
          </w:p>
        </w:tc>
        <w:tc>
          <w:tcPr>
            <w:tcW w:w="0" w:type="dxa"/>
            <w:vAlign w:val="bottom"/>
          </w:tcPr>
          <w:p>
            <w:pPr>
              <w:spacing w:after="0"/>
              <w:rPr>
                <w:sz w:val="1"/>
                <w:szCs w:val="1"/>
                <w:color w:val="auto"/>
              </w:rPr>
            </w:pPr>
          </w:p>
        </w:tc>
      </w:tr>
      <w:tr>
        <w:trPr>
          <w:trHeight w:val="153"/>
        </w:trPr>
        <w:tc>
          <w:tcPr>
            <w:tcW w:w="5760" w:type="dxa"/>
            <w:vAlign w:val="bottom"/>
            <w:gridSpan w:val="3"/>
          </w:tcPr>
          <w:p>
            <w:pPr>
              <w:jc w:val="center"/>
              <w:ind w:right="3460"/>
              <w:spacing w:after="0" w:line="153" w:lineRule="exact"/>
              <w:rPr>
                <w:sz w:val="20"/>
                <w:szCs w:val="20"/>
                <w:color w:val="auto"/>
              </w:rPr>
            </w:pPr>
            <w:r>
              <w:rPr>
                <w:rFonts w:ascii="Arial" w:cs="Arial" w:eastAsia="Arial" w:hAnsi="Arial"/>
                <w:sz w:val="14"/>
                <w:szCs w:val="14"/>
                <w:b w:val="1"/>
                <w:bCs w:val="1"/>
                <w:color w:val="auto"/>
                <w:w w:val="91"/>
              </w:rPr>
              <w:t>Cambridge, Massachusetts</w:t>
            </w:r>
          </w:p>
        </w:tc>
        <w:tc>
          <w:tcPr>
            <w:tcW w:w="12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5760" w:type="dxa"/>
            <w:vAlign w:val="bottom"/>
            <w:gridSpan w:val="3"/>
          </w:tcPr>
          <w:p>
            <w:pPr>
              <w:jc w:val="center"/>
              <w:ind w:right="3480"/>
              <w:spacing w:after="0"/>
              <w:rPr>
                <w:sz w:val="20"/>
                <w:szCs w:val="20"/>
                <w:color w:val="auto"/>
              </w:rPr>
            </w:pPr>
            <w:r>
              <w:rPr>
                <w:rFonts w:ascii="Arial" w:cs="Arial" w:eastAsia="Arial" w:hAnsi="Arial"/>
                <w:sz w:val="14"/>
                <w:szCs w:val="14"/>
                <w:color w:val="auto"/>
                <w:w w:val="95"/>
              </w:rPr>
              <w:t>(Address of principal executive offices)</w:t>
            </w:r>
          </w:p>
        </w:tc>
        <w:tc>
          <w:tcPr>
            <w:tcW w:w="1220" w:type="dxa"/>
            <w:vAlign w:val="bottom"/>
          </w:tcPr>
          <w:p>
            <w:pPr>
              <w:jc w:val="center"/>
              <w:ind w:left="68"/>
              <w:spacing w:after="0"/>
              <w:rPr>
                <w:sz w:val="20"/>
                <w:szCs w:val="20"/>
                <w:color w:val="auto"/>
              </w:rPr>
            </w:pPr>
            <w:r>
              <w:rPr>
                <w:rFonts w:ascii="Arial" w:cs="Arial" w:eastAsia="Arial" w:hAnsi="Arial"/>
                <w:sz w:val="14"/>
                <w:szCs w:val="14"/>
                <w:color w:val="auto"/>
                <w:w w:val="96"/>
              </w:rPr>
              <w:t>(Zip Code)</w:t>
            </w:r>
          </w:p>
        </w:tc>
        <w:tc>
          <w:tcPr>
            <w:tcW w:w="0" w:type="dxa"/>
            <w:vAlign w:val="bottom"/>
          </w:tcPr>
          <w:p>
            <w:pPr>
              <w:spacing w:after="0"/>
              <w:rPr>
                <w:sz w:val="1"/>
                <w:szCs w:val="1"/>
                <w:color w:val="auto"/>
              </w:rPr>
            </w:pPr>
          </w:p>
        </w:tc>
      </w:tr>
      <w:tr>
        <w:trPr>
          <w:trHeight w:val="151"/>
        </w:trPr>
        <w:tc>
          <w:tcPr>
            <w:tcW w:w="2500" w:type="dxa"/>
            <w:vAlign w:val="bottom"/>
          </w:tcPr>
          <w:p>
            <w:pPr>
              <w:spacing w:after="0"/>
              <w:rPr>
                <w:sz w:val="13"/>
                <w:szCs w:val="13"/>
                <w:color w:val="auto"/>
              </w:rPr>
            </w:pPr>
          </w:p>
        </w:tc>
        <w:tc>
          <w:tcPr>
            <w:tcW w:w="3260" w:type="dxa"/>
            <w:vAlign w:val="bottom"/>
            <w:gridSpan w:val="2"/>
          </w:tcPr>
          <w:p>
            <w:pPr>
              <w:jc w:val="center"/>
              <w:ind w:right="660"/>
              <w:spacing w:after="0" w:line="151" w:lineRule="exact"/>
              <w:rPr>
                <w:sz w:val="20"/>
                <w:szCs w:val="20"/>
                <w:color w:val="auto"/>
              </w:rPr>
            </w:pPr>
            <w:r>
              <w:rPr>
                <w:rFonts w:ascii="Arial" w:cs="Arial" w:eastAsia="Arial" w:hAnsi="Arial"/>
                <w:sz w:val="14"/>
                <w:szCs w:val="14"/>
                <w:b w:val="1"/>
                <w:bCs w:val="1"/>
                <w:color w:val="auto"/>
                <w:w w:val="93"/>
              </w:rPr>
              <w:t>2015 Stock Option and Incentive Plan</w:t>
            </w: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500" w:type="dxa"/>
            <w:vAlign w:val="bottom"/>
          </w:tcPr>
          <w:p>
            <w:pPr>
              <w:spacing w:after="0"/>
              <w:rPr>
                <w:sz w:val="13"/>
                <w:szCs w:val="13"/>
                <w:color w:val="auto"/>
              </w:rPr>
            </w:pPr>
          </w:p>
        </w:tc>
        <w:tc>
          <w:tcPr>
            <w:tcW w:w="3260" w:type="dxa"/>
            <w:vAlign w:val="bottom"/>
            <w:gridSpan w:val="2"/>
          </w:tcPr>
          <w:p>
            <w:pPr>
              <w:jc w:val="center"/>
              <w:ind w:right="680"/>
              <w:spacing w:after="0" w:line="153" w:lineRule="exact"/>
              <w:rPr>
                <w:sz w:val="20"/>
                <w:szCs w:val="20"/>
                <w:color w:val="auto"/>
              </w:rPr>
            </w:pPr>
            <w:r>
              <w:rPr>
                <w:rFonts w:ascii="Arial" w:cs="Arial" w:eastAsia="Arial" w:hAnsi="Arial"/>
                <w:sz w:val="14"/>
                <w:szCs w:val="14"/>
                <w:b w:val="1"/>
                <w:bCs w:val="1"/>
                <w:color w:val="auto"/>
                <w:w w:val="91"/>
              </w:rPr>
              <w:t>2015 Employee Stock Purchase Plan</w:t>
            </w: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500" w:type="dxa"/>
            <w:vAlign w:val="bottom"/>
          </w:tcPr>
          <w:p>
            <w:pPr>
              <w:spacing w:after="0"/>
              <w:rPr>
                <w:sz w:val="15"/>
                <w:szCs w:val="15"/>
                <w:color w:val="auto"/>
              </w:rPr>
            </w:pPr>
          </w:p>
        </w:tc>
        <w:tc>
          <w:tcPr>
            <w:tcW w:w="3260" w:type="dxa"/>
            <w:vAlign w:val="bottom"/>
            <w:gridSpan w:val="2"/>
          </w:tcPr>
          <w:p>
            <w:pPr>
              <w:jc w:val="center"/>
              <w:ind w:right="680"/>
              <w:spacing w:after="0"/>
              <w:rPr>
                <w:sz w:val="20"/>
                <w:szCs w:val="20"/>
                <w:color w:val="auto"/>
              </w:rPr>
            </w:pPr>
            <w:r>
              <w:rPr>
                <w:rFonts w:ascii="Arial" w:cs="Arial" w:eastAsia="Arial" w:hAnsi="Arial"/>
                <w:sz w:val="14"/>
                <w:szCs w:val="14"/>
                <w:color w:val="auto"/>
                <w:w w:val="95"/>
              </w:rPr>
              <w:t>(Full titles of the plans)</w:t>
            </w: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2500" w:type="dxa"/>
            <w:vAlign w:val="bottom"/>
          </w:tcPr>
          <w:p>
            <w:pPr>
              <w:spacing w:after="0"/>
              <w:rPr>
                <w:sz w:val="13"/>
                <w:szCs w:val="13"/>
                <w:color w:val="auto"/>
              </w:rPr>
            </w:pPr>
          </w:p>
        </w:tc>
        <w:tc>
          <w:tcPr>
            <w:tcW w:w="3260" w:type="dxa"/>
            <w:vAlign w:val="bottom"/>
            <w:gridSpan w:val="2"/>
          </w:tcPr>
          <w:p>
            <w:pPr>
              <w:jc w:val="center"/>
              <w:ind w:right="660"/>
              <w:spacing w:after="0" w:line="151" w:lineRule="exact"/>
              <w:rPr>
                <w:sz w:val="20"/>
                <w:szCs w:val="20"/>
                <w:color w:val="auto"/>
              </w:rPr>
            </w:pPr>
            <w:r>
              <w:rPr>
                <w:rFonts w:ascii="Arial" w:cs="Arial" w:eastAsia="Arial" w:hAnsi="Arial"/>
                <w:sz w:val="14"/>
                <w:szCs w:val="14"/>
                <w:b w:val="1"/>
                <w:bCs w:val="1"/>
                <w:color w:val="auto"/>
                <w:w w:val="94"/>
              </w:rPr>
              <w:t>Jeffrey W. Albers</w:t>
            </w: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326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3"/>
              </w:rPr>
              <w:t>President and Chief Executive Officer</w:t>
            </w: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326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4"/>
              </w:rPr>
              <w:t>Blueprint Medicines Corporation</w:t>
            </w: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326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1"/>
              </w:rPr>
              <w:t>45 Sidney Street</w:t>
            </w: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500" w:type="dxa"/>
            <w:vAlign w:val="bottom"/>
          </w:tcPr>
          <w:p>
            <w:pPr>
              <w:spacing w:after="0"/>
              <w:rPr>
                <w:sz w:val="13"/>
                <w:szCs w:val="13"/>
                <w:color w:val="auto"/>
              </w:rPr>
            </w:pPr>
          </w:p>
        </w:tc>
        <w:tc>
          <w:tcPr>
            <w:tcW w:w="3260" w:type="dxa"/>
            <w:vAlign w:val="bottom"/>
            <w:gridSpan w:val="2"/>
          </w:tcPr>
          <w:p>
            <w:pPr>
              <w:jc w:val="center"/>
              <w:ind w:right="680"/>
              <w:spacing w:after="0" w:line="153" w:lineRule="exact"/>
              <w:rPr>
                <w:sz w:val="20"/>
                <w:szCs w:val="20"/>
                <w:color w:val="auto"/>
              </w:rPr>
            </w:pPr>
            <w:r>
              <w:rPr>
                <w:rFonts w:ascii="Arial" w:cs="Arial" w:eastAsia="Arial" w:hAnsi="Arial"/>
                <w:sz w:val="14"/>
                <w:szCs w:val="14"/>
                <w:b w:val="1"/>
                <w:bCs w:val="1"/>
                <w:color w:val="auto"/>
                <w:w w:val="91"/>
              </w:rPr>
              <w:t>Cambridge, Massachusetts 02139</w:t>
            </w: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500" w:type="dxa"/>
            <w:vAlign w:val="bottom"/>
          </w:tcPr>
          <w:p>
            <w:pPr>
              <w:spacing w:after="0"/>
              <w:rPr>
                <w:sz w:val="15"/>
                <w:szCs w:val="15"/>
                <w:color w:val="auto"/>
              </w:rPr>
            </w:pPr>
          </w:p>
        </w:tc>
        <w:tc>
          <w:tcPr>
            <w:tcW w:w="3260" w:type="dxa"/>
            <w:vAlign w:val="bottom"/>
            <w:gridSpan w:val="2"/>
          </w:tcPr>
          <w:p>
            <w:pPr>
              <w:jc w:val="center"/>
              <w:ind w:right="680"/>
              <w:spacing w:after="0"/>
              <w:rPr>
                <w:sz w:val="20"/>
                <w:szCs w:val="20"/>
                <w:color w:val="auto"/>
              </w:rPr>
            </w:pPr>
            <w:r>
              <w:rPr>
                <w:rFonts w:ascii="Arial" w:cs="Arial" w:eastAsia="Arial" w:hAnsi="Arial"/>
                <w:sz w:val="14"/>
                <w:szCs w:val="14"/>
                <w:color w:val="auto"/>
                <w:w w:val="91"/>
              </w:rPr>
              <w:t>(Name and address of agent for service)</w:t>
            </w: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100" w:type="dxa"/>
            <w:vAlign w:val="bottom"/>
            <w:gridSpan w:val="2"/>
          </w:tcPr>
          <w:p>
            <w:pPr>
              <w:jc w:val="center"/>
              <w:ind w:left="2360"/>
              <w:spacing w:after="0"/>
              <w:rPr>
                <w:sz w:val="20"/>
                <w:szCs w:val="20"/>
                <w:color w:val="auto"/>
              </w:rPr>
            </w:pPr>
            <w:r>
              <w:rPr>
                <w:rFonts w:ascii="Arial" w:cs="Arial" w:eastAsia="Arial" w:hAnsi="Arial"/>
                <w:sz w:val="14"/>
                <w:szCs w:val="14"/>
                <w:b w:val="1"/>
                <w:bCs w:val="1"/>
                <w:color w:val="auto"/>
                <w:w w:val="93"/>
              </w:rPr>
              <w:t>(617) 374-7580</w:t>
            </w:r>
          </w:p>
        </w:tc>
        <w:tc>
          <w:tcPr>
            <w:tcW w:w="6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5760" w:type="dxa"/>
            <w:vAlign w:val="bottom"/>
            <w:gridSpan w:val="3"/>
          </w:tcPr>
          <w:p>
            <w:pPr>
              <w:jc w:val="center"/>
              <w:ind w:left="1740"/>
              <w:spacing w:after="0"/>
              <w:rPr>
                <w:sz w:val="20"/>
                <w:szCs w:val="20"/>
                <w:color w:val="auto"/>
              </w:rPr>
            </w:pPr>
            <w:r>
              <w:rPr>
                <w:rFonts w:ascii="Arial" w:cs="Arial" w:eastAsia="Arial" w:hAnsi="Arial"/>
                <w:sz w:val="14"/>
                <w:szCs w:val="14"/>
                <w:color w:val="auto"/>
                <w:w w:val="92"/>
              </w:rPr>
              <w:t>(Telephone number, including area code, of agent for service)</w:t>
            </w: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5760" w:type="dxa"/>
            <w:vAlign w:val="bottom"/>
            <w:gridSpan w:val="3"/>
          </w:tcPr>
          <w:p>
            <w:pPr>
              <w:jc w:val="center"/>
              <w:ind w:left="1740"/>
              <w:spacing w:after="0"/>
              <w:rPr>
                <w:sz w:val="20"/>
                <w:szCs w:val="20"/>
                <w:color w:val="auto"/>
              </w:rPr>
            </w:pPr>
            <w:r>
              <w:rPr>
                <w:rFonts w:ascii="Arial" w:cs="Arial" w:eastAsia="Arial" w:hAnsi="Arial"/>
                <w:sz w:val="14"/>
                <w:szCs w:val="14"/>
                <w:b w:val="1"/>
                <w:bCs w:val="1"/>
                <w:color w:val="auto"/>
                <w:w w:val="89"/>
              </w:rPr>
              <w:t>Please send copies of all communications to:</w:t>
            </w: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326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4"/>
              </w:rPr>
              <w:t>Kingsley L. Taft, Esq.</w:t>
            </w: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326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4"/>
              </w:rPr>
              <w:t>Danielle M. Lauzon, Esq.</w:t>
            </w: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326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6"/>
              </w:rPr>
              <w:t>Goodwin Procter LLP</w:t>
            </w: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326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3"/>
              </w:rPr>
              <w:t>100 Northern Avenue</w:t>
            </w: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326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9"/>
              </w:rPr>
              <w:t>Boston, Massachusetts 02210</w:t>
            </w: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5100" w:type="dxa"/>
            <w:vAlign w:val="bottom"/>
            <w:gridSpan w:val="2"/>
          </w:tcPr>
          <w:p>
            <w:pPr>
              <w:jc w:val="center"/>
              <w:ind w:left="2400"/>
              <w:spacing w:after="0"/>
              <w:rPr>
                <w:sz w:val="20"/>
                <w:szCs w:val="20"/>
                <w:color w:val="auto"/>
              </w:rPr>
            </w:pPr>
            <w:r>
              <w:rPr>
                <w:rFonts w:ascii="Arial" w:cs="Arial" w:eastAsia="Arial" w:hAnsi="Arial"/>
                <w:sz w:val="14"/>
                <w:szCs w:val="14"/>
                <w:b w:val="1"/>
                <w:bCs w:val="1"/>
                <w:color w:val="auto"/>
                <w:w w:val="93"/>
              </w:rPr>
              <w:t>(617) 570-1000</w:t>
            </w:r>
          </w:p>
        </w:tc>
        <w:tc>
          <w:tcPr>
            <w:tcW w:w="6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2483485</wp:posOffset>
            </wp:positionH>
            <wp:positionV relativeFrom="paragraph">
              <wp:posOffset>59055</wp:posOffset>
            </wp:positionV>
            <wp:extent cx="16554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176" w:lineRule="exact"/>
        <w:rPr>
          <w:sz w:val="24"/>
          <w:szCs w:val="24"/>
          <w:color w:val="auto"/>
        </w:rPr>
      </w:pPr>
    </w:p>
    <w:p>
      <w:pPr>
        <w:ind w:left="20" w:right="180" w:firstLine="648"/>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pacing w:after="0" w:line="11" w:lineRule="exact"/>
        <w:rPr>
          <w:sz w:val="24"/>
          <w:szCs w:val="24"/>
          <w:color w:val="auto"/>
        </w:rPr>
      </w:pPr>
    </w:p>
    <w:tbl>
      <w:tblPr>
        <w:tblLayout w:type="fixed"/>
        <w:tblInd w:w="0" w:type="dxa"/>
        <w:tblCellMar>
          <w:top w:w="0" w:type="dxa"/>
          <w:left w:w="0" w:type="dxa"/>
          <w:bottom w:w="0" w:type="dxa"/>
          <w:right w:w="0" w:type="dxa"/>
        </w:tblCellMar>
      </w:tblPr>
      <w:tr>
        <w:trPr>
          <w:trHeight w:val="176"/>
        </w:trPr>
        <w:tc>
          <w:tcPr>
            <w:tcW w:w="3140" w:type="dxa"/>
            <w:vAlign w:val="bottom"/>
          </w:tcPr>
          <w:p>
            <w:pPr>
              <w:ind w:left="1820"/>
              <w:spacing w:after="0"/>
              <w:rPr>
                <w:sz w:val="20"/>
                <w:szCs w:val="20"/>
                <w:color w:val="auto"/>
              </w:rPr>
            </w:pPr>
            <w:r>
              <w:rPr>
                <w:rFonts w:ascii="Arial" w:cs="Arial" w:eastAsia="Arial" w:hAnsi="Arial"/>
                <w:sz w:val="14"/>
                <w:szCs w:val="14"/>
                <w:color w:val="auto"/>
                <w:w w:val="93"/>
              </w:rPr>
              <w:t>Large accelerated filer</w:t>
            </w:r>
          </w:p>
        </w:tc>
        <w:tc>
          <w:tcPr>
            <w:tcW w:w="1940" w:type="dxa"/>
            <w:vAlign w:val="bottom"/>
            <w:gridSpan w:val="3"/>
          </w:tcPr>
          <w:p>
            <w:pPr>
              <w:jc w:val="right"/>
              <w:ind w:right="1708"/>
              <w:spacing w:after="0" w:line="141" w:lineRule="exact"/>
              <w:rPr>
                <w:sz w:val="20"/>
                <w:szCs w:val="20"/>
                <w:color w:val="auto"/>
              </w:rPr>
            </w:pPr>
            <w:r>
              <w:rPr>
                <w:rFonts w:ascii="MS PGothic" w:cs="MS PGothic" w:eastAsia="MS PGothic" w:hAnsi="MS PGothic"/>
                <w:sz w:val="14"/>
                <w:szCs w:val="14"/>
                <w:color w:val="auto"/>
                <w:w w:val="99"/>
              </w:rPr>
              <w:t>☑</w:t>
            </w: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00" w:type="dxa"/>
            <w:vAlign w:val="bottom"/>
          </w:tcPr>
          <w:p>
            <w:pPr>
              <w:jc w:val="right"/>
              <w:ind w:right="348"/>
              <w:spacing w:after="0" w:line="161"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140" w:type="dxa"/>
            <w:vAlign w:val="bottom"/>
          </w:tcPr>
          <w:p>
            <w:pPr>
              <w:ind w:left="1880"/>
              <w:spacing w:after="0"/>
              <w:rPr>
                <w:sz w:val="20"/>
                <w:szCs w:val="20"/>
                <w:color w:val="auto"/>
              </w:rPr>
            </w:pPr>
            <w:r>
              <w:rPr>
                <w:rFonts w:ascii="Arial" w:cs="Arial" w:eastAsia="Arial" w:hAnsi="Arial"/>
                <w:sz w:val="14"/>
                <w:szCs w:val="14"/>
                <w:color w:val="auto"/>
                <w:w w:val="95"/>
              </w:rPr>
              <w:t>Non-accelerated filer</w:t>
            </w:r>
          </w:p>
        </w:tc>
        <w:tc>
          <w:tcPr>
            <w:tcW w:w="1940" w:type="dxa"/>
            <w:vAlign w:val="bottom"/>
            <w:gridSpan w:val="3"/>
          </w:tcPr>
          <w:p>
            <w:pPr>
              <w:jc w:val="right"/>
              <w:ind w:right="1708"/>
              <w:spacing w:after="0" w:line="141" w:lineRule="exact"/>
              <w:rPr>
                <w:sz w:val="20"/>
                <w:szCs w:val="20"/>
                <w:color w:val="auto"/>
              </w:rPr>
            </w:pPr>
            <w:r>
              <w:rPr>
                <w:rFonts w:ascii="MS PGothic" w:cs="MS PGothic" w:eastAsia="MS PGothic" w:hAnsi="MS PGothic"/>
                <w:sz w:val="14"/>
                <w:szCs w:val="14"/>
                <w:color w:val="auto"/>
                <w:w w:val="99"/>
              </w:rPr>
              <w:t>☐</w:t>
            </w: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80" w:type="dxa"/>
            <w:vAlign w:val="bottom"/>
            <w:gridSpan w:val="2"/>
          </w:tcPr>
          <w:p>
            <w:pPr>
              <w:spacing w:after="0" w:line="161"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5080" w:type="dxa"/>
            <w:vAlign w:val="bottom"/>
            <w:gridSpan w:val="4"/>
          </w:tcPr>
          <w:p>
            <w:pPr>
              <w:ind w:left="1240"/>
              <w:spacing w:after="0"/>
              <w:rPr>
                <w:sz w:val="20"/>
                <w:szCs w:val="20"/>
                <w:color w:val="auto"/>
              </w:rPr>
            </w:pPr>
            <w:r>
              <w:rPr>
                <w:rFonts w:ascii="Arial" w:cs="Arial" w:eastAsia="Arial" w:hAnsi="Arial"/>
                <w:sz w:val="14"/>
                <w:szCs w:val="14"/>
                <w:color w:val="auto"/>
              </w:rPr>
              <w:t>(Do not check if a smaller reporting company)</w:t>
            </w: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80" w:type="dxa"/>
            <w:vAlign w:val="bottom"/>
            <w:gridSpan w:val="2"/>
          </w:tcPr>
          <w:p>
            <w:pPr>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2"/>
        </w:trPr>
        <w:tc>
          <w:tcPr>
            <w:tcW w:w="10420" w:type="dxa"/>
            <w:vAlign w:val="bottom"/>
            <w:gridSpan w:val="14"/>
          </w:tcPr>
          <w:p>
            <w:pPr>
              <w:ind w:left="660"/>
              <w:spacing w:after="0"/>
              <w:rPr>
                <w:sz w:val="20"/>
                <w:szCs w:val="20"/>
                <w:color w:val="auto"/>
              </w:rPr>
            </w:pPr>
            <w:r>
              <w:rPr>
                <w:rFonts w:ascii="Arial" w:cs="Arial" w:eastAsia="Arial" w:hAnsi="Arial"/>
                <w:sz w:val="14"/>
                <w:szCs w:val="14"/>
                <w:color w:val="auto"/>
                <w:w w:val="96"/>
              </w:rPr>
              <w:t>If an emerging growth company, indicate by check mark if the registrant has elected not to use the extended transition period for complying with any new or revised</w:t>
            </w:r>
          </w:p>
        </w:tc>
        <w:tc>
          <w:tcPr>
            <w:tcW w:w="0" w:type="dxa"/>
            <w:vAlign w:val="bottom"/>
          </w:tcPr>
          <w:p>
            <w:pPr>
              <w:spacing w:after="0"/>
              <w:rPr>
                <w:sz w:val="1"/>
                <w:szCs w:val="1"/>
                <w:color w:val="auto"/>
              </w:rPr>
            </w:pPr>
          </w:p>
        </w:tc>
      </w:tr>
      <w:tr>
        <w:trPr>
          <w:trHeight w:val="226"/>
        </w:trPr>
        <w:tc>
          <w:tcPr>
            <w:tcW w:w="5340" w:type="dxa"/>
            <w:vAlign w:val="bottom"/>
            <w:gridSpan w:val="5"/>
          </w:tcPr>
          <w:p>
            <w:pPr>
              <w:ind w:left="20"/>
              <w:spacing w:after="0" w:line="161" w:lineRule="exact"/>
              <w:rPr>
                <w:sz w:val="20"/>
                <w:szCs w:val="20"/>
                <w:color w:val="auto"/>
              </w:rPr>
            </w:pPr>
            <w:r>
              <w:rPr>
                <w:rFonts w:ascii="Arial" w:cs="Arial" w:eastAsia="Arial" w:hAnsi="Arial"/>
                <w:sz w:val="14"/>
                <w:szCs w:val="14"/>
                <w:color w:val="auto"/>
                <w:w w:val="95"/>
              </w:rPr>
              <w:t>financial accounting standards provided pursuant to Section 13(a) of the Exchange Act.</w:t>
            </w:r>
            <w:r>
              <w:rPr>
                <w:rFonts w:ascii="MS PGothic" w:cs="MS PGothic" w:eastAsia="MS PGothic" w:hAnsi="MS PGothic"/>
                <w:sz w:val="14"/>
                <w:szCs w:val="14"/>
                <w:color w:val="auto"/>
                <w:w w:val="95"/>
              </w:rPr>
              <w:t>☐</w:t>
            </w: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5"/>
        </w:trPr>
        <w:tc>
          <w:tcPr>
            <w:tcW w:w="3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1440" w:type="dxa"/>
            <w:vAlign w:val="bottom"/>
            <w:tcBorders>
              <w:bottom w:val="single" w:sz="8" w:color="auto"/>
            </w:tcBorders>
            <w:gridSpan w:val="2"/>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5"/>
        </w:trPr>
        <w:tc>
          <w:tcPr>
            <w:tcW w:w="31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020" w:type="dxa"/>
            <w:vAlign w:val="bottom"/>
            <w:gridSpan w:val="5"/>
          </w:tcPr>
          <w:p>
            <w:pPr>
              <w:jc w:val="right"/>
              <w:ind w:right="20"/>
              <w:spacing w:after="0"/>
              <w:rPr>
                <w:sz w:val="20"/>
                <w:szCs w:val="20"/>
                <w:color w:val="auto"/>
              </w:rPr>
            </w:pPr>
            <w:r>
              <w:rPr>
                <w:rFonts w:ascii="Arial" w:cs="Arial" w:eastAsia="Arial" w:hAnsi="Arial"/>
                <w:sz w:val="14"/>
                <w:szCs w:val="14"/>
                <w:b w:val="1"/>
                <w:bCs w:val="1"/>
                <w:color w:val="auto"/>
              </w:rPr>
              <w:t>CALCULATION OF REGISTRATION FEE</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1"/>
        </w:trPr>
        <w:tc>
          <w:tcPr>
            <w:tcW w:w="31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gridSpan w:val="2"/>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140" w:type="dxa"/>
            <w:vAlign w:val="bottom"/>
          </w:tcPr>
          <w:p>
            <w:pPr>
              <w:spacing w:after="0"/>
              <w:rPr>
                <w:sz w:val="10"/>
                <w:szCs w:val="10"/>
                <w:color w:val="auto"/>
              </w:rPr>
            </w:pPr>
          </w:p>
        </w:tc>
        <w:tc>
          <w:tcPr>
            <w:tcW w:w="460" w:type="dxa"/>
            <w:vAlign w:val="bottom"/>
            <w:tcBorders>
              <w:right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160" w:type="dxa"/>
            <w:vAlign w:val="bottom"/>
            <w:tcBorders>
              <w:right w:val="single" w:sz="8" w:color="auto"/>
            </w:tcBorders>
            <w:vMerge w:val="restart"/>
          </w:tcPr>
          <w:p>
            <w:pPr>
              <w:jc w:val="center"/>
              <w:ind w:right="268"/>
              <w:spacing w:after="0"/>
              <w:rPr>
                <w:sz w:val="20"/>
                <w:szCs w:val="20"/>
                <w:color w:val="auto"/>
              </w:rPr>
            </w:pPr>
            <w:r>
              <w:rPr>
                <w:rFonts w:ascii="Arial" w:cs="Arial" w:eastAsia="Arial" w:hAnsi="Arial"/>
                <w:sz w:val="14"/>
                <w:szCs w:val="14"/>
                <w:b w:val="1"/>
                <w:bCs w:val="1"/>
                <w:color w:val="auto"/>
                <w:w w:val="94"/>
              </w:rPr>
              <w:t>Amount</w:t>
            </w:r>
          </w:p>
        </w:tc>
        <w:tc>
          <w:tcPr>
            <w:tcW w:w="260" w:type="dxa"/>
            <w:vAlign w:val="bottom"/>
          </w:tcPr>
          <w:p>
            <w:pPr>
              <w:spacing w:after="0"/>
              <w:rPr>
                <w:sz w:val="10"/>
                <w:szCs w:val="10"/>
                <w:color w:val="auto"/>
              </w:rPr>
            </w:pPr>
          </w:p>
        </w:tc>
        <w:tc>
          <w:tcPr>
            <w:tcW w:w="1280" w:type="dxa"/>
            <w:vAlign w:val="bottom"/>
            <w:gridSpan w:val="2"/>
          </w:tcPr>
          <w:p>
            <w:pPr>
              <w:jc w:val="center"/>
              <w:ind w:right="60"/>
              <w:spacing w:after="0" w:line="126" w:lineRule="exact"/>
              <w:rPr>
                <w:sz w:val="20"/>
                <w:szCs w:val="20"/>
                <w:color w:val="auto"/>
              </w:rPr>
            </w:pPr>
            <w:r>
              <w:rPr>
                <w:rFonts w:ascii="Arial" w:cs="Arial" w:eastAsia="Arial" w:hAnsi="Arial"/>
                <w:sz w:val="14"/>
                <w:szCs w:val="14"/>
                <w:b w:val="1"/>
                <w:bCs w:val="1"/>
                <w:color w:val="auto"/>
                <w:w w:val="89"/>
              </w:rPr>
              <w:t>Proposed</w:t>
            </w:r>
          </w:p>
        </w:tc>
        <w:tc>
          <w:tcPr>
            <w:tcW w:w="22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700" w:type="dxa"/>
            <w:vAlign w:val="bottom"/>
          </w:tcPr>
          <w:p>
            <w:pPr>
              <w:jc w:val="center"/>
              <w:spacing w:after="0" w:line="126" w:lineRule="exact"/>
              <w:rPr>
                <w:sz w:val="20"/>
                <w:szCs w:val="20"/>
                <w:color w:val="auto"/>
              </w:rPr>
            </w:pPr>
            <w:r>
              <w:rPr>
                <w:rFonts w:ascii="Arial" w:cs="Arial" w:eastAsia="Arial" w:hAnsi="Arial"/>
                <w:sz w:val="14"/>
                <w:szCs w:val="14"/>
                <w:b w:val="1"/>
                <w:bCs w:val="1"/>
                <w:color w:val="auto"/>
                <w:w w:val="86"/>
              </w:rPr>
              <w:t>Proposed</w:t>
            </w:r>
          </w:p>
        </w:tc>
        <w:tc>
          <w:tcPr>
            <w:tcW w:w="26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140" w:type="dxa"/>
            <w:vAlign w:val="bottom"/>
            <w:vMerge w:val="restart"/>
          </w:tcPr>
          <w:p>
            <w:pPr>
              <w:ind w:left="1260"/>
              <w:spacing w:after="0"/>
              <w:rPr>
                <w:sz w:val="20"/>
                <w:szCs w:val="20"/>
                <w:color w:val="auto"/>
              </w:rPr>
            </w:pPr>
            <w:r>
              <w:rPr>
                <w:rFonts w:ascii="Arial" w:cs="Arial" w:eastAsia="Arial" w:hAnsi="Arial"/>
                <w:sz w:val="14"/>
                <w:szCs w:val="14"/>
                <w:b w:val="1"/>
                <w:bCs w:val="1"/>
                <w:color w:val="auto"/>
              </w:rPr>
              <w:t>Title of Securities</w:t>
            </w:r>
          </w:p>
        </w:tc>
        <w:tc>
          <w:tcPr>
            <w:tcW w:w="460" w:type="dxa"/>
            <w:vAlign w:val="bottom"/>
            <w:tcBorders>
              <w:right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tcBorders>
              <w:right w:val="single" w:sz="8" w:color="auto"/>
            </w:tcBorders>
            <w:vMerge w:val="continue"/>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gridSpan w:val="2"/>
          </w:tcPr>
          <w:p>
            <w:pPr>
              <w:jc w:val="center"/>
              <w:ind w:right="80"/>
              <w:spacing w:after="0" w:line="145" w:lineRule="exact"/>
              <w:rPr>
                <w:sz w:val="20"/>
                <w:szCs w:val="20"/>
                <w:color w:val="auto"/>
              </w:rPr>
            </w:pPr>
            <w:r>
              <w:rPr>
                <w:rFonts w:ascii="Arial" w:cs="Arial" w:eastAsia="Arial" w:hAnsi="Arial"/>
                <w:sz w:val="14"/>
                <w:szCs w:val="14"/>
                <w:b w:val="1"/>
                <w:bCs w:val="1"/>
                <w:color w:val="auto"/>
                <w:w w:val="99"/>
              </w:rPr>
              <w:t>Maximum</w:t>
            </w:r>
          </w:p>
        </w:tc>
        <w:tc>
          <w:tcPr>
            <w:tcW w:w="22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7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9"/>
              </w:rPr>
              <w:t>Maximum</w:t>
            </w:r>
          </w:p>
        </w:tc>
        <w:tc>
          <w:tcPr>
            <w:tcW w:w="26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Amount of</w:t>
            </w:r>
          </w:p>
        </w:tc>
        <w:tc>
          <w:tcPr>
            <w:tcW w:w="0" w:type="dxa"/>
            <w:vAlign w:val="bottom"/>
          </w:tcPr>
          <w:p>
            <w:pPr>
              <w:spacing w:after="0"/>
              <w:rPr>
                <w:sz w:val="1"/>
                <w:szCs w:val="1"/>
                <w:color w:val="auto"/>
              </w:rPr>
            </w:pPr>
          </w:p>
        </w:tc>
      </w:tr>
      <w:tr>
        <w:trPr>
          <w:trHeight w:val="149"/>
        </w:trPr>
        <w:tc>
          <w:tcPr>
            <w:tcW w:w="3140" w:type="dxa"/>
            <w:vAlign w:val="bottom"/>
            <w:vMerge w:val="continue"/>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tcBorders>
              <w:right w:val="single" w:sz="8" w:color="auto"/>
            </w:tcBorders>
          </w:tcPr>
          <w:p>
            <w:pPr>
              <w:jc w:val="center"/>
              <w:ind w:right="268"/>
              <w:spacing w:after="0" w:line="149" w:lineRule="exact"/>
              <w:rPr>
                <w:sz w:val="20"/>
                <w:szCs w:val="20"/>
                <w:color w:val="auto"/>
              </w:rPr>
            </w:pPr>
            <w:r>
              <w:rPr>
                <w:rFonts w:ascii="Arial" w:cs="Arial" w:eastAsia="Arial" w:hAnsi="Arial"/>
                <w:sz w:val="14"/>
                <w:szCs w:val="14"/>
                <w:b w:val="1"/>
                <w:bCs w:val="1"/>
                <w:color w:val="auto"/>
                <w:w w:val="89"/>
              </w:rPr>
              <w:t>to be</w:t>
            </w:r>
          </w:p>
        </w:tc>
        <w:tc>
          <w:tcPr>
            <w:tcW w:w="260" w:type="dxa"/>
            <w:vAlign w:val="bottom"/>
          </w:tcPr>
          <w:p>
            <w:pPr>
              <w:spacing w:after="0"/>
              <w:rPr>
                <w:sz w:val="12"/>
                <w:szCs w:val="12"/>
                <w:color w:val="auto"/>
              </w:rPr>
            </w:pPr>
          </w:p>
        </w:tc>
        <w:tc>
          <w:tcPr>
            <w:tcW w:w="12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Offering Price</w:t>
            </w:r>
          </w:p>
        </w:tc>
        <w:tc>
          <w:tcPr>
            <w:tcW w:w="22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Aggregate</w:t>
            </w:r>
          </w:p>
        </w:tc>
        <w:tc>
          <w:tcPr>
            <w:tcW w:w="26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140" w:type="dxa"/>
            <w:vAlign w:val="bottom"/>
          </w:tcPr>
          <w:p>
            <w:pPr>
              <w:ind w:left="1300"/>
              <w:spacing w:after="0"/>
              <w:rPr>
                <w:sz w:val="20"/>
                <w:szCs w:val="20"/>
                <w:color w:val="auto"/>
              </w:rPr>
            </w:pPr>
            <w:r>
              <w:rPr>
                <w:rFonts w:ascii="Arial" w:cs="Arial" w:eastAsia="Arial" w:hAnsi="Arial"/>
                <w:sz w:val="14"/>
                <w:szCs w:val="14"/>
                <w:b w:val="1"/>
                <w:bCs w:val="1"/>
                <w:color w:val="auto"/>
              </w:rPr>
              <w:t>to be Registered</w:t>
            </w:r>
          </w:p>
        </w:tc>
        <w:tc>
          <w:tcPr>
            <w:tcW w:w="460" w:type="dxa"/>
            <w:vAlign w:val="bottom"/>
            <w:tcBorders>
              <w:right w:val="single" w:sz="8" w:color="auto"/>
            </w:tcBorders>
          </w:tcPr>
          <w:p>
            <w:pPr>
              <w:spacing w:after="0"/>
              <w:rPr>
                <w:sz w:val="15"/>
                <w:szCs w:val="15"/>
                <w:color w:val="auto"/>
              </w:rPr>
            </w:pPr>
          </w:p>
        </w:tc>
        <w:tc>
          <w:tcPr>
            <w:tcW w:w="1480" w:type="dxa"/>
            <w:vAlign w:val="bottom"/>
            <w:tcBorders>
              <w:right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Registered (1)</w:t>
            </w:r>
          </w:p>
        </w:tc>
        <w:tc>
          <w:tcPr>
            <w:tcW w:w="260" w:type="dxa"/>
            <w:vAlign w:val="bottom"/>
          </w:tcPr>
          <w:p>
            <w:pPr>
              <w:spacing w:after="0"/>
              <w:rPr>
                <w:sz w:val="15"/>
                <w:szCs w:val="15"/>
                <w:color w:val="auto"/>
              </w:rPr>
            </w:pPr>
          </w:p>
        </w:tc>
        <w:tc>
          <w:tcPr>
            <w:tcW w:w="12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Per Share</w:t>
            </w:r>
          </w:p>
        </w:tc>
        <w:tc>
          <w:tcPr>
            <w:tcW w:w="22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4"/>
              </w:rPr>
              <w:t>Offering Price</w:t>
            </w:r>
          </w:p>
        </w:tc>
        <w:tc>
          <w:tcPr>
            <w:tcW w:w="26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6"/>
              </w:rPr>
              <w:t>Registration Fee</w:t>
            </w:r>
          </w:p>
        </w:tc>
        <w:tc>
          <w:tcPr>
            <w:tcW w:w="0" w:type="dxa"/>
            <w:vAlign w:val="bottom"/>
          </w:tcPr>
          <w:p>
            <w:pPr>
              <w:spacing w:after="0"/>
              <w:rPr>
                <w:sz w:val="1"/>
                <w:szCs w:val="1"/>
                <w:color w:val="auto"/>
              </w:rPr>
            </w:pPr>
          </w:p>
        </w:tc>
      </w:tr>
      <w:tr>
        <w:trPr>
          <w:trHeight w:val="142"/>
        </w:trPr>
        <w:tc>
          <w:tcPr>
            <w:tcW w:w="314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color w:val="auto"/>
              </w:rPr>
              <w:t>Common Stock, $0.001 par value per share</w:t>
            </w:r>
          </w:p>
        </w:tc>
        <w:tc>
          <w:tcPr>
            <w:tcW w:w="460" w:type="dxa"/>
            <w:vAlign w:val="bottom"/>
            <w:tcBorders>
              <w:top w:val="single" w:sz="8" w:color="auto"/>
              <w:bottom w:val="single" w:sz="8" w:color="auto"/>
              <w:right w:val="single" w:sz="8" w:color="auto"/>
            </w:tcBorders>
          </w:tcPr>
          <w:p>
            <w:pPr>
              <w:spacing w:after="0"/>
              <w:rPr>
                <w:sz w:val="12"/>
                <w:szCs w:val="12"/>
                <w:color w:val="auto"/>
              </w:rPr>
            </w:pPr>
          </w:p>
        </w:tc>
        <w:tc>
          <w:tcPr>
            <w:tcW w:w="1480" w:type="dxa"/>
            <w:vAlign w:val="bottom"/>
            <w:tcBorders>
              <w:top w:val="single" w:sz="8" w:color="auto"/>
              <w:bottom w:val="single" w:sz="8" w:color="auto"/>
              <w:right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1,743,101</w:t>
            </w:r>
          </w:p>
        </w:tc>
        <w:tc>
          <w:tcPr>
            <w:tcW w:w="260" w:type="dxa"/>
            <w:vAlign w:val="bottom"/>
            <w:tcBorders>
              <w:top w:val="single" w:sz="8" w:color="auto"/>
              <w:bottom w:val="single" w:sz="8" w:color="auto"/>
            </w:tcBorders>
          </w:tcPr>
          <w:p>
            <w:pPr>
              <w:jc w:val="right"/>
              <w:ind w:right="149"/>
              <w:spacing w:after="0"/>
              <w:rPr>
                <w:sz w:val="20"/>
                <w:szCs w:val="20"/>
                <w:color w:val="auto"/>
              </w:rPr>
            </w:pPr>
            <w:r>
              <w:rPr>
                <w:rFonts w:ascii="Arial" w:cs="Arial" w:eastAsia="Arial" w:hAnsi="Arial"/>
                <w:sz w:val="10"/>
                <w:szCs w:val="10"/>
                <w:color w:val="auto"/>
                <w:w w:val="71"/>
              </w:rPr>
              <w:t>$</w:t>
            </w:r>
          </w:p>
        </w:tc>
        <w:tc>
          <w:tcPr>
            <w:tcW w:w="1280" w:type="dxa"/>
            <w:vAlign w:val="bottom"/>
            <w:tcBorders>
              <w:top w:val="single" w:sz="8" w:color="auto"/>
              <w:bottom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color w:val="auto"/>
              </w:rPr>
              <w:t>74.27</w:t>
            </w:r>
          </w:p>
        </w:tc>
        <w:tc>
          <w:tcPr>
            <w:tcW w:w="220" w:type="dxa"/>
            <w:vAlign w:val="bottom"/>
            <w:tcBorders>
              <w:top w:val="single" w:sz="8" w:color="auto"/>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(2)</w:t>
            </w:r>
          </w:p>
        </w:tc>
        <w:tc>
          <w:tcPr>
            <w:tcW w:w="1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1700" w:type="dxa"/>
            <w:vAlign w:val="bottom"/>
            <w:tcBorders>
              <w:top w:val="single" w:sz="8" w:color="auto"/>
              <w:bottom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rPr>
              <w:t>129,451,395.77</w:t>
            </w:r>
          </w:p>
        </w:tc>
        <w:tc>
          <w:tcPr>
            <w:tcW w:w="260" w:type="dxa"/>
            <w:vAlign w:val="bottom"/>
            <w:tcBorders>
              <w:top w:val="single" w:sz="8" w:color="auto"/>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(2)</w:t>
            </w:r>
          </w:p>
        </w:tc>
        <w:tc>
          <w:tcPr>
            <w:tcW w:w="1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12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16,116.70</w:t>
            </w: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14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color w:val="auto"/>
              </w:rPr>
              <w:t>Common Stock, $0.001 par value per share</w:t>
            </w:r>
          </w:p>
        </w:tc>
        <w:tc>
          <w:tcPr>
            <w:tcW w:w="460" w:type="dxa"/>
            <w:vAlign w:val="bottom"/>
            <w:tcBorders>
              <w:bottom w:val="single" w:sz="8" w:color="auto"/>
              <w:right w:val="single" w:sz="8" w:color="auto"/>
            </w:tcBorders>
          </w:tcPr>
          <w:p>
            <w:pPr>
              <w:spacing w:after="0"/>
              <w:rPr>
                <w:sz w:val="12"/>
                <w:szCs w:val="12"/>
                <w:color w:val="auto"/>
              </w:rPr>
            </w:pPr>
          </w:p>
        </w:tc>
        <w:tc>
          <w:tcPr>
            <w:tcW w:w="1480" w:type="dxa"/>
            <w:vAlign w:val="bottom"/>
            <w:tcBorders>
              <w:bottom w:val="single" w:sz="8" w:color="auto"/>
              <w:right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435,775</w:t>
            </w:r>
          </w:p>
        </w:tc>
        <w:tc>
          <w:tcPr>
            <w:tcW w:w="260" w:type="dxa"/>
            <w:vAlign w:val="bottom"/>
            <w:tcBorders>
              <w:bottom w:val="single" w:sz="8" w:color="auto"/>
            </w:tcBorders>
          </w:tcPr>
          <w:p>
            <w:pPr>
              <w:jc w:val="right"/>
              <w:ind w:right="149"/>
              <w:spacing w:after="0"/>
              <w:rPr>
                <w:sz w:val="20"/>
                <w:szCs w:val="20"/>
                <w:color w:val="auto"/>
              </w:rPr>
            </w:pPr>
            <w:r>
              <w:rPr>
                <w:rFonts w:ascii="Arial" w:cs="Arial" w:eastAsia="Arial" w:hAnsi="Arial"/>
                <w:sz w:val="10"/>
                <w:szCs w:val="10"/>
                <w:color w:val="auto"/>
                <w:w w:val="71"/>
              </w:rPr>
              <w:t>$</w:t>
            </w:r>
          </w:p>
        </w:tc>
        <w:tc>
          <w:tcPr>
            <w:tcW w:w="1280" w:type="dxa"/>
            <w:vAlign w:val="bottom"/>
            <w:tcBorders>
              <w:bottom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color w:val="auto"/>
              </w:rPr>
              <w:t>63.13</w:t>
            </w:r>
          </w:p>
        </w:tc>
        <w:tc>
          <w:tcPr>
            <w:tcW w:w="22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(3)</w:t>
            </w:r>
          </w:p>
        </w:tc>
        <w:tc>
          <w:tcPr>
            <w:tcW w:w="18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170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rPr>
              <w:t>27,510,475.75</w:t>
            </w:r>
          </w:p>
        </w:tc>
        <w:tc>
          <w:tcPr>
            <w:tcW w:w="26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(3)</w:t>
            </w:r>
          </w:p>
        </w:tc>
        <w:tc>
          <w:tcPr>
            <w:tcW w:w="1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3,425.06</w:t>
            </w:r>
          </w:p>
        </w:tc>
        <w:tc>
          <w:tcPr>
            <w:tcW w:w="0" w:type="dxa"/>
            <w:vAlign w:val="bottom"/>
          </w:tcPr>
          <w:p>
            <w:pPr>
              <w:spacing w:after="0"/>
              <w:rPr>
                <w:sz w:val="1"/>
                <w:szCs w:val="1"/>
                <w:color w:val="auto"/>
              </w:rPr>
            </w:pPr>
          </w:p>
        </w:tc>
      </w:tr>
      <w:tr>
        <w:trPr>
          <w:trHeight w:val="149"/>
        </w:trPr>
        <w:tc>
          <w:tcPr>
            <w:tcW w:w="314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color w:val="auto"/>
              </w:rPr>
              <w:t>Total</w:t>
            </w:r>
          </w:p>
        </w:tc>
        <w:tc>
          <w:tcPr>
            <w:tcW w:w="460" w:type="dxa"/>
            <w:vAlign w:val="bottom"/>
            <w:tcBorders>
              <w:bottom w:val="single" w:sz="8" w:color="auto"/>
              <w:right w:val="single" w:sz="8" w:color="auto"/>
            </w:tcBorders>
          </w:tcPr>
          <w:p>
            <w:pPr>
              <w:spacing w:after="0"/>
              <w:rPr>
                <w:sz w:val="12"/>
                <w:szCs w:val="12"/>
                <w:color w:val="auto"/>
              </w:rPr>
            </w:pPr>
          </w:p>
        </w:tc>
        <w:tc>
          <w:tcPr>
            <w:tcW w:w="1480" w:type="dxa"/>
            <w:vAlign w:val="bottom"/>
            <w:tcBorders>
              <w:bottom w:val="single" w:sz="8" w:color="auto"/>
              <w:right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2,178,876</w:t>
            </w:r>
          </w:p>
        </w:tc>
        <w:tc>
          <w:tcPr>
            <w:tcW w:w="2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20" w:type="dxa"/>
            <w:vAlign w:val="bottom"/>
            <w:tcBorders>
              <w:bottom w:val="single" w:sz="8" w:color="auto"/>
              <w:right w:val="single" w:sz="8" w:color="auto"/>
            </w:tcBorders>
          </w:tcPr>
          <w:p>
            <w:pPr>
              <w:spacing w:after="0"/>
              <w:rPr>
                <w:sz w:val="12"/>
                <w:szCs w:val="12"/>
                <w:color w:val="auto"/>
              </w:rPr>
            </w:pPr>
          </w:p>
        </w:tc>
        <w:tc>
          <w:tcPr>
            <w:tcW w:w="18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170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rPr>
              <w:t>156,961,871.52</w:t>
            </w:r>
          </w:p>
        </w:tc>
        <w:tc>
          <w:tcPr>
            <w:tcW w:w="260" w:type="dxa"/>
            <w:vAlign w:val="bottom"/>
            <w:tcBorders>
              <w:bottom w:val="single" w:sz="8" w:color="auto"/>
              <w:right w:val="single" w:sz="8" w:color="auto"/>
            </w:tcBorders>
          </w:tcPr>
          <w:p>
            <w:pPr>
              <w:spacing w:after="0"/>
              <w:rPr>
                <w:sz w:val="12"/>
                <w:szCs w:val="12"/>
                <w:color w:val="auto"/>
              </w:rPr>
            </w:pPr>
          </w:p>
        </w:tc>
        <w:tc>
          <w:tcPr>
            <w:tcW w:w="1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19,541.76</w:t>
            </w:r>
          </w:p>
        </w:tc>
        <w:tc>
          <w:tcPr>
            <w:tcW w:w="0" w:type="dxa"/>
            <w:vAlign w:val="bottom"/>
          </w:tcPr>
          <w:p>
            <w:pPr>
              <w:spacing w:after="0"/>
              <w:rPr>
                <w:sz w:val="1"/>
                <w:szCs w:val="1"/>
                <w:color w:val="auto"/>
              </w:rPr>
            </w:pPr>
          </w:p>
        </w:tc>
      </w:tr>
    </w:tbl>
    <w:p>
      <w:pPr>
        <w:spacing w:after="0" w:line="35" w:lineRule="exact"/>
        <w:rPr>
          <w:sz w:val="24"/>
          <w:szCs w:val="24"/>
          <w:color w:val="auto"/>
        </w:rPr>
      </w:pPr>
    </w:p>
    <w:p>
      <w:pPr>
        <w:ind w:left="660" w:right="100" w:hanging="325"/>
        <w:spacing w:after="0" w:line="231" w:lineRule="auto"/>
        <w:tabs>
          <w:tab w:leader="none" w:pos="660" w:val="left"/>
        </w:tabs>
        <w:numPr>
          <w:ilvl w:val="0"/>
          <w:numId w:val="1"/>
        </w:numPr>
        <w:rPr>
          <w:rFonts w:ascii="Arial" w:cs="Arial" w:eastAsia="Arial" w:hAnsi="Arial"/>
          <w:sz w:val="14"/>
          <w:szCs w:val="14"/>
          <w:color w:val="auto"/>
        </w:rPr>
      </w:pPr>
      <w:r>
        <w:rPr>
          <w:rFonts w:ascii="Arial" w:cs="Arial" w:eastAsia="Arial" w:hAnsi="Arial"/>
          <w:sz w:val="14"/>
          <w:szCs w:val="14"/>
          <w:color w:val="auto"/>
        </w:rPr>
        <w:t>In accordance with Rule 416 under the Securities Act of 1933, as amended (the “Securities Act”), this registration statement shall be deemed to cover any additional shares of common stock that may from time to time be offered or issued under the above-named plans to prevent dilution resulting from stock splits, stock dividends, recapitalizations or similar transactions effected without the receipt of consideration which results in an increase in the number of the Registrant’s outstanding shares of Common Stock. Pursuant to Rule 416(c) under the Securities Act, this Registration Statement shall also cover an indeterminate amount of interests to be offered or sold pursuant to the employee benefit plans described herein.</w:t>
      </w:r>
    </w:p>
    <w:p>
      <w:pPr>
        <w:spacing w:after="0" w:line="22" w:lineRule="exact"/>
        <w:rPr>
          <w:rFonts w:ascii="Arial" w:cs="Arial" w:eastAsia="Arial" w:hAnsi="Arial"/>
          <w:sz w:val="14"/>
          <w:szCs w:val="14"/>
          <w:color w:val="auto"/>
        </w:rPr>
      </w:pPr>
    </w:p>
    <w:p>
      <w:pPr>
        <w:ind w:left="660" w:right="100" w:hanging="325"/>
        <w:spacing w:after="0" w:line="253" w:lineRule="auto"/>
        <w:tabs>
          <w:tab w:leader="none" w:pos="66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registration fee pursuant to Rules 457(c) and 457(h) of the Securities Act and based upon the average of the high and low prices of the Registrant’s Common Stock as reported on The Nasdaq Global Select Market on February 13, 2018.</w:t>
      </w:r>
    </w:p>
    <w:p>
      <w:pPr>
        <w:spacing w:after="0" w:line="11" w:lineRule="exact"/>
        <w:rPr>
          <w:rFonts w:ascii="Arial" w:cs="Arial" w:eastAsia="Arial" w:hAnsi="Arial"/>
          <w:sz w:val="14"/>
          <w:szCs w:val="14"/>
          <w:color w:val="auto"/>
        </w:rPr>
      </w:pPr>
    </w:p>
    <w:p>
      <w:pPr>
        <w:ind w:left="660" w:right="40" w:hanging="325"/>
        <w:spacing w:after="0" w:line="238" w:lineRule="auto"/>
        <w:tabs>
          <w:tab w:leader="none" w:pos="66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registration fee pursuant to Rules 457(c) and 457(h) of the Securities Act and based upon the average of the high and low prices of the Registrant’s Common Stock as reported on The Nasdaq Global Select Market on February 13, 2018, multiplied by 85%, which is the percentage of the price per share applicable to purchasers under the 2015 Employee Stock Purchase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6612255"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12255"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385445</wp:posOffset>
            </wp:positionV>
            <wp:extent cx="6612255"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20"/>
          </w:cols>
          <w:pgMar w:left="740" w:top="234" w:right="739" w:bottom="1440" w:gutter="0" w:footer="0" w:header="0"/>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This Registration Statement on Form S-8 relating to the 2015 Stock Option and Incentive Plan (the “2015 Plan”) and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2015 Employee Stock Purchase Plan (the “2015 ESPP”) of Blueprint Medicines Corporation (the “Registrant”) is being filed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the purpose of registering additional securities of the same class as other securities for which a Registration Statement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on Form S-8 has previously been filed and is effective. Accordingly, this Registration Statement on Form S-8 incorporates by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reference the contents of (i) the Registration Statement on Form S-8 (File No. 333-203749) filed with the Securities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Exchange Commission (the “SEC”) on April 30, 2015 by the Registrant, relating to the 2015 Plan and the 2015 ESPP, (ii)</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Registration Statement on Form S-8 (File No. 333-210125) filed with the SEC on March 11, 2016 by the Registrant,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relating to the 2015 Plan and the 2015 ESPP and (iii) the Registration Statement on Form S-8 (File No. 333-216575) filed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with the SEC on March 9, 2017 by the Registrant, relating to the 2015 Plan and the 2015 ESPP, in each case, except for “Item</w:t>
      </w:r>
    </w:p>
    <w:p>
      <w:pPr>
        <w:spacing w:after="0" w:line="32" w:lineRule="exact"/>
        <w:rPr>
          <w:sz w:val="20"/>
          <w:szCs w:val="20"/>
          <w:color w:val="auto"/>
        </w:rPr>
      </w:pPr>
    </w:p>
    <w:p>
      <w:pPr>
        <w:ind w:left="180" w:hanging="177"/>
        <w:spacing w:after="0"/>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 with respect to which the Exhibit Index set forth below is incorporated herein by reference.</w:t>
      </w:r>
    </w:p>
    <w:p>
      <w:pPr>
        <w:spacing w:after="0" w:line="206" w:lineRule="exact"/>
        <w:rPr>
          <w:rFonts w:ascii="Arial" w:cs="Arial" w:eastAsia="Arial" w:hAnsi="Arial"/>
          <w:sz w:val="18"/>
          <w:szCs w:val="18"/>
          <w:color w:val="auto"/>
        </w:rPr>
      </w:pPr>
    </w:p>
    <w:p>
      <w:pPr>
        <w:ind w:left="3840"/>
        <w:spacing w:after="0"/>
        <w:rPr>
          <w:rFonts w:ascii="Arial" w:cs="Arial" w:eastAsia="Arial" w:hAnsi="Arial"/>
          <w:sz w:val="18"/>
          <w:szCs w:val="18"/>
          <w:color w:val="auto"/>
        </w:rPr>
      </w:pPr>
      <w:r>
        <w:rPr>
          <w:rFonts w:ascii="Arial" w:cs="Arial" w:eastAsia="Arial" w:hAnsi="Arial"/>
          <w:sz w:val="18"/>
          <w:szCs w:val="18"/>
          <w:b w:val="1"/>
          <w:bCs w:val="1"/>
          <w:color w:val="auto"/>
        </w:rPr>
        <w:t>EXHIBIT INDEX</w:t>
      </w:r>
    </w:p>
    <w:p>
      <w:pPr>
        <w:sectPr>
          <w:pgSz w:w="11900" w:h="16838" w:orient="portrait"/>
          <w:cols w:equalWidth="0" w:num="1">
            <w:col w:w="9100"/>
          </w:cols>
          <w:pgMar w:left="1420" w:top="121" w:right="1379" w:bottom="1440" w:gutter="0" w:footer="0" w:header="0"/>
        </w:sectPr>
      </w:pPr>
    </w:p>
    <w:p>
      <w:pPr>
        <w:spacing w:after="0" w:line="200" w:lineRule="exact"/>
        <w:rPr>
          <w:sz w:val="20"/>
          <w:szCs w:val="20"/>
          <w:color w:val="auto"/>
        </w:rPr>
      </w:pPr>
    </w:p>
    <w:p>
      <w:pPr>
        <w:spacing w:after="0" w:line="251"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1360" w:type="dxa"/>
            <w:vAlign w:val="bottom"/>
          </w:tcPr>
          <w:p>
            <w:pPr>
              <w:jc w:val="center"/>
              <w:ind w:right="788"/>
              <w:spacing w:after="0"/>
              <w:rPr>
                <w:sz w:val="20"/>
                <w:szCs w:val="20"/>
                <w:color w:val="auto"/>
              </w:rPr>
            </w:pPr>
            <w:r>
              <w:rPr>
                <w:rFonts w:ascii="Arial" w:cs="Arial" w:eastAsia="Arial" w:hAnsi="Arial"/>
                <w:sz w:val="14"/>
                <w:szCs w:val="14"/>
                <w:b w:val="1"/>
                <w:bCs w:val="1"/>
                <w:color w:val="auto"/>
                <w:w w:val="98"/>
              </w:rPr>
              <w:t>Exhibit</w:t>
            </w:r>
          </w:p>
        </w:tc>
        <w:tc>
          <w:tcPr>
            <w:tcW w:w="2200" w:type="dxa"/>
            <w:vAlign w:val="bottom"/>
            <w:vMerge w:val="restart"/>
          </w:tcPr>
          <w:p>
            <w:pPr>
              <w:ind w:left="840"/>
              <w:spacing w:after="0"/>
              <w:rPr>
                <w:sz w:val="20"/>
                <w:szCs w:val="20"/>
                <w:color w:val="auto"/>
              </w:rPr>
            </w:pPr>
            <w:r>
              <w:rPr>
                <w:rFonts w:ascii="Arial" w:cs="Arial" w:eastAsia="Arial" w:hAnsi="Arial"/>
                <w:sz w:val="14"/>
                <w:szCs w:val="14"/>
                <w:b w:val="1"/>
                <w:bCs w:val="1"/>
                <w:color w:val="auto"/>
                <w:w w:val="92"/>
              </w:rPr>
              <w:t>Description of Exhibit</w:t>
            </w:r>
          </w:p>
        </w:tc>
        <w:tc>
          <w:tcPr>
            <w:tcW w:w="0" w:type="dxa"/>
            <w:vAlign w:val="bottom"/>
          </w:tcPr>
          <w:p>
            <w:pPr>
              <w:spacing w:after="0"/>
              <w:rPr>
                <w:sz w:val="1"/>
                <w:szCs w:val="1"/>
                <w:color w:val="auto"/>
              </w:rPr>
            </w:pPr>
          </w:p>
        </w:tc>
      </w:tr>
      <w:tr>
        <w:trPr>
          <w:trHeight w:val="186"/>
        </w:trPr>
        <w:tc>
          <w:tcPr>
            <w:tcW w:w="1360" w:type="dxa"/>
            <w:vAlign w:val="bottom"/>
          </w:tcPr>
          <w:p>
            <w:pPr>
              <w:jc w:val="center"/>
              <w:ind w:right="788"/>
              <w:spacing w:after="0"/>
              <w:rPr>
                <w:sz w:val="20"/>
                <w:szCs w:val="20"/>
                <w:color w:val="auto"/>
              </w:rPr>
            </w:pPr>
            <w:r>
              <w:rPr>
                <w:rFonts w:ascii="Arial" w:cs="Arial" w:eastAsia="Arial" w:hAnsi="Arial"/>
                <w:sz w:val="14"/>
                <w:szCs w:val="14"/>
                <w:b w:val="1"/>
                <w:bCs w:val="1"/>
                <w:color w:val="auto"/>
                <w:w w:val="94"/>
              </w:rPr>
              <w:t>Number</w:t>
            </w:r>
          </w:p>
        </w:tc>
        <w:tc>
          <w:tcPr>
            <w:tcW w:w="2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33102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ind w:left="760" w:right="140" w:hanging="755"/>
        <w:spacing w:after="0" w:line="259" w:lineRule="auto"/>
        <w:tabs>
          <w:tab w:leader="none" w:pos="740" w:val="left"/>
        </w:tabs>
        <w:rPr>
          <w:rFonts w:ascii="Arial" w:cs="Arial" w:eastAsia="Arial" w:hAnsi="Arial"/>
          <w:sz w:val="18"/>
          <w:szCs w:val="18"/>
          <w:u w:val="single" w:color="auto"/>
          <w:color w:val="0000EE"/>
        </w:rPr>
      </w:pPr>
      <w:r>
        <w:rPr>
          <w:rFonts w:ascii="Arial" w:cs="Arial" w:eastAsia="Arial" w:hAnsi="Arial"/>
          <w:sz w:val="18"/>
          <w:szCs w:val="18"/>
          <w:color w:val="auto"/>
        </w:rPr>
        <w:t>3.1</w:t>
      </w:r>
      <w:r>
        <w:rPr>
          <w:sz w:val="20"/>
          <w:szCs w:val="20"/>
          <w:color w:val="auto"/>
        </w:rPr>
        <w:tab/>
      </w:r>
      <w:hyperlink r:id="rId14">
        <w:r>
          <w:rPr>
            <w:rFonts w:ascii="Arial" w:cs="Arial" w:eastAsia="Arial" w:hAnsi="Arial"/>
            <w:sz w:val="18"/>
            <w:szCs w:val="18"/>
            <w:u w:val="single" w:color="auto"/>
            <w:color w:val="0000EE"/>
          </w:rPr>
          <w:t>Fifth Amended and Restated Certificate of Incorporation of</w:t>
        </w:r>
      </w:hyperlink>
      <w:r>
        <w:rPr>
          <w:rFonts w:ascii="Arial" w:cs="Arial" w:eastAsia="Arial" w:hAnsi="Arial"/>
          <w:sz w:val="18"/>
          <w:szCs w:val="18"/>
          <w:u w:val="single" w:color="auto"/>
          <w:color w:val="0000EE"/>
        </w:rPr>
        <w:t xml:space="preserve"> </w:t>
      </w:r>
      <w:hyperlink r:id="rId14">
        <w:r>
          <w:rPr>
            <w:rFonts w:ascii="Arial" w:cs="Arial" w:eastAsia="Arial" w:hAnsi="Arial"/>
            <w:sz w:val="18"/>
            <w:szCs w:val="18"/>
            <w:u w:val="single" w:color="auto"/>
            <w:color w:val="0000EE"/>
          </w:rPr>
          <w:t>the Registrant</w:t>
        </w:r>
      </w:hyperlink>
    </w:p>
    <w:p>
      <w:pPr>
        <w:spacing w:after="0" w:line="78" w:lineRule="exact"/>
        <w:rPr>
          <w:sz w:val="20"/>
          <w:szCs w:val="20"/>
          <w:color w:val="auto"/>
        </w:rPr>
      </w:pPr>
    </w:p>
    <w:p>
      <w:pPr>
        <w:spacing w:after="0"/>
        <w:tabs>
          <w:tab w:leader="none" w:pos="740" w:val="left"/>
        </w:tabs>
        <w:rPr>
          <w:rFonts w:ascii="Arial" w:cs="Arial" w:eastAsia="Arial" w:hAnsi="Arial"/>
          <w:sz w:val="16"/>
          <w:szCs w:val="16"/>
          <w:u w:val="single" w:color="auto"/>
          <w:color w:val="0000EE"/>
        </w:rPr>
      </w:pPr>
      <w:r>
        <w:rPr>
          <w:rFonts w:ascii="Arial" w:cs="Arial" w:eastAsia="Arial" w:hAnsi="Arial"/>
          <w:sz w:val="18"/>
          <w:szCs w:val="18"/>
          <w:color w:val="auto"/>
        </w:rPr>
        <w:t>3.2</w:t>
      </w:r>
      <w:r>
        <w:rPr>
          <w:sz w:val="20"/>
          <w:szCs w:val="20"/>
          <w:color w:val="auto"/>
        </w:rPr>
        <w:tab/>
      </w:r>
      <w:hyperlink r:id="rId15">
        <w:r>
          <w:rPr>
            <w:rFonts w:ascii="Arial" w:cs="Arial" w:eastAsia="Arial" w:hAnsi="Arial"/>
            <w:sz w:val="16"/>
            <w:szCs w:val="16"/>
            <w:u w:val="single" w:color="auto"/>
            <w:color w:val="0000EE"/>
          </w:rPr>
          <w:t>Amended and Restated Bylaws of the Registrant</w:t>
        </w:r>
      </w:hyperlink>
    </w:p>
    <w:p>
      <w:pPr>
        <w:spacing w:after="0" w:line="117" w:lineRule="exact"/>
        <w:rPr>
          <w:sz w:val="20"/>
          <w:szCs w:val="20"/>
          <w:color w:val="auto"/>
        </w:rPr>
      </w:pPr>
    </w:p>
    <w:p>
      <w:pPr>
        <w:spacing w:after="0"/>
        <w:tabs>
          <w:tab w:leader="none" w:pos="740" w:val="left"/>
        </w:tabs>
        <w:rPr>
          <w:rFonts w:ascii="Arial" w:cs="Arial" w:eastAsia="Arial" w:hAnsi="Arial"/>
          <w:sz w:val="16"/>
          <w:szCs w:val="16"/>
          <w:u w:val="single" w:color="auto"/>
          <w:color w:val="0000EE"/>
        </w:rPr>
      </w:pPr>
      <w:r>
        <w:rPr>
          <w:rFonts w:ascii="Arial" w:cs="Arial" w:eastAsia="Arial" w:hAnsi="Arial"/>
          <w:sz w:val="18"/>
          <w:szCs w:val="18"/>
          <w:color w:val="auto"/>
        </w:rPr>
        <w:t>4.1</w:t>
      </w:r>
      <w:r>
        <w:rPr>
          <w:sz w:val="20"/>
          <w:szCs w:val="20"/>
          <w:color w:val="auto"/>
        </w:rPr>
        <w:tab/>
      </w:r>
      <w:hyperlink r:id="rId16">
        <w:r>
          <w:rPr>
            <w:rFonts w:ascii="Arial" w:cs="Arial" w:eastAsia="Arial" w:hAnsi="Arial"/>
            <w:sz w:val="16"/>
            <w:szCs w:val="16"/>
            <w:u w:val="single" w:color="auto"/>
            <w:color w:val="0000EE"/>
          </w:rPr>
          <w:t>Specimen Common Stock Certificate</w:t>
        </w:r>
      </w:hyperlink>
    </w:p>
    <w:p>
      <w:pPr>
        <w:spacing w:after="0" w:line="117" w:lineRule="exact"/>
        <w:rPr>
          <w:sz w:val="20"/>
          <w:szCs w:val="20"/>
          <w:color w:val="auto"/>
        </w:rPr>
      </w:pPr>
    </w:p>
    <w:p>
      <w:pPr>
        <w:jc w:val="both"/>
        <w:ind w:left="760" w:hanging="755"/>
        <w:spacing w:after="0" w:line="264" w:lineRule="auto"/>
        <w:tabs>
          <w:tab w:leader="none" w:pos="740" w:val="left"/>
        </w:tabs>
        <w:rPr>
          <w:rFonts w:ascii="Arial" w:cs="Arial" w:eastAsia="Arial" w:hAnsi="Arial"/>
          <w:sz w:val="18"/>
          <w:szCs w:val="18"/>
          <w:u w:val="single" w:color="auto"/>
          <w:color w:val="0000EE"/>
        </w:rPr>
      </w:pPr>
      <w:r>
        <w:rPr>
          <w:rFonts w:ascii="Arial" w:cs="Arial" w:eastAsia="Arial" w:hAnsi="Arial"/>
          <w:sz w:val="18"/>
          <w:szCs w:val="18"/>
          <w:color w:val="auto"/>
        </w:rPr>
        <w:t>4.2</w:t>
      </w:r>
      <w:r>
        <w:rPr>
          <w:sz w:val="20"/>
          <w:szCs w:val="20"/>
          <w:color w:val="auto"/>
        </w:rPr>
        <w:tab/>
      </w:r>
      <w:hyperlink r:id="rId17">
        <w:r>
          <w:rPr>
            <w:rFonts w:ascii="Arial" w:cs="Arial" w:eastAsia="Arial" w:hAnsi="Arial"/>
            <w:sz w:val="18"/>
            <w:szCs w:val="18"/>
            <w:u w:val="single" w:color="auto"/>
            <w:color w:val="0000EE"/>
          </w:rPr>
          <w:t>Second Amended and Restated Investors’ Rights Agreement,</w:t>
        </w:r>
      </w:hyperlink>
      <w:r>
        <w:rPr>
          <w:rFonts w:ascii="Arial" w:cs="Arial" w:eastAsia="Arial" w:hAnsi="Arial"/>
          <w:sz w:val="18"/>
          <w:szCs w:val="18"/>
          <w:u w:val="single" w:color="auto"/>
          <w:color w:val="0000EE"/>
        </w:rPr>
        <w:t xml:space="preserve"> </w:t>
      </w:r>
      <w:hyperlink r:id="rId17">
        <w:r>
          <w:rPr>
            <w:rFonts w:ascii="Arial" w:cs="Arial" w:eastAsia="Arial" w:hAnsi="Arial"/>
            <w:sz w:val="18"/>
            <w:szCs w:val="18"/>
            <w:u w:val="single" w:color="auto"/>
            <w:color w:val="0000EE"/>
          </w:rPr>
          <w:t>dated as of November 7, 2014, by and among the Registrant</w:t>
        </w:r>
      </w:hyperlink>
      <w:r>
        <w:rPr>
          <w:rFonts w:ascii="Arial" w:cs="Arial" w:eastAsia="Arial" w:hAnsi="Arial"/>
          <w:sz w:val="18"/>
          <w:szCs w:val="18"/>
          <w:u w:val="single" w:color="auto"/>
          <w:color w:val="0000EE"/>
        </w:rPr>
        <w:t xml:space="preserve"> </w:t>
      </w:r>
      <w:hyperlink r:id="rId17">
        <w:r>
          <w:rPr>
            <w:rFonts w:ascii="Arial" w:cs="Arial" w:eastAsia="Arial" w:hAnsi="Arial"/>
            <w:sz w:val="18"/>
            <w:szCs w:val="18"/>
            <w:u w:val="single" w:color="auto"/>
            <w:color w:val="0000EE"/>
          </w:rPr>
          <w:t>and the Investors listed therein</w:t>
        </w:r>
      </w:hyperlink>
    </w:p>
    <w:p>
      <w:pPr>
        <w:spacing w:after="0" w:line="73" w:lineRule="exact"/>
        <w:rPr>
          <w:rFonts w:ascii="Arial" w:cs="Arial" w:eastAsia="Arial" w:hAnsi="Arial"/>
          <w:sz w:val="18"/>
          <w:szCs w:val="18"/>
          <w:u w:val="single" w:color="auto"/>
          <w:color w:val="0000EE"/>
        </w:rPr>
      </w:pPr>
    </w:p>
    <w:p>
      <w:pPr>
        <w:spacing w:after="0"/>
        <w:tabs>
          <w:tab w:leader="none" w:pos="7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u w:val="single" w:color="auto"/>
          <w:color w:val="0000EE"/>
        </w:rPr>
        <w:t>Opinion of Goodwin Procter LLP, counsel to the Registrant</w:t>
      </w:r>
    </w:p>
    <w:p>
      <w:pPr>
        <w:spacing w:after="0" w:line="117" w:lineRule="exact"/>
        <w:rPr>
          <w:rFonts w:ascii="Arial" w:cs="Arial" w:eastAsia="Arial" w:hAnsi="Arial"/>
          <w:sz w:val="18"/>
          <w:szCs w:val="18"/>
          <w:u w:val="single" w:color="auto"/>
          <w:color w:val="0000EE"/>
        </w:rPr>
      </w:pPr>
    </w:p>
    <w:p>
      <w:pPr>
        <w:ind w:left="760" w:right="220" w:hanging="755"/>
        <w:spacing w:after="0" w:line="277" w:lineRule="auto"/>
        <w:tabs>
          <w:tab w:leader="none" w:pos="74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8"/>
          <w:szCs w:val="18"/>
          <w:u w:val="single" w:color="auto"/>
          <w:color w:val="0000EE"/>
        </w:rPr>
        <w:t>Consent of Ernst &amp; Young LLP, an independent registered public accounting firm</w:t>
      </w:r>
    </w:p>
    <w:p>
      <w:pPr>
        <w:spacing w:after="0" w:line="62" w:lineRule="exact"/>
        <w:rPr>
          <w:rFonts w:ascii="Arial" w:cs="Arial" w:eastAsia="Arial" w:hAnsi="Arial"/>
          <w:sz w:val="18"/>
          <w:szCs w:val="18"/>
          <w:u w:val="single" w:color="auto"/>
          <w:color w:val="0000EE"/>
        </w:rPr>
      </w:pPr>
    </w:p>
    <w:p>
      <w:pPr>
        <w:spacing w:after="0"/>
        <w:tabs>
          <w:tab w:leader="none" w:pos="74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u w:val="single" w:color="auto"/>
          <w:color w:val="0000EE"/>
        </w:rPr>
        <w:t>Consent of Goodwin Procter LLP (included in Exhibit 5.1)</w:t>
      </w:r>
    </w:p>
    <w:p>
      <w:pPr>
        <w:spacing w:after="0" w:line="117" w:lineRule="exact"/>
        <w:rPr>
          <w:rFonts w:ascii="Arial" w:cs="Arial" w:eastAsia="Arial" w:hAnsi="Arial"/>
          <w:sz w:val="18"/>
          <w:szCs w:val="18"/>
          <w:u w:val="single" w:color="auto"/>
          <w:color w:val="0000EE"/>
        </w:rPr>
      </w:pPr>
    </w:p>
    <w:p>
      <w:pPr>
        <w:ind w:left="760" w:right="260" w:hanging="755"/>
        <w:spacing w:after="0" w:line="277" w:lineRule="auto"/>
        <w:tabs>
          <w:tab w:leader="none" w:pos="740" w:val="left"/>
        </w:tabs>
        <w:rPr>
          <w:rFonts w:ascii="Arial" w:cs="Arial" w:eastAsia="Arial" w:hAnsi="Arial"/>
          <w:sz w:val="18"/>
          <w:szCs w:val="18"/>
          <w:u w:val="single" w:color="auto"/>
          <w:color w:val="0000EE"/>
        </w:rPr>
      </w:pPr>
      <w:r>
        <w:rPr>
          <w:rFonts w:ascii="Arial" w:cs="Arial" w:eastAsia="Arial" w:hAnsi="Arial"/>
          <w:sz w:val="18"/>
          <w:szCs w:val="18"/>
          <w:color w:val="auto"/>
        </w:rPr>
        <w:t>24.1</w:t>
      </w:r>
      <w:r>
        <w:rPr>
          <w:sz w:val="20"/>
          <w:szCs w:val="20"/>
          <w:color w:val="auto"/>
        </w:rPr>
        <w:tab/>
      </w:r>
      <w:hyperlink w:anchor="page3">
        <w:r>
          <w:rPr>
            <w:rFonts w:ascii="Arial" w:cs="Arial" w:eastAsia="Arial" w:hAnsi="Arial"/>
            <w:sz w:val="18"/>
            <w:szCs w:val="18"/>
            <w:u w:val="single" w:color="auto"/>
            <w:color w:val="0000EE"/>
          </w:rPr>
          <w:t>Power of attorney (included on the signature pages of this</w:t>
        </w:r>
      </w:hyperlink>
      <w:r>
        <w:rPr>
          <w:rFonts w:ascii="Arial" w:cs="Arial" w:eastAsia="Arial" w:hAnsi="Arial"/>
          <w:sz w:val="18"/>
          <w:szCs w:val="18"/>
          <w:u w:val="single" w:color="auto"/>
          <w:color w:val="0000EE"/>
        </w:rPr>
        <w:t xml:space="preserve"> </w:t>
      </w:r>
      <w:hyperlink w:anchor="page3">
        <w:r>
          <w:rPr>
            <w:rFonts w:ascii="Arial" w:cs="Arial" w:eastAsia="Arial" w:hAnsi="Arial"/>
            <w:sz w:val="18"/>
            <w:szCs w:val="18"/>
            <w:u w:val="single" w:color="auto"/>
            <w:color w:val="0000EE"/>
          </w:rPr>
          <w:t>registration statement)</w:t>
        </w:r>
      </w:hyperlink>
    </w:p>
    <w:p>
      <w:pPr>
        <w:spacing w:after="0" w:line="62" w:lineRule="exact"/>
        <w:rPr>
          <w:sz w:val="20"/>
          <w:szCs w:val="20"/>
          <w:color w:val="auto"/>
        </w:rPr>
      </w:pPr>
    </w:p>
    <w:p>
      <w:pPr>
        <w:spacing w:after="0"/>
        <w:tabs>
          <w:tab w:leader="none" w:pos="74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r:id="rId18">
        <w:r>
          <w:rPr>
            <w:rFonts w:ascii="Arial" w:cs="Arial" w:eastAsia="Arial" w:hAnsi="Arial"/>
            <w:sz w:val="16"/>
            <w:szCs w:val="16"/>
            <w:u w:val="single" w:color="auto"/>
            <w:color w:val="0000EE"/>
          </w:rPr>
          <w:t>2015 Stock Option and Incentive Plan</w:t>
        </w:r>
      </w:hyperlink>
    </w:p>
    <w:p>
      <w:pPr>
        <w:spacing w:after="0" w:line="117" w:lineRule="exact"/>
        <w:rPr>
          <w:sz w:val="20"/>
          <w:szCs w:val="20"/>
          <w:color w:val="auto"/>
        </w:rPr>
      </w:pPr>
    </w:p>
    <w:p>
      <w:pPr>
        <w:spacing w:after="0"/>
        <w:tabs>
          <w:tab w:leader="none" w:pos="740" w:val="left"/>
        </w:tabs>
        <w:rPr>
          <w:rFonts w:ascii="Arial" w:cs="Arial" w:eastAsia="Arial" w:hAnsi="Arial"/>
          <w:sz w:val="15"/>
          <w:szCs w:val="15"/>
          <w:u w:val="single" w:color="auto"/>
          <w:color w:val="0000EE"/>
        </w:rPr>
      </w:pPr>
      <w:r>
        <w:rPr>
          <w:rFonts w:ascii="Arial" w:cs="Arial" w:eastAsia="Arial" w:hAnsi="Arial"/>
          <w:sz w:val="18"/>
          <w:szCs w:val="18"/>
          <w:color w:val="auto"/>
        </w:rPr>
        <w:t>99.2</w:t>
      </w:r>
      <w:r>
        <w:rPr>
          <w:sz w:val="20"/>
          <w:szCs w:val="20"/>
          <w:color w:val="auto"/>
        </w:rPr>
        <w:tab/>
      </w:r>
      <w:hyperlink r:id="rId19">
        <w:r>
          <w:rPr>
            <w:rFonts w:ascii="Arial" w:cs="Arial" w:eastAsia="Arial" w:hAnsi="Arial"/>
            <w:sz w:val="15"/>
            <w:szCs w:val="15"/>
            <w:u w:val="single" w:color="auto"/>
            <w:color w:val="0000EE"/>
          </w:rPr>
          <w:t>2015 Employee Stock Purchase Plan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152400</wp:posOffset>
            </wp:positionV>
            <wp:extent cx="14408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2340" w:type="dxa"/>
            <w:vAlign w:val="bottom"/>
            <w:gridSpan w:val="6"/>
          </w:tcPr>
          <w:p>
            <w:pPr>
              <w:ind w:left="320"/>
              <w:spacing w:after="0"/>
              <w:rPr>
                <w:sz w:val="20"/>
                <w:szCs w:val="20"/>
                <w:color w:val="auto"/>
              </w:rPr>
            </w:pPr>
            <w:r>
              <w:rPr>
                <w:rFonts w:ascii="Arial" w:cs="Arial" w:eastAsia="Arial" w:hAnsi="Arial"/>
                <w:sz w:val="14"/>
                <w:szCs w:val="14"/>
                <w:b w:val="1"/>
                <w:bCs w:val="1"/>
                <w:color w:val="auto"/>
              </w:rPr>
              <w:t>Incorporated by Reference</w:t>
            </w: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60" w:type="dxa"/>
            <w:vAlign w:val="bottom"/>
            <w:tcBorders>
              <w:top w:val="single" w:sz="8" w:color="auto"/>
            </w:tcBorders>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7"/>
              </w:rPr>
              <w:t>Form</w:t>
            </w:r>
          </w:p>
        </w:tc>
        <w:tc>
          <w:tcPr>
            <w:tcW w:w="960" w:type="dxa"/>
            <w:vAlign w:val="bottom"/>
            <w:tcBorders>
              <w:top w:val="single" w:sz="8" w:color="auto"/>
            </w:tcBorders>
            <w:gridSpan w:val="2"/>
            <w:vMerge w:val="restart"/>
          </w:tcPr>
          <w:p>
            <w:pPr>
              <w:ind w:left="220"/>
              <w:spacing w:after="0"/>
              <w:rPr>
                <w:sz w:val="20"/>
                <w:szCs w:val="20"/>
                <w:color w:val="auto"/>
              </w:rPr>
            </w:pPr>
            <w:r>
              <w:rPr>
                <w:rFonts w:ascii="Arial" w:cs="Arial" w:eastAsia="Arial" w:hAnsi="Arial"/>
                <w:sz w:val="14"/>
                <w:szCs w:val="14"/>
                <w:b w:val="1"/>
                <w:bCs w:val="1"/>
                <w:color w:val="auto"/>
              </w:rPr>
              <w:t>File No.</w:t>
            </w:r>
          </w:p>
        </w:tc>
        <w:tc>
          <w:tcPr>
            <w:tcW w:w="7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Exhibit</w:t>
            </w:r>
          </w:p>
        </w:tc>
        <w:tc>
          <w:tcPr>
            <w:tcW w:w="60" w:type="dxa"/>
            <w:vAlign w:val="bottom"/>
          </w:tcPr>
          <w:p>
            <w:pPr>
              <w:spacing w:after="0"/>
              <w:rPr>
                <w:sz w:val="10"/>
                <w:szCs w:val="10"/>
                <w:color w:val="auto"/>
              </w:rPr>
            </w:pPr>
          </w:p>
        </w:tc>
        <w:tc>
          <w:tcPr>
            <w:tcW w:w="14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Filing Date</w:t>
            </w:r>
          </w:p>
        </w:tc>
        <w:tc>
          <w:tcPr>
            <w:tcW w:w="0" w:type="dxa"/>
            <w:vAlign w:val="bottom"/>
          </w:tcPr>
          <w:p>
            <w:pPr>
              <w:spacing w:after="0"/>
              <w:rPr>
                <w:sz w:val="1"/>
                <w:szCs w:val="1"/>
                <w:color w:val="auto"/>
              </w:rPr>
            </w:pPr>
          </w:p>
        </w:tc>
      </w:tr>
      <w:tr>
        <w:trPr>
          <w:trHeight w:val="171"/>
        </w:trPr>
        <w:tc>
          <w:tcPr>
            <w:tcW w:w="56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8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8"/>
              </w:rPr>
              <w:t>Number</w:t>
            </w:r>
          </w:p>
        </w:tc>
        <w:tc>
          <w:tcPr>
            <w:tcW w:w="1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10-Q</w:t>
            </w:r>
          </w:p>
        </w:tc>
        <w:tc>
          <w:tcPr>
            <w:tcW w:w="60" w:type="dxa"/>
            <w:vAlign w:val="bottom"/>
          </w:tcPr>
          <w:p>
            <w:pPr>
              <w:spacing w:after="0"/>
              <w:rPr>
                <w:sz w:val="19"/>
                <w:szCs w:val="19"/>
                <w:color w:val="auto"/>
              </w:rPr>
            </w:pPr>
          </w:p>
        </w:tc>
        <w:tc>
          <w:tcPr>
            <w:tcW w:w="9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001-37359</w:t>
            </w:r>
          </w:p>
        </w:tc>
        <w:tc>
          <w:tcPr>
            <w:tcW w:w="60" w:type="dxa"/>
            <w:vAlign w:val="bottom"/>
          </w:tcPr>
          <w:p>
            <w:pPr>
              <w:spacing w:after="0"/>
              <w:rPr>
                <w:sz w:val="19"/>
                <w:szCs w:val="19"/>
                <w:color w:val="auto"/>
              </w:rPr>
            </w:pPr>
          </w:p>
        </w:tc>
        <w:tc>
          <w:tcPr>
            <w:tcW w:w="7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3.1</w:t>
            </w:r>
          </w:p>
        </w:tc>
        <w:tc>
          <w:tcPr>
            <w:tcW w:w="60" w:type="dxa"/>
            <w:vAlign w:val="bottom"/>
          </w:tcPr>
          <w:p>
            <w:pPr>
              <w:spacing w:after="0"/>
              <w:rPr>
                <w:sz w:val="19"/>
                <w:szCs w:val="19"/>
                <w:color w:val="auto"/>
              </w:rPr>
            </w:pPr>
          </w:p>
        </w:tc>
        <w:tc>
          <w:tcPr>
            <w:tcW w:w="14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November 9, 2015</w:t>
            </w:r>
          </w:p>
        </w:tc>
        <w:tc>
          <w:tcPr>
            <w:tcW w:w="0" w:type="dxa"/>
            <w:vAlign w:val="bottom"/>
          </w:tcPr>
          <w:p>
            <w:pPr>
              <w:spacing w:after="0"/>
              <w:rPr>
                <w:sz w:val="1"/>
                <w:szCs w:val="1"/>
                <w:color w:val="auto"/>
              </w:rPr>
            </w:pPr>
          </w:p>
        </w:tc>
      </w:tr>
      <w:tr>
        <w:trPr>
          <w:trHeight w:val="512"/>
        </w:trPr>
        <w:tc>
          <w:tcPr>
            <w:tcW w:w="1520" w:type="dxa"/>
            <w:vAlign w:val="bottom"/>
            <w:gridSpan w:val="4"/>
          </w:tcPr>
          <w:p>
            <w:pPr>
              <w:ind w:left="60"/>
              <w:spacing w:after="0"/>
              <w:rPr>
                <w:sz w:val="20"/>
                <w:szCs w:val="20"/>
                <w:color w:val="auto"/>
              </w:rPr>
            </w:pPr>
            <w:r>
              <w:rPr>
                <w:rFonts w:ascii="Arial" w:cs="Arial" w:eastAsia="Arial" w:hAnsi="Arial"/>
                <w:sz w:val="18"/>
                <w:szCs w:val="18"/>
                <w:color w:val="auto"/>
              </w:rPr>
              <w:t>10-Q  001-37359</w:t>
            </w:r>
          </w:p>
        </w:tc>
        <w:tc>
          <w:tcPr>
            <w:tcW w:w="76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6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November 9, 2015</w:t>
            </w:r>
          </w:p>
        </w:tc>
        <w:tc>
          <w:tcPr>
            <w:tcW w:w="0" w:type="dxa"/>
            <w:vAlign w:val="bottom"/>
          </w:tcPr>
          <w:p>
            <w:pPr>
              <w:spacing w:after="0"/>
              <w:rPr>
                <w:sz w:val="1"/>
                <w:szCs w:val="1"/>
                <w:color w:val="auto"/>
              </w:rPr>
            </w:pPr>
          </w:p>
        </w:tc>
      </w:tr>
      <w:tr>
        <w:trPr>
          <w:trHeight w:val="324"/>
        </w:trPr>
        <w:tc>
          <w:tcPr>
            <w:tcW w:w="560" w:type="dxa"/>
            <w:vAlign w:val="bottom"/>
            <w:gridSpan w:val="2"/>
          </w:tcPr>
          <w:p>
            <w:pPr>
              <w:jc w:val="center"/>
              <w:ind w:right="60"/>
              <w:spacing w:after="0"/>
              <w:rPr>
                <w:sz w:val="20"/>
                <w:szCs w:val="20"/>
                <w:color w:val="auto"/>
              </w:rPr>
            </w:pPr>
            <w:r>
              <w:rPr>
                <w:rFonts w:ascii="Arial" w:cs="Arial" w:eastAsia="Arial" w:hAnsi="Arial"/>
                <w:sz w:val="18"/>
                <w:szCs w:val="18"/>
                <w:color w:val="auto"/>
                <w:w w:val="93"/>
              </w:rPr>
              <w:t>S-1/A</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333-202938</w:t>
            </w:r>
          </w:p>
        </w:tc>
        <w:tc>
          <w:tcPr>
            <w:tcW w:w="6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6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5"/>
              </w:rPr>
              <w:t>April 20, 2015</w:t>
            </w:r>
          </w:p>
        </w:tc>
        <w:tc>
          <w:tcPr>
            <w:tcW w:w="0" w:type="dxa"/>
            <w:vAlign w:val="bottom"/>
          </w:tcPr>
          <w:p>
            <w:pPr>
              <w:spacing w:after="0"/>
              <w:rPr>
                <w:sz w:val="1"/>
                <w:szCs w:val="1"/>
                <w:color w:val="auto"/>
              </w:rPr>
            </w:pPr>
          </w:p>
        </w:tc>
      </w:tr>
      <w:tr>
        <w:trPr>
          <w:trHeight w:val="324"/>
        </w:trPr>
        <w:tc>
          <w:tcPr>
            <w:tcW w:w="560" w:type="dxa"/>
            <w:vAlign w:val="bottom"/>
            <w:gridSpan w:val="2"/>
          </w:tcPr>
          <w:p>
            <w:pPr>
              <w:jc w:val="center"/>
              <w:ind w:right="60"/>
              <w:spacing w:after="0"/>
              <w:rPr>
                <w:sz w:val="20"/>
                <w:szCs w:val="20"/>
                <w:color w:val="auto"/>
              </w:rPr>
            </w:pPr>
            <w:r>
              <w:rPr>
                <w:rFonts w:ascii="Arial" w:cs="Arial" w:eastAsia="Arial" w:hAnsi="Arial"/>
                <w:sz w:val="18"/>
                <w:szCs w:val="18"/>
                <w:color w:val="auto"/>
                <w:w w:val="92"/>
              </w:rPr>
              <w:t>S-1</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333-202938</w:t>
            </w:r>
          </w:p>
        </w:tc>
        <w:tc>
          <w:tcPr>
            <w:tcW w:w="6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87"/>
              </w:rPr>
              <w:t>4.4</w:t>
            </w:r>
          </w:p>
        </w:tc>
        <w:tc>
          <w:tcPr>
            <w:tcW w:w="6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1"/>
              </w:rPr>
              <w:t>March 23, 2015</w:t>
            </w:r>
          </w:p>
        </w:tc>
        <w:tc>
          <w:tcPr>
            <w:tcW w:w="0" w:type="dxa"/>
            <w:vAlign w:val="bottom"/>
          </w:tcPr>
          <w:p>
            <w:pPr>
              <w:spacing w:after="0"/>
              <w:rPr>
                <w:sz w:val="1"/>
                <w:szCs w:val="1"/>
                <w:color w:val="auto"/>
              </w:rPr>
            </w:pPr>
          </w:p>
        </w:tc>
      </w:tr>
      <w:tr>
        <w:trPr>
          <w:trHeight w:val="756"/>
        </w:trPr>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0"/>
        </w:trPr>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0"/>
        </w:trPr>
        <w:tc>
          <w:tcPr>
            <w:tcW w:w="1520" w:type="dxa"/>
            <w:vAlign w:val="bottom"/>
            <w:gridSpan w:val="4"/>
          </w:tcPr>
          <w:p>
            <w:pPr>
              <w:ind w:left="60"/>
              <w:spacing w:after="0"/>
              <w:rPr>
                <w:sz w:val="20"/>
                <w:szCs w:val="20"/>
                <w:color w:val="auto"/>
              </w:rPr>
            </w:pPr>
            <w:r>
              <w:rPr>
                <w:rFonts w:ascii="Arial" w:cs="Arial" w:eastAsia="Arial" w:hAnsi="Arial"/>
                <w:sz w:val="18"/>
                <w:szCs w:val="18"/>
                <w:color w:val="auto"/>
              </w:rPr>
              <w:t>10-K  001-37359</w:t>
            </w:r>
          </w:p>
        </w:tc>
        <w:tc>
          <w:tcPr>
            <w:tcW w:w="76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6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1"/>
              </w:rPr>
              <w:t>March 11, 2016</w:t>
            </w:r>
          </w:p>
        </w:tc>
        <w:tc>
          <w:tcPr>
            <w:tcW w:w="0" w:type="dxa"/>
            <w:vAlign w:val="bottom"/>
          </w:tcPr>
          <w:p>
            <w:pPr>
              <w:spacing w:after="0"/>
              <w:rPr>
                <w:sz w:val="1"/>
                <w:szCs w:val="1"/>
                <w:color w:val="auto"/>
              </w:rPr>
            </w:pPr>
          </w:p>
        </w:tc>
      </w:tr>
      <w:tr>
        <w:trPr>
          <w:trHeight w:val="324"/>
        </w:trPr>
        <w:tc>
          <w:tcPr>
            <w:tcW w:w="560" w:type="dxa"/>
            <w:vAlign w:val="bottom"/>
            <w:gridSpan w:val="2"/>
          </w:tcPr>
          <w:p>
            <w:pPr>
              <w:jc w:val="center"/>
              <w:ind w:right="60"/>
              <w:spacing w:after="0"/>
              <w:rPr>
                <w:sz w:val="20"/>
                <w:szCs w:val="20"/>
                <w:color w:val="auto"/>
              </w:rPr>
            </w:pPr>
            <w:r>
              <w:rPr>
                <w:rFonts w:ascii="Arial" w:cs="Arial" w:eastAsia="Arial" w:hAnsi="Arial"/>
                <w:sz w:val="18"/>
                <w:szCs w:val="18"/>
                <w:color w:val="auto"/>
                <w:w w:val="92"/>
              </w:rPr>
              <w:t>S-8</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333-203749</w:t>
            </w:r>
          </w:p>
        </w:tc>
        <w:tc>
          <w:tcPr>
            <w:tcW w:w="6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1"/>
              </w:rPr>
              <w:t>99.3</w:t>
            </w:r>
          </w:p>
        </w:tc>
        <w:tc>
          <w:tcPr>
            <w:tcW w:w="6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5"/>
              </w:rPr>
              <w:t>April 30, 2015</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5180" w:space="180"/>
            <w:col w:w="3740"/>
          </w:cols>
          <w:pgMar w:left="1420" w:top="121" w:right="1379" w:bottom="1440" w:gutter="0" w:footer="0" w:header="0"/>
          <w:type w:val="continuous"/>
        </w:sectPr>
      </w:pPr>
    </w:p>
    <w:p>
      <w:pPr>
        <w:spacing w:after="0" w:line="13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159385</wp:posOffset>
            </wp:positionV>
            <wp:extent cx="575437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100"/>
          </w:cols>
          <w:pgMar w:left="1420" w:top="121" w:right="137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Cambridge, Commonwealth of Massachusetts, on this 21</w:t>
      </w:r>
      <w:r>
        <w:rPr>
          <w:rFonts w:ascii="Arial" w:cs="Arial" w:eastAsia="Arial" w:hAnsi="Arial"/>
          <w:sz w:val="8"/>
          <w:szCs w:val="8"/>
          <w:color w:val="auto"/>
        </w:rPr>
        <w:t>st</w:t>
      </w:r>
      <w:r>
        <w:rPr>
          <w:rFonts w:ascii="Arial" w:cs="Arial" w:eastAsia="Arial" w:hAnsi="Arial"/>
          <w:sz w:val="18"/>
          <w:szCs w:val="18"/>
          <w:color w:val="auto"/>
        </w:rPr>
        <w:t xml:space="preserve"> day of February, 2018.</w:t>
      </w:r>
    </w:p>
    <w:p>
      <w:pPr>
        <w:spacing w:after="0" w:line="196"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BLUEPRINT MEDICINES CORPORATION</w:t>
      </w:r>
    </w:p>
    <w:p>
      <w:pPr>
        <w:spacing w:after="0" w:line="200" w:lineRule="exact"/>
        <w:rPr>
          <w:sz w:val="20"/>
          <w:szCs w:val="20"/>
          <w:color w:val="auto"/>
        </w:rPr>
      </w:pPr>
    </w:p>
    <w:p>
      <w:pPr>
        <w:spacing w:after="0" w:line="380"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By: /s/ Jeffrey W.</w:t>
      </w:r>
    </w:p>
    <w:p>
      <w:pPr>
        <w:spacing w:after="0" w:line="23"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Albers</w:t>
      </w:r>
    </w:p>
    <w:p>
      <w:pPr>
        <w:spacing w:after="0" w:line="9"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Jeffrey W. Albers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3114675</wp:posOffset>
            </wp:positionH>
            <wp:positionV relativeFrom="paragraph">
              <wp:posOffset>-130810</wp:posOffset>
            </wp:positionV>
            <wp:extent cx="23755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3"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President and Chief Executive Officer</w:t>
      </w: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POWER OF ATTORNEY AND SIGNATURES</w:t>
      </w:r>
    </w:p>
    <w:p>
      <w:pPr>
        <w:spacing w:after="0" w:line="121" w:lineRule="exact"/>
        <w:rPr>
          <w:sz w:val="20"/>
          <w:szCs w:val="20"/>
          <w:color w:val="auto"/>
        </w:rPr>
      </w:pPr>
    </w:p>
    <w:p>
      <w:pPr>
        <w:ind w:right="160" w:firstLine="648"/>
        <w:spacing w:after="0" w:line="271" w:lineRule="auto"/>
        <w:rPr>
          <w:sz w:val="20"/>
          <w:szCs w:val="20"/>
          <w:color w:val="auto"/>
        </w:rPr>
      </w:pPr>
      <w:r>
        <w:rPr>
          <w:rFonts w:ascii="Arial" w:cs="Arial" w:eastAsia="Arial" w:hAnsi="Arial"/>
          <w:sz w:val="17"/>
          <w:szCs w:val="17"/>
          <w:color w:val="auto"/>
        </w:rPr>
        <w:t>We, the undersigned officers and directors of Blueprint Medicines Corporation, hereby severally constitute and appoint Jeffrey W. Albers and Michael Landsittel, and each of them singly, our true and lawful attorneys with full power to any of them, and to each of them singly, to sign for us and in our names in the capacities indicated below the Registration Statement on Form S-8 filed herewith and any and all amendments to said Registration Statement, and generally to do all such things in our name and on our behalf in our capacities as officers and directors to enable Blueprint Medicines Corporation to comply with the provisions of the Securities Act of 1933, as amended, and all requirements of the Securities and Exchange Commission, hereby ratifying and confirming our signatures as they may be signed by our said attorneys, or any of them, to said registration statement and any and all amendments thereto.</w:t>
      </w:r>
    </w:p>
    <w:p>
      <w:pPr>
        <w:spacing w:after="0" w:line="71"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00" w:type="dxa"/>
            <w:vAlign w:val="bottom"/>
            <w:tcBorders>
              <w:bottom w:val="single" w:sz="8" w:color="auto"/>
            </w:tcBorders>
          </w:tcPr>
          <w:p>
            <w:pPr>
              <w:ind w:left="1260"/>
              <w:spacing w:after="0"/>
              <w:rPr>
                <w:sz w:val="20"/>
                <w:szCs w:val="20"/>
                <w:color w:val="auto"/>
              </w:rPr>
            </w:pPr>
            <w:r>
              <w:rPr>
                <w:rFonts w:ascii="Arial" w:cs="Arial" w:eastAsia="Arial" w:hAnsi="Arial"/>
                <w:sz w:val="14"/>
                <w:szCs w:val="14"/>
                <w:b w:val="1"/>
                <w:bCs w:val="1"/>
                <w:color w:val="auto"/>
              </w:rPr>
              <w:t>Signature</w:t>
            </w:r>
          </w:p>
        </w:tc>
        <w:tc>
          <w:tcPr>
            <w:tcW w:w="240" w:type="dxa"/>
            <w:vAlign w:val="bottom"/>
          </w:tcPr>
          <w:p>
            <w:pPr>
              <w:spacing w:after="0"/>
              <w:rPr>
                <w:sz w:val="14"/>
                <w:szCs w:val="14"/>
                <w:color w:val="auto"/>
              </w:rPr>
            </w:pPr>
          </w:p>
        </w:tc>
        <w:tc>
          <w:tcPr>
            <w:tcW w:w="3720" w:type="dxa"/>
            <w:vAlign w:val="bottom"/>
            <w:tcBorders>
              <w:bottom w:val="single" w:sz="8" w:color="auto"/>
            </w:tcBorders>
          </w:tcPr>
          <w:p>
            <w:pPr>
              <w:ind w:left="1720"/>
              <w:spacing w:after="0"/>
              <w:rPr>
                <w:sz w:val="20"/>
                <w:szCs w:val="20"/>
                <w:color w:val="auto"/>
              </w:rPr>
            </w:pPr>
            <w:r>
              <w:rPr>
                <w:rFonts w:ascii="Arial" w:cs="Arial" w:eastAsia="Arial" w:hAnsi="Arial"/>
                <w:sz w:val="14"/>
                <w:szCs w:val="14"/>
                <w:b w:val="1"/>
                <w:bCs w:val="1"/>
                <w:color w:val="auto"/>
              </w:rPr>
              <w:t>Title</w:t>
            </w:r>
          </w:p>
        </w:tc>
        <w:tc>
          <w:tcPr>
            <w:tcW w:w="240" w:type="dxa"/>
            <w:vAlign w:val="bottom"/>
          </w:tcPr>
          <w:p>
            <w:pPr>
              <w:spacing w:after="0"/>
              <w:rPr>
                <w:sz w:val="14"/>
                <w:szCs w:val="14"/>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304"/>
        </w:trPr>
        <w:tc>
          <w:tcPr>
            <w:tcW w:w="3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Jeffrey W. Albers</w:t>
            </w:r>
          </w:p>
        </w:tc>
        <w:tc>
          <w:tcPr>
            <w:tcW w:w="4200" w:type="dxa"/>
            <w:vAlign w:val="bottom"/>
            <w:gridSpan w:val="3"/>
          </w:tcPr>
          <w:p>
            <w:pPr>
              <w:ind w:left="240"/>
              <w:spacing w:after="0"/>
              <w:rPr>
                <w:sz w:val="20"/>
                <w:szCs w:val="20"/>
                <w:color w:val="auto"/>
              </w:rPr>
            </w:pPr>
            <w:r>
              <w:rPr>
                <w:rFonts w:ascii="Arial" w:cs="Arial" w:eastAsia="Arial" w:hAnsi="Arial"/>
                <w:sz w:val="18"/>
                <w:szCs w:val="18"/>
                <w:color w:val="auto"/>
              </w:rPr>
              <w:t>President, Chief Executive Officer and Director</w:t>
            </w: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February 21, 2018</w:t>
            </w:r>
          </w:p>
        </w:tc>
      </w:tr>
      <w:tr>
        <w:trPr>
          <w:trHeight w:val="224"/>
        </w:trPr>
        <w:tc>
          <w:tcPr>
            <w:tcW w:w="3100" w:type="dxa"/>
            <w:vAlign w:val="bottom"/>
          </w:tcPr>
          <w:p>
            <w:pPr>
              <w:spacing w:after="0"/>
              <w:rPr>
                <w:sz w:val="20"/>
                <w:szCs w:val="20"/>
                <w:color w:val="auto"/>
              </w:rPr>
            </w:pPr>
            <w:r>
              <w:rPr>
                <w:rFonts w:ascii="Arial" w:cs="Arial" w:eastAsia="Arial" w:hAnsi="Arial"/>
                <w:sz w:val="18"/>
                <w:szCs w:val="18"/>
                <w:color w:val="auto"/>
              </w:rPr>
              <w:t>Jeffrey W. Albers</w:t>
            </w:r>
          </w:p>
        </w:tc>
        <w:tc>
          <w:tcPr>
            <w:tcW w:w="4200" w:type="dxa"/>
            <w:vAlign w:val="bottom"/>
            <w:gridSpan w:val="3"/>
          </w:tcPr>
          <w:p>
            <w:pPr>
              <w:ind w:left="240"/>
              <w:spacing w:after="0"/>
              <w:rPr>
                <w:sz w:val="20"/>
                <w:szCs w:val="20"/>
                <w:color w:val="auto"/>
              </w:rPr>
            </w:pPr>
            <w:r>
              <w:rPr>
                <w:rFonts w:ascii="Arial" w:cs="Arial" w:eastAsia="Arial" w:hAnsi="Arial"/>
                <w:sz w:val="18"/>
                <w:szCs w:val="18"/>
                <w:i w:val="1"/>
                <w:iCs w:val="1"/>
                <w:color w:val="auto"/>
              </w:rPr>
              <w:t>(Principal Executive Officer)</w:t>
            </w:r>
          </w:p>
        </w:tc>
        <w:tc>
          <w:tcPr>
            <w:tcW w:w="1760" w:type="dxa"/>
            <w:vAlign w:val="bottom"/>
          </w:tcPr>
          <w:p>
            <w:pPr>
              <w:spacing w:after="0"/>
              <w:rPr>
                <w:sz w:val="19"/>
                <w:szCs w:val="19"/>
                <w:color w:val="auto"/>
              </w:rPr>
            </w:pPr>
          </w:p>
        </w:tc>
      </w:tr>
      <w:tr>
        <w:trPr>
          <w:trHeight w:val="418"/>
        </w:trPr>
        <w:tc>
          <w:tcPr>
            <w:tcW w:w="3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Landsittel</w:t>
            </w:r>
          </w:p>
        </w:tc>
        <w:tc>
          <w:tcPr>
            <w:tcW w:w="4200" w:type="dxa"/>
            <w:vAlign w:val="bottom"/>
            <w:gridSpan w:val="3"/>
          </w:tcPr>
          <w:p>
            <w:pPr>
              <w:ind w:left="240"/>
              <w:spacing w:after="0"/>
              <w:rPr>
                <w:sz w:val="20"/>
                <w:szCs w:val="20"/>
                <w:color w:val="auto"/>
              </w:rPr>
            </w:pPr>
            <w:r>
              <w:rPr>
                <w:rFonts w:ascii="Arial" w:cs="Arial" w:eastAsia="Arial" w:hAnsi="Arial"/>
                <w:sz w:val="18"/>
                <w:szCs w:val="18"/>
                <w:color w:val="auto"/>
              </w:rPr>
              <w:t>Vice President of Finance</w:t>
            </w: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February 21, 2018</w:t>
            </w:r>
          </w:p>
        </w:tc>
      </w:tr>
      <w:tr>
        <w:trPr>
          <w:trHeight w:val="224"/>
        </w:trPr>
        <w:tc>
          <w:tcPr>
            <w:tcW w:w="3100" w:type="dxa"/>
            <w:vAlign w:val="bottom"/>
          </w:tcPr>
          <w:p>
            <w:pPr>
              <w:spacing w:after="0"/>
              <w:rPr>
                <w:sz w:val="20"/>
                <w:szCs w:val="20"/>
                <w:color w:val="auto"/>
              </w:rPr>
            </w:pPr>
            <w:r>
              <w:rPr>
                <w:rFonts w:ascii="Arial" w:cs="Arial" w:eastAsia="Arial" w:hAnsi="Arial"/>
                <w:sz w:val="18"/>
                <w:szCs w:val="18"/>
                <w:color w:val="auto"/>
              </w:rPr>
              <w:t>Michael Landsittel</w:t>
            </w:r>
          </w:p>
        </w:tc>
        <w:tc>
          <w:tcPr>
            <w:tcW w:w="4200" w:type="dxa"/>
            <w:vAlign w:val="bottom"/>
            <w:gridSpan w:val="3"/>
          </w:tcPr>
          <w:p>
            <w:pPr>
              <w:ind w:left="240"/>
              <w:spacing w:after="0"/>
              <w:rPr>
                <w:sz w:val="20"/>
                <w:szCs w:val="20"/>
                <w:color w:val="auto"/>
              </w:rPr>
            </w:pPr>
            <w:r>
              <w:rPr>
                <w:rFonts w:ascii="Arial" w:cs="Arial" w:eastAsia="Arial" w:hAnsi="Arial"/>
                <w:sz w:val="18"/>
                <w:szCs w:val="18"/>
                <w:i w:val="1"/>
                <w:iCs w:val="1"/>
                <w:color w:val="auto"/>
              </w:rPr>
              <w:t>(Principal Financial and Accounting Officer)</w:t>
            </w:r>
          </w:p>
        </w:tc>
        <w:tc>
          <w:tcPr>
            <w:tcW w:w="1760" w:type="dxa"/>
            <w:vAlign w:val="bottom"/>
          </w:tcPr>
          <w:p>
            <w:pPr>
              <w:spacing w:after="0"/>
              <w:rPr>
                <w:sz w:val="19"/>
                <w:szCs w:val="19"/>
                <w:color w:val="auto"/>
              </w:rPr>
            </w:pPr>
          </w:p>
        </w:tc>
      </w:tr>
      <w:tr>
        <w:trPr>
          <w:trHeight w:val="296"/>
        </w:trPr>
        <w:tc>
          <w:tcPr>
            <w:tcW w:w="3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S. Lynch</w:t>
            </w:r>
          </w:p>
        </w:tc>
        <w:tc>
          <w:tcPr>
            <w:tcW w:w="4200" w:type="dxa"/>
            <w:vAlign w:val="bottom"/>
            <w:gridSpan w:val="3"/>
          </w:tcPr>
          <w:p>
            <w:pPr>
              <w:ind w:left="240"/>
              <w:spacing w:after="0"/>
              <w:rPr>
                <w:sz w:val="20"/>
                <w:szCs w:val="20"/>
                <w:color w:val="auto"/>
              </w:rPr>
            </w:pPr>
            <w:r>
              <w:rPr>
                <w:rFonts w:ascii="Arial" w:cs="Arial" w:eastAsia="Arial" w:hAnsi="Arial"/>
                <w:sz w:val="18"/>
                <w:szCs w:val="18"/>
                <w:color w:val="auto"/>
              </w:rPr>
              <w:t>Chairman of the Board</w:t>
            </w: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February 21, 2018</w:t>
            </w:r>
          </w:p>
        </w:tc>
      </w:tr>
      <w:tr>
        <w:trPr>
          <w:trHeight w:val="224"/>
        </w:trPr>
        <w:tc>
          <w:tcPr>
            <w:tcW w:w="3100" w:type="dxa"/>
            <w:vAlign w:val="bottom"/>
          </w:tcPr>
          <w:p>
            <w:pPr>
              <w:spacing w:after="0"/>
              <w:rPr>
                <w:sz w:val="20"/>
                <w:szCs w:val="20"/>
                <w:color w:val="auto"/>
              </w:rPr>
            </w:pPr>
            <w:r>
              <w:rPr>
                <w:rFonts w:ascii="Arial" w:cs="Arial" w:eastAsia="Arial" w:hAnsi="Arial"/>
                <w:sz w:val="18"/>
                <w:szCs w:val="18"/>
                <w:color w:val="auto"/>
              </w:rPr>
              <w:t>Daniel S. Lynch</w:t>
            </w:r>
          </w:p>
        </w:tc>
        <w:tc>
          <w:tcPr>
            <w:tcW w:w="24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96"/>
        </w:trPr>
        <w:tc>
          <w:tcPr>
            <w:tcW w:w="3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Nicholas Lydon</w:t>
            </w:r>
          </w:p>
        </w:tc>
        <w:tc>
          <w:tcPr>
            <w:tcW w:w="420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February 21, 2018</w:t>
            </w:r>
          </w:p>
        </w:tc>
      </w:tr>
      <w:tr>
        <w:trPr>
          <w:trHeight w:val="224"/>
        </w:trPr>
        <w:tc>
          <w:tcPr>
            <w:tcW w:w="3100" w:type="dxa"/>
            <w:vAlign w:val="bottom"/>
          </w:tcPr>
          <w:p>
            <w:pPr>
              <w:spacing w:after="0"/>
              <w:rPr>
                <w:sz w:val="20"/>
                <w:szCs w:val="20"/>
                <w:color w:val="auto"/>
              </w:rPr>
            </w:pPr>
            <w:r>
              <w:rPr>
                <w:rFonts w:ascii="Arial" w:cs="Arial" w:eastAsia="Arial" w:hAnsi="Arial"/>
                <w:sz w:val="18"/>
                <w:szCs w:val="18"/>
                <w:color w:val="auto"/>
              </w:rPr>
              <w:t>Nicholas Lydon, Ph.D.</w:t>
            </w:r>
          </w:p>
        </w:tc>
        <w:tc>
          <w:tcPr>
            <w:tcW w:w="24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96"/>
        </w:trPr>
        <w:tc>
          <w:tcPr>
            <w:tcW w:w="3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Alexis Borisy</w:t>
            </w:r>
          </w:p>
        </w:tc>
        <w:tc>
          <w:tcPr>
            <w:tcW w:w="420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February 21, 2018</w:t>
            </w:r>
          </w:p>
        </w:tc>
      </w:tr>
      <w:tr>
        <w:trPr>
          <w:trHeight w:val="224"/>
        </w:trPr>
        <w:tc>
          <w:tcPr>
            <w:tcW w:w="3100" w:type="dxa"/>
            <w:vAlign w:val="bottom"/>
          </w:tcPr>
          <w:p>
            <w:pPr>
              <w:spacing w:after="0"/>
              <w:rPr>
                <w:sz w:val="20"/>
                <w:szCs w:val="20"/>
                <w:color w:val="auto"/>
              </w:rPr>
            </w:pPr>
            <w:r>
              <w:rPr>
                <w:rFonts w:ascii="Arial" w:cs="Arial" w:eastAsia="Arial" w:hAnsi="Arial"/>
                <w:sz w:val="18"/>
                <w:szCs w:val="18"/>
                <w:color w:val="auto"/>
              </w:rPr>
              <w:t>Alexis Borisy</w:t>
            </w:r>
          </w:p>
        </w:tc>
        <w:tc>
          <w:tcPr>
            <w:tcW w:w="24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96"/>
        </w:trPr>
        <w:tc>
          <w:tcPr>
            <w:tcW w:w="3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Goldberg</w:t>
            </w:r>
          </w:p>
        </w:tc>
        <w:tc>
          <w:tcPr>
            <w:tcW w:w="420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February 21, 2018</w:t>
            </w:r>
          </w:p>
        </w:tc>
      </w:tr>
      <w:tr>
        <w:trPr>
          <w:trHeight w:val="224"/>
        </w:trPr>
        <w:tc>
          <w:tcPr>
            <w:tcW w:w="3100" w:type="dxa"/>
            <w:vAlign w:val="bottom"/>
          </w:tcPr>
          <w:p>
            <w:pPr>
              <w:spacing w:after="0"/>
              <w:rPr>
                <w:sz w:val="20"/>
                <w:szCs w:val="20"/>
                <w:color w:val="auto"/>
              </w:rPr>
            </w:pPr>
            <w:r>
              <w:rPr>
                <w:rFonts w:ascii="Arial" w:cs="Arial" w:eastAsia="Arial" w:hAnsi="Arial"/>
                <w:sz w:val="18"/>
                <w:szCs w:val="18"/>
                <w:color w:val="auto"/>
              </w:rPr>
              <w:t>Mark Goldberg, M.D.</w:t>
            </w:r>
          </w:p>
        </w:tc>
        <w:tc>
          <w:tcPr>
            <w:tcW w:w="24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96"/>
        </w:trPr>
        <w:tc>
          <w:tcPr>
            <w:tcW w:w="3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Charles A. Rowland, Jr.</w:t>
            </w:r>
          </w:p>
        </w:tc>
        <w:tc>
          <w:tcPr>
            <w:tcW w:w="420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February 21, 2018</w:t>
            </w:r>
          </w:p>
        </w:tc>
      </w:tr>
      <w:tr>
        <w:trPr>
          <w:trHeight w:val="224"/>
        </w:trPr>
        <w:tc>
          <w:tcPr>
            <w:tcW w:w="3100" w:type="dxa"/>
            <w:vAlign w:val="bottom"/>
          </w:tcPr>
          <w:p>
            <w:pPr>
              <w:spacing w:after="0"/>
              <w:rPr>
                <w:sz w:val="20"/>
                <w:szCs w:val="20"/>
                <w:color w:val="auto"/>
              </w:rPr>
            </w:pPr>
            <w:r>
              <w:rPr>
                <w:rFonts w:ascii="Arial" w:cs="Arial" w:eastAsia="Arial" w:hAnsi="Arial"/>
                <w:sz w:val="18"/>
                <w:szCs w:val="18"/>
                <w:color w:val="auto"/>
              </w:rPr>
              <w:t>Charles A. Rowland, Jr.</w:t>
            </w:r>
          </w:p>
        </w:tc>
        <w:tc>
          <w:tcPr>
            <w:tcW w:w="24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96"/>
        </w:trPr>
        <w:tc>
          <w:tcPr>
            <w:tcW w:w="3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George Demetri</w:t>
            </w:r>
          </w:p>
        </w:tc>
        <w:tc>
          <w:tcPr>
            <w:tcW w:w="420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February 21, 2018</w:t>
            </w:r>
          </w:p>
        </w:tc>
      </w:tr>
      <w:tr>
        <w:trPr>
          <w:trHeight w:val="224"/>
        </w:trPr>
        <w:tc>
          <w:tcPr>
            <w:tcW w:w="3100" w:type="dxa"/>
            <w:vAlign w:val="bottom"/>
          </w:tcPr>
          <w:p>
            <w:pPr>
              <w:spacing w:after="0"/>
              <w:rPr>
                <w:sz w:val="20"/>
                <w:szCs w:val="20"/>
                <w:color w:val="auto"/>
              </w:rPr>
            </w:pPr>
            <w:r>
              <w:rPr>
                <w:rFonts w:ascii="Arial" w:cs="Arial" w:eastAsia="Arial" w:hAnsi="Arial"/>
                <w:sz w:val="18"/>
                <w:szCs w:val="18"/>
                <w:color w:val="auto"/>
              </w:rPr>
              <w:t>George Demetri, M.D.</w:t>
            </w:r>
          </w:p>
        </w:tc>
        <w:tc>
          <w:tcPr>
            <w:tcW w:w="24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96"/>
        </w:trPr>
        <w:tc>
          <w:tcPr>
            <w:tcW w:w="3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Lonnel Coats</w:t>
            </w:r>
          </w:p>
        </w:tc>
        <w:tc>
          <w:tcPr>
            <w:tcW w:w="420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February 21, 2018</w:t>
            </w:r>
          </w:p>
        </w:tc>
      </w:tr>
      <w:tr>
        <w:trPr>
          <w:trHeight w:val="224"/>
        </w:trPr>
        <w:tc>
          <w:tcPr>
            <w:tcW w:w="3100" w:type="dxa"/>
            <w:vAlign w:val="bottom"/>
          </w:tcPr>
          <w:p>
            <w:pPr>
              <w:spacing w:after="0"/>
              <w:rPr>
                <w:sz w:val="20"/>
                <w:szCs w:val="20"/>
                <w:color w:val="auto"/>
              </w:rPr>
            </w:pPr>
            <w:r>
              <w:rPr>
                <w:rFonts w:ascii="Arial" w:cs="Arial" w:eastAsia="Arial" w:hAnsi="Arial"/>
                <w:sz w:val="18"/>
                <w:szCs w:val="18"/>
                <w:color w:val="auto"/>
              </w:rPr>
              <w:t>Lonnel Coats</w:t>
            </w:r>
          </w:p>
        </w:tc>
        <w:tc>
          <w:tcPr>
            <w:tcW w:w="24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96"/>
        </w:trPr>
        <w:tc>
          <w:tcPr>
            <w:tcW w:w="3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Lynn Seely</w:t>
            </w:r>
          </w:p>
        </w:tc>
        <w:tc>
          <w:tcPr>
            <w:tcW w:w="420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February 21, 2018</w:t>
            </w:r>
          </w:p>
        </w:tc>
      </w:tr>
      <w:tr>
        <w:trPr>
          <w:trHeight w:val="224"/>
        </w:trPr>
        <w:tc>
          <w:tcPr>
            <w:tcW w:w="3100" w:type="dxa"/>
            <w:vAlign w:val="bottom"/>
          </w:tcPr>
          <w:p>
            <w:pPr>
              <w:spacing w:after="0"/>
              <w:rPr>
                <w:sz w:val="20"/>
                <w:szCs w:val="20"/>
                <w:color w:val="auto"/>
              </w:rPr>
            </w:pPr>
            <w:r>
              <w:rPr>
                <w:rFonts w:ascii="Arial" w:cs="Arial" w:eastAsia="Arial" w:hAnsi="Arial"/>
                <w:sz w:val="18"/>
                <w:szCs w:val="18"/>
                <w:color w:val="auto"/>
              </w:rPr>
              <w:t>Lynn Seely, M.D.</w:t>
            </w:r>
          </w:p>
        </w:tc>
        <w:tc>
          <w:tcPr>
            <w:tcW w:w="24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871"/>
        </w:trPr>
        <w:tc>
          <w:tcPr>
            <w:tcW w:w="3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21" w:right="141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5.1</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February 21,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Blueprint Medicines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45 Sidney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Cambridge, MA 02139</w:t>
      </w:r>
    </w:p>
    <w:p>
      <w:pPr>
        <w:spacing w:after="0" w:line="211"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color w:val="auto"/>
        </w:rPr>
        <w:t>Securities Being Registered under Registration Statement on Form S-8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We have acted as counsel to you in connection with your filing of a Registration Statement on Form S-8 (the “Registration Statement”) pursuant to the Securities Act of 1933, as amended (the “Securities Act”), on or about the date hereof relating to an aggregate of 2,178,876 shares (the “Shares”) of Common Stock, $0.001 par value per share, of Blueprint Medicines Corporation, a Delaware corporation (the “Company”), that may be issued pursuant to the Company’s 2015 Stock Option and Incentive Plan and 2015 Employee Stock Purchase Plan (collectively, the “Plans”).</w:t>
      </w:r>
    </w:p>
    <w:p>
      <w:pPr>
        <w:spacing w:after="0" w:line="17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have reviewed such documents and made such examination of law as we have deemed appropriate to give the opinions set forth below. We have relied, without independent verification, on certificates of public officials and, as to matters of fact material to the opinion set forth below, on certificates of officers of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opinion set forth below is limited to the Delaware General Corporation Law.</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For purposes of the opinion set forth below, we have assumed that a sufficient number of authorized but unissued shares of the Company’s Common Stock will be available for issuance when the Shares are issued.</w:t>
      </w:r>
    </w:p>
    <w:p>
      <w:pPr>
        <w:spacing w:after="0" w:line="170"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Based on the foregoing, we are of the opinion that the Shares have been duly authorized and, upon issuance and delivery against payment therefor in accordance with the terms of the Plans, will be validly issued, fully paid and nonassessable.</w:t>
      </w:r>
    </w:p>
    <w:p>
      <w:pPr>
        <w:spacing w:after="0" w:line="12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hereby consent to the inclusion of this opinion as Exhibit 5.1 to the Registration Statement. In giving our consent, we do not admit that we are in the category of persons whose consent is required under Section 7 of the Securities Act or the rules and regulations thereunder.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GOODWIN PROCTER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GOODWIN PROCTER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4" w:name="page5"/>
    <w:bookmarkEnd w:id="4"/>
    <w:p>
      <w:pPr>
        <w:jc w:val="right"/>
        <w:ind w:right="139"/>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ind w:left="160" w:right="139"/>
        <w:spacing w:after="0" w:line="255" w:lineRule="auto"/>
        <w:rPr>
          <w:sz w:val="20"/>
          <w:szCs w:val="20"/>
          <w:color w:val="auto"/>
        </w:rPr>
      </w:pPr>
      <w:r>
        <w:rPr>
          <w:rFonts w:ascii="Arial" w:cs="Arial" w:eastAsia="Arial" w:hAnsi="Arial"/>
          <w:sz w:val="18"/>
          <w:szCs w:val="18"/>
          <w:color w:val="auto"/>
        </w:rPr>
        <w:t>We consent to the incorporation by reference in the Registration Statement (Form S-8) pertaining to the 2015 Stock Option and Incentive Plan and the 2015 Employee Stock Purchase Plan of Blueprint Medicines Corporation of our reports dated February 21, 2018, with respect to the consolidated financial statements of Blueprint Medicines Corporation and the effectiveness of internal control over financial reporting of Blueprint Medicines Corporation included in its Annual Report (Form 10-K) for the year ended December 31, 2017, filed with the Securities and Exchange Commission.</w:t>
      </w:r>
    </w:p>
    <w:p>
      <w:pPr>
        <w:spacing w:after="0" w:line="19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February 21,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142875</wp:posOffset>
            </wp:positionV>
            <wp:extent cx="554863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sectPr>
      <w:pgSz w:w="11900" w:h="16838" w:orient="portrait"/>
      <w:cols w:equalWidth="0" w:num="1">
        <w:col w:w="9019"/>
      </w:cols>
      <w:pgMar w:left="14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8"/>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14" Type="http://schemas.openxmlformats.org/officeDocument/2006/relationships/hyperlink" Target="http://www.sec.gov/Archives/edgar/data/1597264/000155837015002529/bpmc-20150930ex3100367a3.htm" TargetMode="External"/><Relationship Id="rId15" Type="http://schemas.openxmlformats.org/officeDocument/2006/relationships/hyperlink" Target="http://www.sec.gov/Archives/edgar/data/1597264/000155837015002529/bpmc-20150930ex32d28c430.htm" TargetMode="External"/><Relationship Id="rId16" Type="http://schemas.openxmlformats.org/officeDocument/2006/relationships/hyperlink" Target="http://www.sec.gov/Archives/edgar/data/1597264/000104746915003668/a2224211zex-4_1.htm" TargetMode="External"/><Relationship Id="rId17" Type="http://schemas.openxmlformats.org/officeDocument/2006/relationships/hyperlink" Target="http://www.sec.gov/Archives/edgar/data/1597264/000104746915002608/a2223883zex-4_4.htm" TargetMode="External"/><Relationship Id="rId18" Type="http://schemas.openxmlformats.org/officeDocument/2006/relationships/hyperlink" Target="http://www.sec.gov/Archives/edgar/data/1597264/000155837016004066/bpmc-20151231ex102677f1d.htm" TargetMode="External"/><Relationship Id="rId19" Type="http://schemas.openxmlformats.org/officeDocument/2006/relationships/hyperlink" Target="http://www.sec.gov/Archives/edgar/data/1597264/000110465915032381/a15-10041_1ex99d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2019-12-08T09:35:43Z</dcterms:created>
  <dcterms:modified xsi:type="dcterms:W3CDTF">2019-12-08T09:35:43Z</dcterms:modified>
</cp:coreProperties>
</file>