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2316480</wp:posOffset>
            </wp:positionH>
            <wp:positionV relativeFrom="paragraph">
              <wp:posOffset>210820</wp:posOffset>
            </wp:positionV>
            <wp:extent cx="15436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2316480</wp:posOffset>
            </wp:positionH>
            <wp:positionV relativeFrom="paragraph">
              <wp:posOffset>229870</wp:posOffset>
            </wp:positionV>
            <wp:extent cx="154368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4368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March 6,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2316480</wp:posOffset>
            </wp:positionH>
            <wp:positionV relativeFrom="paragraph">
              <wp:posOffset>223520</wp:posOffset>
            </wp:positionV>
            <wp:extent cx="15436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Blueprint Medicines Corporation</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2316480</wp:posOffset>
            </wp:positionH>
            <wp:positionV relativeFrom="paragraph">
              <wp:posOffset>73025</wp:posOffset>
            </wp:positionV>
            <wp:extent cx="15436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ectPr>
          <w:pgSz w:w="11900" w:h="16838" w:orient="portrait"/>
          <w:cols w:equalWidth="0" w:num="1">
            <w:col w:w="9720"/>
          </w:cols>
          <w:pgMar w:left="760" w:top="206" w:right="1419" w:bottom="1440" w:gutter="0" w:footer="0" w:header="0"/>
        </w:sectPr>
      </w:pPr>
    </w:p>
    <w:p>
      <w:pPr>
        <w:spacing w:after="0" w:line="200" w:lineRule="exact"/>
        <w:rPr>
          <w:sz w:val="24"/>
          <w:szCs w:val="24"/>
          <w:color w:val="auto"/>
        </w:rPr>
      </w:pPr>
    </w:p>
    <w:p>
      <w:pPr>
        <w:spacing w:after="0" w:line="235" w:lineRule="exact"/>
        <w:rPr>
          <w:sz w:val="24"/>
          <w:szCs w:val="24"/>
          <w:color w:val="auto"/>
        </w:rPr>
      </w:pPr>
    </w:p>
    <w:p>
      <w:pPr>
        <w:ind w:left="12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6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0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001-37359</w:t>
      </w:r>
    </w:p>
    <w:p>
      <w:pPr>
        <w:spacing w:after="0" w:line="27" w:lineRule="exact"/>
        <w:rPr>
          <w:sz w:val="24"/>
          <w:szCs w:val="24"/>
          <w:color w:val="auto"/>
        </w:rPr>
      </w:pPr>
    </w:p>
    <w:p>
      <w:pPr>
        <w:jc w:val="center"/>
        <w:ind w:right="8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jc w:val="center"/>
        <w:ind w:right="940"/>
        <w:spacing w:after="0"/>
        <w:rPr>
          <w:sz w:val="20"/>
          <w:szCs w:val="20"/>
          <w:color w:val="auto"/>
        </w:rPr>
      </w:pPr>
      <w:r>
        <w:rPr>
          <w:rFonts w:ascii="Arial" w:cs="Arial" w:eastAsia="Arial" w:hAnsi="Arial"/>
          <w:sz w:val="18"/>
          <w:szCs w:val="18"/>
          <w:b w:val="1"/>
          <w:bCs w:val="1"/>
          <w:color w:val="auto"/>
        </w:rPr>
        <w:t>26-3632015</w:t>
      </w:r>
    </w:p>
    <w:p>
      <w:pPr>
        <w:spacing w:after="0" w:line="27" w:lineRule="exact"/>
        <w:rPr>
          <w:sz w:val="24"/>
          <w:szCs w:val="24"/>
          <w:color w:val="auto"/>
        </w:rPr>
      </w:pPr>
    </w:p>
    <w:p>
      <w:pPr>
        <w:jc w:val="center"/>
        <w:ind w:right="9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9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160" w:space="720"/>
            <w:col w:w="2840" w:space="720"/>
            <w:col w:w="2280"/>
          </w:cols>
          <w:pgMar w:left="760" w:top="206" w:right="1419" w:bottom="1440" w:gutter="0" w:footer="0" w:header="0"/>
          <w:type w:val="continuous"/>
        </w:sectPr>
      </w:pPr>
    </w:p>
    <w:p>
      <w:pPr>
        <w:spacing w:after="0" w:line="223" w:lineRule="exact"/>
        <w:rPr>
          <w:sz w:val="24"/>
          <w:szCs w:val="24"/>
          <w:color w:val="auto"/>
        </w:rPr>
      </w:pPr>
    </w:p>
    <w:p>
      <w:pPr>
        <w:jc w:val="center"/>
        <w:ind w:right="1320"/>
        <w:spacing w:after="0"/>
        <w:rPr>
          <w:sz w:val="20"/>
          <w:szCs w:val="20"/>
          <w:color w:val="auto"/>
        </w:rPr>
      </w:pPr>
      <w:r>
        <w:rPr>
          <w:rFonts w:ascii="Arial" w:cs="Arial" w:eastAsia="Arial" w:hAnsi="Arial"/>
          <w:sz w:val="18"/>
          <w:szCs w:val="18"/>
          <w:b w:val="1"/>
          <w:bCs w:val="1"/>
          <w:color w:val="auto"/>
        </w:rPr>
        <w:t>45 Sidney Street</w:t>
      </w:r>
    </w:p>
    <w:p>
      <w:pPr>
        <w:spacing w:after="0" w:line="27" w:lineRule="exact"/>
        <w:rPr>
          <w:sz w:val="24"/>
          <w:szCs w:val="24"/>
          <w:color w:val="auto"/>
        </w:rPr>
      </w:pPr>
    </w:p>
    <w:p>
      <w:pPr>
        <w:jc w:val="center"/>
        <w:ind w:right="1320"/>
        <w:spacing w:after="0"/>
        <w:rPr>
          <w:sz w:val="20"/>
          <w:szCs w:val="20"/>
          <w:color w:val="auto"/>
        </w:rPr>
      </w:pPr>
      <w:r>
        <w:rPr>
          <w:rFonts w:ascii="Arial" w:cs="Arial" w:eastAsia="Arial" w:hAnsi="Arial"/>
          <w:sz w:val="18"/>
          <w:szCs w:val="18"/>
          <w:b w:val="1"/>
          <w:bCs w:val="1"/>
          <w:color w:val="auto"/>
        </w:rPr>
        <w:t>Cambridge, Massachusetts</w:t>
      </w:r>
    </w:p>
    <w:p>
      <w:pPr>
        <w:spacing w:after="0" w:line="9" w:lineRule="exact"/>
        <w:rPr>
          <w:sz w:val="24"/>
          <w:szCs w:val="24"/>
          <w:color w:val="auto"/>
        </w:rPr>
      </w:pPr>
    </w:p>
    <w:p>
      <w:pPr>
        <w:jc w:val="center"/>
        <w:ind w:right="13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9" w:lineRule="exact"/>
        <w:rPr>
          <w:sz w:val="24"/>
          <w:szCs w:val="24"/>
          <w:color w:val="auto"/>
        </w:rPr>
      </w:pPr>
    </w:p>
    <w:p>
      <w:pPr>
        <w:jc w:val="center"/>
        <w:ind w:right="2040"/>
        <w:spacing w:after="0"/>
        <w:rPr>
          <w:sz w:val="20"/>
          <w:szCs w:val="20"/>
          <w:color w:val="auto"/>
        </w:rPr>
      </w:pPr>
      <w:r>
        <w:rPr>
          <w:rFonts w:ascii="Arial" w:cs="Arial" w:eastAsia="Arial" w:hAnsi="Arial"/>
          <w:sz w:val="18"/>
          <w:szCs w:val="18"/>
          <w:b w:val="1"/>
          <w:bCs w:val="1"/>
          <w:color w:val="auto"/>
        </w:rPr>
        <w:t>02139</w:t>
      </w:r>
    </w:p>
    <w:p>
      <w:pPr>
        <w:spacing w:after="0" w:line="27" w:lineRule="exact"/>
        <w:rPr>
          <w:sz w:val="24"/>
          <w:szCs w:val="24"/>
          <w:color w:val="auto"/>
        </w:rPr>
      </w:pPr>
    </w:p>
    <w:p>
      <w:pPr>
        <w:jc w:val="center"/>
        <w:ind w:right="20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180" w:space="720"/>
            <w:col w:w="2820"/>
          </w:cols>
          <w:pgMar w:left="760" w:top="206" w:right="141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374-7580</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2316480</wp:posOffset>
            </wp:positionH>
            <wp:positionV relativeFrom="paragraph">
              <wp:posOffset>220980</wp:posOffset>
            </wp:positionV>
            <wp:extent cx="15436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right="480"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960" w:hanging="320"/>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960" w:hanging="320"/>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960" w:hanging="320"/>
        <w:spacing w:after="0"/>
        <w:tabs>
          <w:tab w:leader="none" w:pos="96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20" w:lineRule="exact"/>
        <w:rPr>
          <w:rFonts w:ascii="Arial" w:cs="Arial" w:eastAsia="Arial" w:hAnsi="Arial"/>
          <w:sz w:val="17"/>
          <w:szCs w:val="17"/>
          <w:color w:val="auto"/>
        </w:rPr>
      </w:pPr>
    </w:p>
    <w:p>
      <w:pPr>
        <w:ind w:left="960" w:hanging="320"/>
        <w:spacing w:after="0"/>
        <w:tabs>
          <w:tab w:leader="none" w:pos="96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22" w:lineRule="exact"/>
        <w:rPr>
          <w:sz w:val="24"/>
          <w:szCs w:val="24"/>
          <w:color w:val="auto"/>
        </w:rPr>
      </w:pPr>
    </w:p>
    <w:p>
      <w:pPr>
        <w:ind w:right="40" w:firstLine="648"/>
        <w:spacing w:after="0" w:line="308"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4" w:lineRule="exact"/>
        <w:rPr>
          <w:sz w:val="24"/>
          <w:szCs w:val="24"/>
          <w:color w:val="auto"/>
        </w:rPr>
      </w:pPr>
    </w:p>
    <w:p>
      <w:pPr>
        <w:ind w:left="75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100" w:firstLine="648"/>
        <w:spacing w:after="0" w:line="23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416560</wp:posOffset>
            </wp:positionV>
            <wp:extent cx="618299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82995" cy="17145"/>
                    </a:xfrm>
                    <a:prstGeom prst="rect">
                      <a:avLst/>
                    </a:prstGeom>
                    <a:noFill/>
                  </pic:spPr>
                </pic:pic>
              </a:graphicData>
            </a:graphic>
          </wp:anchor>
        </w:drawing>
      </w:r>
    </w:p>
    <w:p>
      <w:pPr>
        <w:sectPr>
          <w:pgSz w:w="11900" w:h="16838" w:orient="portrait"/>
          <w:cols w:equalWidth="0" w:num="1">
            <w:col w:w="9720"/>
          </w:cols>
          <w:pgMar w:left="760" w:top="206" w:right="1419" w:bottom="1440" w:gutter="0" w:footer="0" w:header="0"/>
          <w:type w:val="continuous"/>
        </w:sectPr>
      </w:pPr>
    </w:p>
    <w:bookmarkStart w:id="1" w:name="page2"/>
    <w:bookmarkEnd w:id="1"/>
    <w:p>
      <w:pPr>
        <w:ind w:right="6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Appointment of Principal Accounting Officer</w:t>
      </w:r>
    </w:p>
    <w:p>
      <w:pPr>
        <w:spacing w:after="0" w:line="225"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Effective March 6, 2019, Blueprint Medicines Corporation (the “Company”) appointed Ariel Hurley as principal accounting officer of the Company and entered into an employment agreement with Ms. Hurley that provides for “at will” employment and supersedes and replaces in all respects the terms of the offer letter agreement that the Company previously entered into with Ms. Hurley in connection with her employment with the Company.</w:t>
      </w:r>
    </w:p>
    <w:p>
      <w:pPr>
        <w:spacing w:after="0" w:line="17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Ms. Hurley, age 45, currently serves as Vice President, Finance and Controller of the Company and previously served as Senior Director, Controller of the Company from January 2016 to December 2018 and as Director, Controller of the Company from September 2014 to December 2015. Prior to joining the Company, Ms. Hurley served in various accounting and finance roles at Millennium Pharmaceuticals, Inc. (now a wholly-owned subsidiary of Takeda Pharmaceutical Company Limited) from December 2005 to September 2014. Ms. Hurley began her career at Deloitte &amp; Touche, LLP and has over 20 years of experience in finance and accounting roles of increasing responsibility. She earned her certified public accountant license in Massachusetts. Ms. Hurley received a B.S. in accounting from Providence College.</w:t>
      </w:r>
    </w:p>
    <w:p>
      <w:pPr>
        <w:spacing w:after="0" w:line="167"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The employment agreement entitles Ms. Hurley to an annual base salary of $240,000 and an annual performance bonus targeted at 30% of her base salary, each of which are subject to periodic review and adjustment. Ms. Hurley is eligible to participate in the employee benefit plans generally available to full-time employees, subject to the terms of those plans. If Ms. Hurley’s employment is terminated by the Company without cause (as defined in her employment agreement) or by Ms. Hurley for good reason (as defined in her employment agreement), and subject to Ms. Hurley’s execution of a release of potential claims against the Company, Ms. Hurley will be entitled to receive: (i) a lump sum in cash in an amount equal to 12 months of base salary and (ii) a monthly cash payment for 12 months for medical and dental benefits or Ms. Hurley’s COBRA health continuation period, whichever ends earlier. However, in the event that Ms. Hurley’s employment is terminated by the Company without cause, or Ms. Hurley terminates her employment with the Company for good reason, in either case within 12 months following the occurrence of a sale event (as defined in her employment agreement), in lieu of the severance payments and benefits described in the preceding sentence and subject to Ms. Hurley’s execution of a release of potential claims against the Company, Ms. Hurley will be entitled to receive: (i) a lump sum in cash in an amount equal to the sum of 12 months of Ms. Hurley’s base salary then in effect plus Ms. Hurley’s target annual incentive compensation for the year in which the termination occurs, (ii) a monthly cash payment for 12 months for medical and dental benefits or Ms. Hurley’s COBRA health continuation period, whichever ends earlier, and (iii) full and immediate vesting and exercisability of all time-based stock options and other time-based stock-based awards held by Ms. Hurley. Ms. Hurley has also previously entered into a non-competition, non-solicitation, confidentiality and assignment agreement that contains, among other things, non-competition and non-solicitation provisions that apply during the term of Ms. Hurley’s employment and for 12 months thereafter.</w:t>
      </w:r>
    </w:p>
    <w:p>
      <w:pPr>
        <w:spacing w:after="0" w:line="38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In connection with Ms. Hurley’s appointment as principal accounting officer, Ms. Hurley entered into the Company’s standard form of indemnification agreement, a copy of which was filed as Exhibit 10.12 to the Company’s Registration Statement on Form S-1 (File No. 333-202938) filed with the Securities and Exchange Commission on March 23, 2015. Pursuant to the terms of the indemnification agreement, the Company may be required, among other things, to indemnify Ms. Hurley for some expenses, including attorneys’ fees, judgments, fines and settlement amounts incurred by her in any action or proceeding arising out of her service as one of our officers. Ms. Hurley has also previously entered into a confidentiality, assignment and non-competition agreement that contains, among other things, non-competition and non-solicitation provisions that apply during the term of Ms. Hurley’s employment and for 12 months thereafter.</w:t>
      </w:r>
    </w:p>
    <w:p>
      <w:pPr>
        <w:spacing w:after="0" w:line="166"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Ms. Hurley has no family relationship with any of the executive officers or directors of the Company. There are no arrangements or understandings between Ms. Hurley and any other person pursuant to which she was appointed as an officer of the Company.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 w:name="page3"/>
    <w:bookmarkEnd w:id="2"/>
    <w:p>
      <w:pPr>
        <w:ind w:right="140" w:firstLine="648"/>
        <w:spacing w:after="0" w:line="342" w:lineRule="auto"/>
        <w:rPr>
          <w:sz w:val="20"/>
          <w:szCs w:val="20"/>
          <w:color w:val="auto"/>
        </w:rPr>
      </w:pPr>
      <w:r>
        <w:rPr>
          <w:rFonts w:ascii="Arial" w:cs="Arial" w:eastAsia="Arial" w:hAnsi="Arial"/>
          <w:sz w:val="16"/>
          <w:szCs w:val="16"/>
          <w:color w:val="auto"/>
        </w:rPr>
        <w:t>The foregoing description of the employment agreement with Ms. Hurley is qualified in its entirety by reference to the complete text of such agreement, a copy of which is attached as Exhibit 10.1 to this Current Report on Form 8-K.</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gridSpan w:val="3"/>
          </w:tcPr>
          <w:p>
            <w:pPr>
              <w:spacing w:after="0"/>
              <w:rPr>
                <w:sz w:val="20"/>
                <w:szCs w:val="20"/>
                <w:color w:val="auto"/>
              </w:rPr>
            </w:pPr>
            <w:r>
              <w:rPr>
                <w:rFonts w:ascii="Arial" w:cs="Arial" w:eastAsia="Arial" w:hAnsi="Arial"/>
                <w:sz w:val="18"/>
                <w:szCs w:val="18"/>
                <w:b w:val="1"/>
                <w:bCs w:val="1"/>
                <w:color w:val="auto"/>
              </w:rPr>
              <w:t>Item 9.01</w:t>
            </w:r>
          </w:p>
        </w:tc>
        <w:tc>
          <w:tcPr>
            <w:tcW w:w="60" w:type="dxa"/>
            <w:vAlign w:val="bottom"/>
          </w:tcPr>
          <w:p>
            <w:pPr>
              <w:spacing w:after="0"/>
              <w:rPr>
                <w:sz w:val="20"/>
                <w:szCs w:val="20"/>
                <w:color w:val="auto"/>
              </w:rPr>
            </w:pPr>
          </w:p>
        </w:tc>
        <w:tc>
          <w:tcPr>
            <w:tcW w:w="7900" w:type="dxa"/>
            <w:vAlign w:val="bottom"/>
            <w:gridSpan w:val="3"/>
          </w:tcPr>
          <w:p>
            <w:pPr>
              <w:ind w:left="22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110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60" w:type="dxa"/>
            <w:vAlign w:val="bottom"/>
          </w:tcPr>
          <w:p>
            <w:pPr>
              <w:spacing w:after="0"/>
              <w:rPr>
                <w:sz w:val="24"/>
                <w:szCs w:val="24"/>
                <w:color w:val="auto"/>
              </w:rPr>
            </w:pPr>
          </w:p>
        </w:tc>
        <w:tc>
          <w:tcPr>
            <w:tcW w:w="790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r>
      <w:tr>
        <w:trPr>
          <w:trHeight w:val="169"/>
        </w:trPr>
        <w:tc>
          <w:tcPr>
            <w:tcW w:w="20" w:type="dxa"/>
            <w:vAlign w:val="bottom"/>
          </w:tcPr>
          <w:p>
            <w:pPr>
              <w:spacing w:after="0"/>
              <w:rPr>
                <w:sz w:val="14"/>
                <w:szCs w:val="14"/>
                <w:color w:val="auto"/>
              </w:rPr>
            </w:pPr>
          </w:p>
        </w:tc>
        <w:tc>
          <w:tcPr>
            <w:tcW w:w="900" w:type="dxa"/>
            <w:vAlign w:val="bottom"/>
            <w:tcBorders>
              <w:top w:val="single" w:sz="8" w:color="auto"/>
            </w:tcBorders>
          </w:tcPr>
          <w:p>
            <w:pPr>
              <w:ind w:left="40"/>
              <w:spacing w:after="0" w:line="170" w:lineRule="exact"/>
              <w:rPr>
                <w:sz w:val="20"/>
                <w:szCs w:val="20"/>
                <w:color w:val="auto"/>
              </w:rPr>
            </w:pPr>
            <w:r>
              <w:rPr>
                <w:rFonts w:ascii="Arial" w:cs="Arial" w:eastAsia="Arial" w:hAnsi="Arial"/>
                <w:sz w:val="18"/>
                <w:szCs w:val="18"/>
                <w:color w:val="auto"/>
              </w:rPr>
              <w:t>10.1</w:t>
            </w:r>
          </w:p>
        </w:tc>
        <w:tc>
          <w:tcPr>
            <w:tcW w:w="18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7560" w:type="dxa"/>
            <w:vAlign w:val="bottom"/>
            <w:tcBorders>
              <w:top w:val="single" w:sz="8" w:color="auto"/>
              <w:bottom w:val="single" w:sz="8" w:color="0000EE"/>
            </w:tcBorders>
            <w:gridSpan w:val="2"/>
          </w:tcPr>
          <w:p>
            <w:pPr>
              <w:spacing w:after="0" w:line="170"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Employment Agreement, effective March 6, 2019, by and between Blueprint Medicines Corporation and</w:t>
              </w:r>
            </w:hyperlink>
          </w:p>
        </w:tc>
        <w:tc>
          <w:tcPr>
            <w:tcW w:w="340" w:type="dxa"/>
            <w:vAlign w:val="bottom"/>
            <w:tcBorders>
              <w:top w:val="single" w:sz="8" w:color="auto"/>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Borders>
              <w:bottom w:val="single" w:sz="8" w:color="0000EE"/>
            </w:tcBorders>
          </w:tcPr>
          <w:p>
            <w:pPr>
              <w:spacing w:after="0" w:line="196" w:lineRule="exact"/>
              <w:rPr>
                <w:rFonts w:ascii="Arial" w:cs="Arial" w:eastAsia="Arial" w:hAnsi="Arial"/>
                <w:sz w:val="18"/>
                <w:szCs w:val="18"/>
                <w:color w:val="0000EE"/>
                <w:w w:val="96"/>
              </w:rPr>
            </w:pPr>
            <w:hyperlink w:anchor="page5">
              <w:r>
                <w:rPr>
                  <w:rFonts w:ascii="Arial" w:cs="Arial" w:eastAsia="Arial" w:hAnsi="Arial"/>
                  <w:sz w:val="18"/>
                  <w:szCs w:val="18"/>
                  <w:color w:val="0000EE"/>
                  <w:w w:val="96"/>
                </w:rPr>
                <w:t>Ariel Hurley</w:t>
              </w:r>
            </w:hyperlink>
          </w:p>
        </w:tc>
        <w:tc>
          <w:tcPr>
            <w:tcW w:w="6980" w:type="dxa"/>
            <w:vAlign w:val="bottom"/>
            <w:gridSpan w:val="2"/>
          </w:tcPr>
          <w:p>
            <w:pPr>
              <w:spacing w:after="0"/>
              <w:rPr>
                <w:sz w:val="17"/>
                <w:szCs w:val="17"/>
                <w:color w:val="auto"/>
              </w:rPr>
            </w:pPr>
          </w:p>
        </w:tc>
      </w:tr>
      <w:tr>
        <w:trPr>
          <w:trHeight w:val="912"/>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20" w:type="dxa"/>
            <w:vAlign w:val="bottom"/>
            <w:gridSpan w:val="3"/>
          </w:tcPr>
          <w:p>
            <w:pPr>
              <w:jc w:val="right"/>
              <w:ind w:right="414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24"/>
                <w:szCs w:val="24"/>
                <w:color w:val="auto"/>
              </w:rPr>
            </w:pPr>
          </w:p>
        </w:tc>
      </w:tr>
      <w:tr>
        <w:trPr>
          <w:trHeight w:val="129"/>
        </w:trPr>
        <w:tc>
          <w:tcPr>
            <w:tcW w:w="2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66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5960" w:type="dxa"/>
            <w:vAlign w:val="bottom"/>
            <w:gridSpan w:val="2"/>
          </w:tcPr>
          <w:p>
            <w:pPr>
              <w:ind w:left="1580"/>
              <w:spacing w:after="0"/>
              <w:rPr>
                <w:sz w:val="20"/>
                <w:szCs w:val="20"/>
                <w:color w:val="auto"/>
              </w:rPr>
            </w:pPr>
            <w:r>
              <w:rPr>
                <w:rFonts w:ascii="Arial" w:cs="Arial" w:eastAsia="Arial" w:hAnsi="Arial"/>
                <w:sz w:val="18"/>
                <w:szCs w:val="18"/>
                <w:b w:val="1"/>
                <w:bCs w:val="1"/>
                <w:color w:val="auto"/>
              </w:rPr>
              <w:t>BLUEPRINT MEDICINES CORPORATION</w:t>
            </w:r>
          </w:p>
        </w:tc>
      </w:tr>
      <w:tr>
        <w:trPr>
          <w:trHeight w:val="648"/>
        </w:trPr>
        <w:tc>
          <w:tcPr>
            <w:tcW w:w="3100" w:type="dxa"/>
            <w:vAlign w:val="bottom"/>
          </w:tcPr>
          <w:p>
            <w:pPr>
              <w:spacing w:after="0"/>
              <w:rPr>
                <w:sz w:val="20"/>
                <w:szCs w:val="20"/>
                <w:color w:val="auto"/>
              </w:rPr>
            </w:pPr>
            <w:r>
              <w:rPr>
                <w:rFonts w:ascii="Arial" w:cs="Arial" w:eastAsia="Arial" w:hAnsi="Arial"/>
                <w:sz w:val="18"/>
                <w:szCs w:val="18"/>
                <w:color w:val="auto"/>
              </w:rPr>
              <w:t>Date: March 8, 2019</w:t>
            </w:r>
          </w:p>
        </w:tc>
        <w:tc>
          <w:tcPr>
            <w:tcW w:w="5960" w:type="dxa"/>
            <w:vAlign w:val="bottom"/>
            <w:gridSpan w:val="2"/>
          </w:tcPr>
          <w:p>
            <w:pPr>
              <w:ind w:left="1580"/>
              <w:spacing w:after="0"/>
              <w:rPr>
                <w:sz w:val="20"/>
                <w:szCs w:val="20"/>
                <w:color w:val="auto"/>
              </w:rPr>
            </w:pPr>
            <w:r>
              <w:rPr>
                <w:rFonts w:ascii="Arial" w:cs="Arial" w:eastAsia="Arial" w:hAnsi="Arial"/>
                <w:sz w:val="18"/>
                <w:szCs w:val="18"/>
                <w:color w:val="auto"/>
              </w:rPr>
              <w:t>By: /s/ Tracey L. McCain</w:t>
            </w:r>
          </w:p>
        </w:tc>
      </w:tr>
      <w:tr>
        <w:trPr>
          <w:trHeight w:val="195"/>
        </w:trPr>
        <w:tc>
          <w:tcPr>
            <w:tcW w:w="31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Tracey L. McCain</w:t>
            </w:r>
          </w:p>
        </w:tc>
      </w:tr>
      <w:tr>
        <w:trPr>
          <w:trHeight w:val="230"/>
        </w:trPr>
        <w:tc>
          <w:tcPr>
            <w:tcW w:w="3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Chief Legal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 w:name="page5"/>
    <w:bookmarkEnd w:id="4"/>
    <w:p>
      <w:pPr>
        <w:jc w:val="right"/>
        <w:ind w:right="139"/>
        <w:spacing w:after="0"/>
        <w:rPr>
          <w:sz w:val="20"/>
          <w:szCs w:val="20"/>
          <w:color w:val="auto"/>
        </w:rPr>
      </w:pPr>
      <w:r>
        <w:rPr>
          <w:rFonts w:ascii="Arial" w:cs="Arial" w:eastAsia="Arial" w:hAnsi="Arial"/>
          <w:sz w:val="18"/>
          <w:szCs w:val="18"/>
          <w:b w:val="1"/>
          <w:bCs w:val="1"/>
          <w:color w:val="auto"/>
        </w:rPr>
        <w:t>Exhibit 10.1</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EMPLOYMENT AGREEMENT</w:t>
      </w:r>
    </w:p>
    <w:p>
      <w:pPr>
        <w:spacing w:after="0" w:line="188" w:lineRule="exact"/>
        <w:rPr>
          <w:sz w:val="20"/>
          <w:szCs w:val="20"/>
          <w:color w:val="auto"/>
        </w:rPr>
      </w:pPr>
    </w:p>
    <w:p>
      <w:pPr>
        <w:jc w:val="both"/>
        <w:ind w:left="160" w:right="439" w:firstLine="648"/>
        <w:spacing w:after="0"/>
        <w:rPr>
          <w:sz w:val="20"/>
          <w:szCs w:val="20"/>
          <w:color w:val="auto"/>
        </w:rPr>
      </w:pPr>
      <w:r>
        <w:rPr>
          <w:rFonts w:ascii="Arial" w:cs="Arial" w:eastAsia="Arial" w:hAnsi="Arial"/>
          <w:sz w:val="22"/>
          <w:szCs w:val="22"/>
          <w:color w:val="auto"/>
        </w:rPr>
        <w:t>This Employment Agreement (“Agreement”) is dated as of March 6, 2019 (the “Effective Date”), between Blueprint Medicines Corporation, a Delaware corporation (the “Company”), and Ariel Hurley (the “Executive”).</w:t>
      </w:r>
    </w:p>
    <w:p>
      <w:pPr>
        <w:spacing w:after="0" w:line="186" w:lineRule="exact"/>
        <w:rPr>
          <w:sz w:val="20"/>
          <w:szCs w:val="20"/>
          <w:color w:val="auto"/>
        </w:rPr>
      </w:pPr>
    </w:p>
    <w:p>
      <w:pPr>
        <w:ind w:left="160" w:right="499" w:firstLine="648"/>
        <w:spacing w:after="0"/>
        <w:rPr>
          <w:sz w:val="20"/>
          <w:szCs w:val="20"/>
          <w:color w:val="auto"/>
        </w:rPr>
      </w:pPr>
      <w:r>
        <w:rPr>
          <w:rFonts w:ascii="Arial" w:cs="Arial" w:eastAsia="Arial" w:hAnsi="Arial"/>
          <w:sz w:val="22"/>
          <w:szCs w:val="22"/>
          <w:color w:val="auto"/>
        </w:rPr>
        <w:t>WHEREAS, the Company and the Executive previously entered into an offer letter agreement, dated July 23, 2014 (the “Prior Agreement”), which the Company and the Executive intend to replace in its entirety with this Agreement; and</w:t>
      </w:r>
    </w:p>
    <w:p>
      <w:pPr>
        <w:spacing w:after="0" w:line="186" w:lineRule="exact"/>
        <w:rPr>
          <w:sz w:val="20"/>
          <w:szCs w:val="20"/>
          <w:color w:val="auto"/>
        </w:rPr>
      </w:pPr>
    </w:p>
    <w:p>
      <w:pPr>
        <w:ind w:left="160" w:right="399" w:firstLine="648"/>
        <w:spacing w:after="0" w:line="328" w:lineRule="auto"/>
        <w:rPr>
          <w:sz w:val="20"/>
          <w:szCs w:val="20"/>
          <w:color w:val="auto"/>
        </w:rPr>
      </w:pPr>
      <w:r>
        <w:rPr>
          <w:rFonts w:ascii="Arial" w:cs="Arial" w:eastAsia="Arial" w:hAnsi="Arial"/>
          <w:sz w:val="19"/>
          <w:szCs w:val="19"/>
          <w:color w:val="auto"/>
        </w:rPr>
        <w:t>WHEREAS, the Company desires to continue to employ the Executive and the Executive desires to continue to be employed by the Company on the terms and conditions contained herein.</w:t>
      </w:r>
    </w:p>
    <w:p>
      <w:pPr>
        <w:spacing w:after="0" w:line="105" w:lineRule="exact"/>
        <w:rPr>
          <w:sz w:val="20"/>
          <w:szCs w:val="20"/>
          <w:color w:val="auto"/>
        </w:rPr>
      </w:pPr>
    </w:p>
    <w:p>
      <w:pPr>
        <w:ind w:left="160" w:right="259" w:firstLine="648"/>
        <w:spacing w:after="0"/>
        <w:rPr>
          <w:sz w:val="20"/>
          <w:szCs w:val="20"/>
          <w:color w:val="auto"/>
        </w:rPr>
      </w:pPr>
      <w:r>
        <w:rPr>
          <w:rFonts w:ascii="Arial" w:cs="Arial" w:eastAsia="Arial" w:hAnsi="Arial"/>
          <w:sz w:val="22"/>
          <w:szCs w:val="22"/>
          <w:color w:val="auto"/>
        </w:rPr>
        <w:t>NOW, THEREFORE, in consideration of the mutual covenants and agreements herein contained and other good and valuable consideration, the receipt and sufficiency of which is hereby acknowledged, the parties agree as follows:</w:t>
      </w:r>
    </w:p>
    <w:p>
      <w:pPr>
        <w:spacing w:after="0" w:line="186" w:lineRule="exact"/>
        <w:rPr>
          <w:sz w:val="20"/>
          <w:szCs w:val="20"/>
          <w:color w:val="auto"/>
        </w:rPr>
      </w:pPr>
    </w:p>
    <w:p>
      <w:pPr>
        <w:ind w:left="1440" w:hanging="641"/>
        <w:spacing w:after="0"/>
        <w:tabs>
          <w:tab w:leader="none" w:pos="1440" w:val="left"/>
        </w:tabs>
        <w:numPr>
          <w:ilvl w:val="0"/>
          <w:numId w:val="2"/>
        </w:numPr>
        <w:rPr>
          <w:rFonts w:ascii="Arial" w:cs="Arial" w:eastAsia="Arial" w:hAnsi="Arial"/>
          <w:sz w:val="22"/>
          <w:szCs w:val="22"/>
          <w:color w:val="auto"/>
        </w:rPr>
      </w:pPr>
      <w:r>
        <w:rPr>
          <w:rFonts w:ascii="Arial" w:cs="Arial" w:eastAsia="Arial" w:hAnsi="Arial"/>
          <w:sz w:val="22"/>
          <w:szCs w:val="22"/>
          <w:u w:val="single" w:color="auto"/>
          <w:color w:val="auto"/>
        </w:rPr>
        <w:t>Employment</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60" w:right="219" w:firstLine="1287"/>
        <w:spacing w:after="0" w:line="328" w:lineRule="auto"/>
        <w:tabs>
          <w:tab w:leader="none" w:pos="2142" w:val="left"/>
        </w:tabs>
        <w:numPr>
          <w:ilvl w:val="1"/>
          <w:numId w:val="2"/>
        </w:numPr>
        <w:rPr>
          <w:rFonts w:ascii="Arial" w:cs="Arial" w:eastAsia="Arial" w:hAnsi="Arial"/>
          <w:sz w:val="19"/>
          <w:szCs w:val="19"/>
          <w:color w:val="auto"/>
        </w:rPr>
      </w:pPr>
      <w:r>
        <w:rPr>
          <w:rFonts w:ascii="Arial" w:cs="Arial" w:eastAsia="Arial" w:hAnsi="Arial"/>
          <w:sz w:val="19"/>
          <w:szCs w:val="19"/>
          <w:u w:val="single" w:color="auto"/>
          <w:color w:val="auto"/>
        </w:rPr>
        <w:t>Term</w:t>
      </w:r>
      <w:r>
        <w:rPr>
          <w:rFonts w:ascii="Arial" w:cs="Arial" w:eastAsia="Arial" w:hAnsi="Arial"/>
          <w:sz w:val="19"/>
          <w:szCs w:val="19"/>
          <w:color w:val="auto"/>
        </w:rPr>
        <w:t>. The term of this Agreement shall commence on the Effective Date and continue until terminated in accordance with the provisions of Section 3 (the “Term”).</w:t>
      </w:r>
    </w:p>
    <w:p>
      <w:pPr>
        <w:spacing w:after="0" w:line="105" w:lineRule="exact"/>
        <w:rPr>
          <w:rFonts w:ascii="Arial" w:cs="Arial" w:eastAsia="Arial" w:hAnsi="Arial"/>
          <w:sz w:val="19"/>
          <w:szCs w:val="19"/>
          <w:color w:val="auto"/>
        </w:rPr>
      </w:pPr>
    </w:p>
    <w:p>
      <w:pPr>
        <w:ind w:left="160" w:right="159" w:firstLine="1287"/>
        <w:spacing w:after="0" w:line="245" w:lineRule="auto"/>
        <w:tabs>
          <w:tab w:leader="none" w:pos="2154" w:val="left"/>
        </w:tabs>
        <w:numPr>
          <w:ilvl w:val="1"/>
          <w:numId w:val="2"/>
        </w:numPr>
        <w:rPr>
          <w:rFonts w:ascii="Arial" w:cs="Arial" w:eastAsia="Arial" w:hAnsi="Arial"/>
          <w:sz w:val="21"/>
          <w:szCs w:val="21"/>
          <w:color w:val="auto"/>
        </w:rPr>
      </w:pPr>
      <w:r>
        <w:rPr>
          <w:rFonts w:ascii="Arial" w:cs="Arial" w:eastAsia="Arial" w:hAnsi="Arial"/>
          <w:sz w:val="21"/>
          <w:szCs w:val="21"/>
          <w:u w:val="single" w:color="auto"/>
          <w:color w:val="auto"/>
        </w:rPr>
        <w:t>Position and Duties</w:t>
      </w:r>
      <w:r>
        <w:rPr>
          <w:rFonts w:ascii="Arial" w:cs="Arial" w:eastAsia="Arial" w:hAnsi="Arial"/>
          <w:sz w:val="21"/>
          <w:szCs w:val="21"/>
          <w:color w:val="auto"/>
        </w:rPr>
        <w:t>. During the Term, the Executive shall serve as the Vice President, Finance and Controller of the Company, and shall have such duties as are consistent with such position. The Executive shall report to the Chief Financial Officer of the Company (the “CFO”). The Executive shall devote her full working time and efforts to the business and affairs of the Company. Notwithstanding the foregoing, the Executive may serve on other boards of directors, with the approval of the Board of Directors of the Company (the “Board”), or engage in religious, charitable or other activities as long as such services and activities are approved by the Board and do not materially interfere with the Executive’s performance of her duties to the Company as provided in this Agreement.</w:t>
      </w:r>
    </w:p>
    <w:p>
      <w:pPr>
        <w:spacing w:after="0" w:line="185" w:lineRule="exact"/>
        <w:rPr>
          <w:rFonts w:ascii="Arial" w:cs="Arial" w:eastAsia="Arial" w:hAnsi="Arial"/>
          <w:sz w:val="21"/>
          <w:szCs w:val="21"/>
          <w:color w:val="auto"/>
        </w:rPr>
      </w:pPr>
    </w:p>
    <w:p>
      <w:pPr>
        <w:ind w:left="1440" w:hanging="641"/>
        <w:spacing w:after="0"/>
        <w:tabs>
          <w:tab w:leader="none" w:pos="1440" w:val="left"/>
        </w:tabs>
        <w:numPr>
          <w:ilvl w:val="0"/>
          <w:numId w:val="2"/>
        </w:numPr>
        <w:rPr>
          <w:rFonts w:ascii="Arial" w:cs="Arial" w:eastAsia="Arial" w:hAnsi="Arial"/>
          <w:sz w:val="22"/>
          <w:szCs w:val="22"/>
          <w:color w:val="auto"/>
        </w:rPr>
      </w:pPr>
      <w:r>
        <w:rPr>
          <w:rFonts w:ascii="Arial" w:cs="Arial" w:eastAsia="Arial" w:hAnsi="Arial"/>
          <w:sz w:val="22"/>
          <w:szCs w:val="22"/>
          <w:u w:val="single" w:color="auto"/>
          <w:color w:val="auto"/>
        </w:rPr>
        <w:t>Compensation and Related Matters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2140" w:hanging="693"/>
        <w:spacing w:after="0"/>
        <w:tabs>
          <w:tab w:leader="none" w:pos="2140" w:val="left"/>
        </w:tabs>
        <w:numPr>
          <w:ilvl w:val="1"/>
          <w:numId w:val="2"/>
        </w:numPr>
        <w:rPr>
          <w:rFonts w:ascii="Arial" w:cs="Arial" w:eastAsia="Arial" w:hAnsi="Arial"/>
          <w:sz w:val="21"/>
          <w:szCs w:val="21"/>
          <w:color w:val="auto"/>
        </w:rPr>
      </w:pPr>
      <w:r>
        <w:rPr>
          <w:rFonts w:ascii="Arial" w:cs="Arial" w:eastAsia="Arial" w:hAnsi="Arial"/>
          <w:sz w:val="21"/>
          <w:szCs w:val="21"/>
          <w:u w:val="single" w:color="auto"/>
          <w:color w:val="auto"/>
        </w:rPr>
        <w:t>Base Salary</w:t>
      </w:r>
      <w:r>
        <w:rPr>
          <w:rFonts w:ascii="Arial" w:cs="Arial" w:eastAsia="Arial" w:hAnsi="Arial"/>
          <w:sz w:val="21"/>
          <w:szCs w:val="21"/>
          <w:color w:val="auto"/>
        </w:rPr>
        <w:t>. During the Term, the Executive’s annual base salary shall</w:t>
      </w:r>
    </w:p>
    <w:p>
      <w:pPr>
        <w:spacing w:after="0" w:line="20" w:lineRule="exact"/>
        <w:rPr>
          <w:sz w:val="20"/>
          <w:szCs w:val="20"/>
          <w:color w:val="auto"/>
        </w:rPr>
      </w:pPr>
    </w:p>
    <w:p>
      <w:pPr>
        <w:ind w:left="160" w:right="399"/>
        <w:spacing w:after="0" w:line="244" w:lineRule="auto"/>
        <w:rPr>
          <w:sz w:val="20"/>
          <w:szCs w:val="20"/>
          <w:color w:val="auto"/>
        </w:rPr>
      </w:pPr>
      <w:r>
        <w:rPr>
          <w:rFonts w:ascii="Arial" w:cs="Arial" w:eastAsia="Arial" w:hAnsi="Arial"/>
          <w:sz w:val="21"/>
          <w:szCs w:val="21"/>
          <w:color w:val="auto"/>
        </w:rPr>
        <w:t>be $240,000.00. The Executive’s base salary shall be re-determined annually by the Board or the Compensation Committee of the Board (the “Compensation Committee”) and shall be subject to increase but not decrease while the Executive is serving in the Vice President, Finance and Controller role. The annual base salary in effect at any given time is referred to herein as “Base Salary.” The Base Salary shall be payable in a manner that is consistent with the Company’s usual payroll practices for senior executives.</w:t>
      </w:r>
    </w:p>
    <w:p>
      <w:pPr>
        <w:spacing w:after="0" w:line="184" w:lineRule="exact"/>
        <w:rPr>
          <w:sz w:val="20"/>
          <w:szCs w:val="20"/>
          <w:color w:val="auto"/>
        </w:rPr>
      </w:pPr>
    </w:p>
    <w:p>
      <w:pPr>
        <w:ind w:left="160" w:right="279" w:firstLine="1287"/>
        <w:spacing w:after="0" w:line="282" w:lineRule="auto"/>
        <w:tabs>
          <w:tab w:leader="none" w:pos="2154" w:val="left"/>
        </w:tabs>
        <w:numPr>
          <w:ilvl w:val="0"/>
          <w:numId w:val="3"/>
        </w:numPr>
        <w:rPr>
          <w:rFonts w:ascii="Arial" w:cs="Arial" w:eastAsia="Arial" w:hAnsi="Arial"/>
          <w:sz w:val="19"/>
          <w:szCs w:val="19"/>
          <w:color w:val="auto"/>
        </w:rPr>
      </w:pPr>
      <w:r>
        <w:rPr>
          <w:rFonts w:ascii="Arial" w:cs="Arial" w:eastAsia="Arial" w:hAnsi="Arial"/>
          <w:sz w:val="19"/>
          <w:szCs w:val="19"/>
          <w:u w:val="single" w:color="auto"/>
          <w:color w:val="auto"/>
        </w:rPr>
        <w:t>Incentive Compensation</w:t>
      </w:r>
      <w:r>
        <w:rPr>
          <w:rFonts w:ascii="Arial" w:cs="Arial" w:eastAsia="Arial" w:hAnsi="Arial"/>
          <w:sz w:val="19"/>
          <w:szCs w:val="19"/>
          <w:color w:val="auto"/>
        </w:rPr>
        <w:t>. During the Term, the Executive shall be eligible to receive cash incentive compensation as determined by the Board or the Compensation Committee from time to time. The Board shall weigh its bonus determination as follows: 50% on Company performance and 50% on the Executive’s individual performance. The Executive’s target annual incentive compensation shall be 30% of her Base Salary (the “Target Incentive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244475</wp:posOffset>
            </wp:positionV>
            <wp:extent cx="554863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 w:name="page6"/>
    <w:bookmarkEnd w:id="5"/>
    <w:p>
      <w:pPr>
        <w:ind w:left="160" w:right="379"/>
        <w:spacing w:after="0" w:line="241" w:lineRule="auto"/>
        <w:rPr>
          <w:sz w:val="20"/>
          <w:szCs w:val="20"/>
          <w:color w:val="auto"/>
        </w:rPr>
      </w:pPr>
      <w:r>
        <w:rPr>
          <w:rFonts w:ascii="Arial" w:cs="Arial" w:eastAsia="Arial" w:hAnsi="Arial"/>
          <w:sz w:val="22"/>
          <w:szCs w:val="22"/>
          <w:color w:val="auto"/>
        </w:rPr>
        <w:t>Compensation”) and shall be re-determined periodically by the Board or the Compensation Committee. To earn incentive compensation, the Executive must be employed by the Company on the day such incentive compensation is paid.</w:t>
      </w:r>
    </w:p>
    <w:p>
      <w:pPr>
        <w:spacing w:after="0" w:line="184" w:lineRule="exact"/>
        <w:rPr>
          <w:sz w:val="20"/>
          <w:szCs w:val="20"/>
          <w:color w:val="auto"/>
        </w:rPr>
      </w:pPr>
    </w:p>
    <w:p>
      <w:pPr>
        <w:ind w:left="160" w:right="339" w:firstLine="1287"/>
        <w:spacing w:after="0" w:line="276" w:lineRule="auto"/>
        <w:tabs>
          <w:tab w:leader="none" w:pos="2155" w:val="left"/>
        </w:tabs>
        <w:numPr>
          <w:ilvl w:val="1"/>
          <w:numId w:val="4"/>
        </w:numPr>
        <w:rPr>
          <w:rFonts w:ascii="Arial" w:cs="Arial" w:eastAsia="Arial" w:hAnsi="Arial"/>
          <w:sz w:val="19"/>
          <w:szCs w:val="19"/>
          <w:color w:val="auto"/>
        </w:rPr>
      </w:pPr>
      <w:r>
        <w:rPr>
          <w:rFonts w:ascii="Arial" w:cs="Arial" w:eastAsia="Arial" w:hAnsi="Arial"/>
          <w:sz w:val="19"/>
          <w:szCs w:val="19"/>
          <w:u w:val="single" w:color="auto"/>
          <w:color w:val="auto"/>
        </w:rPr>
        <w:t>Expenses</w:t>
      </w:r>
      <w:r>
        <w:rPr>
          <w:rFonts w:ascii="Arial" w:cs="Arial" w:eastAsia="Arial" w:hAnsi="Arial"/>
          <w:sz w:val="19"/>
          <w:szCs w:val="19"/>
          <w:color w:val="auto"/>
        </w:rPr>
        <w:t>. The Executive shall be entitled to receive prompt reimbursement for all reasonable expenses incurred by the Executive during the Term in performing</w:t>
      </w:r>
    </w:p>
    <w:p>
      <w:pPr>
        <w:spacing w:after="0" w:line="1" w:lineRule="exact"/>
        <w:rPr>
          <w:rFonts w:ascii="Arial" w:cs="Arial" w:eastAsia="Arial" w:hAnsi="Arial"/>
          <w:sz w:val="19"/>
          <w:szCs w:val="19"/>
          <w:color w:val="auto"/>
        </w:rPr>
      </w:pPr>
    </w:p>
    <w:p>
      <w:pPr>
        <w:ind w:left="160" w:right="279"/>
        <w:spacing w:after="0" w:line="237" w:lineRule="auto"/>
        <w:rPr>
          <w:rFonts w:ascii="Arial" w:cs="Arial" w:eastAsia="Arial" w:hAnsi="Arial"/>
          <w:sz w:val="19"/>
          <w:szCs w:val="19"/>
          <w:color w:val="auto"/>
        </w:rPr>
      </w:pPr>
      <w:r>
        <w:rPr>
          <w:rFonts w:ascii="Arial" w:cs="Arial" w:eastAsia="Arial" w:hAnsi="Arial"/>
          <w:sz w:val="22"/>
          <w:szCs w:val="22"/>
          <w:color w:val="auto"/>
        </w:rPr>
        <w:t>services hereunder, in accordance with the policies and procedures then in effect and established by the Company for its senior executive officers.</w:t>
      </w:r>
    </w:p>
    <w:p>
      <w:pPr>
        <w:spacing w:after="0" w:line="184" w:lineRule="exact"/>
        <w:rPr>
          <w:rFonts w:ascii="Arial" w:cs="Arial" w:eastAsia="Arial" w:hAnsi="Arial"/>
          <w:sz w:val="19"/>
          <w:szCs w:val="19"/>
          <w:color w:val="auto"/>
        </w:rPr>
      </w:pPr>
    </w:p>
    <w:p>
      <w:pPr>
        <w:ind w:left="160" w:right="159" w:firstLine="1287"/>
        <w:spacing w:after="0"/>
        <w:tabs>
          <w:tab w:leader="none" w:pos="2154" w:val="left"/>
        </w:tabs>
        <w:numPr>
          <w:ilvl w:val="1"/>
          <w:numId w:val="4"/>
        </w:numPr>
        <w:rPr>
          <w:rFonts w:ascii="Arial" w:cs="Arial" w:eastAsia="Arial" w:hAnsi="Arial"/>
          <w:sz w:val="22"/>
          <w:szCs w:val="22"/>
          <w:color w:val="auto"/>
        </w:rPr>
      </w:pPr>
      <w:r>
        <w:rPr>
          <w:rFonts w:ascii="Arial" w:cs="Arial" w:eastAsia="Arial" w:hAnsi="Arial"/>
          <w:sz w:val="22"/>
          <w:szCs w:val="22"/>
          <w:u w:val="single" w:color="auto"/>
          <w:color w:val="auto"/>
        </w:rPr>
        <w:t>Other Benefits</w:t>
      </w:r>
      <w:r>
        <w:rPr>
          <w:rFonts w:ascii="Arial" w:cs="Arial" w:eastAsia="Arial" w:hAnsi="Arial"/>
          <w:sz w:val="22"/>
          <w:szCs w:val="22"/>
          <w:color w:val="auto"/>
        </w:rPr>
        <w:t>. During the Term, the Executive shall be eligible to participate in or receive benefits under the Company’s employee benefit plans in effect from time to time, subject to the terms of such plans.</w:t>
      </w:r>
    </w:p>
    <w:p>
      <w:pPr>
        <w:spacing w:after="0" w:line="186" w:lineRule="exact"/>
        <w:rPr>
          <w:rFonts w:ascii="Arial" w:cs="Arial" w:eastAsia="Arial" w:hAnsi="Arial"/>
          <w:sz w:val="22"/>
          <w:szCs w:val="22"/>
          <w:color w:val="auto"/>
        </w:rPr>
      </w:pPr>
    </w:p>
    <w:p>
      <w:pPr>
        <w:ind w:left="160" w:right="519" w:firstLine="1287"/>
        <w:spacing w:after="0" w:line="251" w:lineRule="auto"/>
        <w:tabs>
          <w:tab w:leader="none" w:pos="2142" w:val="left"/>
        </w:tabs>
        <w:numPr>
          <w:ilvl w:val="1"/>
          <w:numId w:val="4"/>
        </w:numPr>
        <w:rPr>
          <w:rFonts w:ascii="Arial" w:cs="Arial" w:eastAsia="Arial" w:hAnsi="Arial"/>
          <w:sz w:val="22"/>
          <w:szCs w:val="22"/>
          <w:color w:val="auto"/>
        </w:rPr>
      </w:pPr>
      <w:r>
        <w:rPr>
          <w:rFonts w:ascii="Arial" w:cs="Arial" w:eastAsia="Arial" w:hAnsi="Arial"/>
          <w:sz w:val="22"/>
          <w:szCs w:val="22"/>
          <w:u w:val="single" w:color="auto"/>
          <w:color w:val="auto"/>
        </w:rPr>
        <w:t>Vacations</w:t>
      </w:r>
      <w:r>
        <w:rPr>
          <w:rFonts w:ascii="Arial" w:cs="Arial" w:eastAsia="Arial" w:hAnsi="Arial"/>
          <w:sz w:val="22"/>
          <w:szCs w:val="22"/>
          <w:color w:val="auto"/>
        </w:rPr>
        <w:t>. During the Term, the Executive shall be entitled to accrue paid vacation in accordance with the Company’s applicable policy.</w:t>
      </w:r>
    </w:p>
    <w:p>
      <w:pPr>
        <w:spacing w:after="0" w:line="173" w:lineRule="exact"/>
        <w:rPr>
          <w:rFonts w:ascii="Arial" w:cs="Arial" w:eastAsia="Arial" w:hAnsi="Arial"/>
          <w:sz w:val="22"/>
          <w:szCs w:val="22"/>
          <w:color w:val="auto"/>
        </w:rPr>
      </w:pPr>
    </w:p>
    <w:p>
      <w:pPr>
        <w:ind w:left="160" w:right="779" w:firstLine="639"/>
        <w:spacing w:after="0" w:line="328" w:lineRule="auto"/>
        <w:tabs>
          <w:tab w:leader="none" w:pos="1483" w:val="left"/>
        </w:tabs>
        <w:numPr>
          <w:ilvl w:val="0"/>
          <w:numId w:val="5"/>
        </w:numPr>
        <w:rPr>
          <w:rFonts w:ascii="Arial" w:cs="Arial" w:eastAsia="Arial" w:hAnsi="Arial"/>
          <w:sz w:val="19"/>
          <w:szCs w:val="19"/>
          <w:color w:val="auto"/>
        </w:rPr>
      </w:pPr>
      <w:r>
        <w:rPr>
          <w:rFonts w:ascii="Arial" w:cs="Arial" w:eastAsia="Arial" w:hAnsi="Arial"/>
          <w:sz w:val="19"/>
          <w:szCs w:val="19"/>
          <w:u w:val="single" w:color="auto"/>
          <w:color w:val="auto"/>
        </w:rPr>
        <w:t>Termination</w:t>
      </w:r>
      <w:r>
        <w:rPr>
          <w:rFonts w:ascii="Arial" w:cs="Arial" w:eastAsia="Arial" w:hAnsi="Arial"/>
          <w:sz w:val="19"/>
          <w:szCs w:val="19"/>
          <w:color w:val="auto"/>
        </w:rPr>
        <w:t>. During the Term, the Executive’s employment hereunder may be terminated without any breach of this Agreement under the following circumstances:</w:t>
      </w:r>
    </w:p>
    <w:p>
      <w:pPr>
        <w:spacing w:after="0" w:line="105" w:lineRule="exact"/>
        <w:rPr>
          <w:rFonts w:ascii="Arial" w:cs="Arial" w:eastAsia="Arial" w:hAnsi="Arial"/>
          <w:sz w:val="19"/>
          <w:szCs w:val="19"/>
          <w:color w:val="auto"/>
        </w:rPr>
      </w:pPr>
    </w:p>
    <w:p>
      <w:pPr>
        <w:ind w:left="2140" w:hanging="693"/>
        <w:spacing w:after="0"/>
        <w:tabs>
          <w:tab w:leader="none" w:pos="2140" w:val="left"/>
        </w:tabs>
        <w:numPr>
          <w:ilvl w:val="1"/>
          <w:numId w:val="5"/>
        </w:numPr>
        <w:rPr>
          <w:rFonts w:ascii="Arial" w:cs="Arial" w:eastAsia="Arial" w:hAnsi="Arial"/>
          <w:sz w:val="21"/>
          <w:szCs w:val="21"/>
          <w:color w:val="auto"/>
        </w:rPr>
      </w:pPr>
      <w:r>
        <w:rPr>
          <w:rFonts w:ascii="Arial" w:cs="Arial" w:eastAsia="Arial" w:hAnsi="Arial"/>
          <w:sz w:val="21"/>
          <w:szCs w:val="21"/>
          <w:u w:val="single" w:color="auto"/>
          <w:color w:val="auto"/>
        </w:rPr>
        <w:t>Death</w:t>
      </w:r>
      <w:r>
        <w:rPr>
          <w:rFonts w:ascii="Arial" w:cs="Arial" w:eastAsia="Arial" w:hAnsi="Arial"/>
          <w:sz w:val="21"/>
          <w:szCs w:val="21"/>
          <w:color w:val="auto"/>
        </w:rPr>
        <w:t>. The Executive’s employment hereunder shall terminate upon her</w:t>
      </w:r>
    </w:p>
    <w:p>
      <w:pPr>
        <w:spacing w:after="0" w:line="19" w:lineRule="exact"/>
        <w:rPr>
          <w:rFonts w:ascii="Arial" w:cs="Arial" w:eastAsia="Arial" w:hAnsi="Arial"/>
          <w:sz w:val="21"/>
          <w:szCs w:val="21"/>
          <w:color w:val="auto"/>
        </w:rPr>
      </w:pPr>
    </w:p>
    <w:p>
      <w:pPr>
        <w:ind w:left="160"/>
        <w:spacing w:after="0"/>
        <w:rPr>
          <w:rFonts w:ascii="Arial" w:cs="Arial" w:eastAsia="Arial" w:hAnsi="Arial"/>
          <w:sz w:val="21"/>
          <w:szCs w:val="21"/>
          <w:color w:val="auto"/>
        </w:rPr>
      </w:pPr>
      <w:r>
        <w:rPr>
          <w:rFonts w:ascii="Arial" w:cs="Arial" w:eastAsia="Arial" w:hAnsi="Arial"/>
          <w:sz w:val="22"/>
          <w:szCs w:val="22"/>
          <w:color w:val="auto"/>
        </w:rPr>
        <w:t>death.</w:t>
      </w:r>
    </w:p>
    <w:p>
      <w:pPr>
        <w:spacing w:after="0" w:line="188" w:lineRule="exact"/>
        <w:rPr>
          <w:rFonts w:ascii="Arial" w:cs="Arial" w:eastAsia="Arial" w:hAnsi="Arial"/>
          <w:sz w:val="21"/>
          <w:szCs w:val="21"/>
          <w:color w:val="auto"/>
        </w:rPr>
      </w:pPr>
    </w:p>
    <w:p>
      <w:pPr>
        <w:ind w:left="160" w:right="159" w:firstLine="1287"/>
        <w:spacing w:after="0" w:line="271" w:lineRule="auto"/>
        <w:tabs>
          <w:tab w:leader="none" w:pos="2154" w:val="left"/>
        </w:tabs>
        <w:numPr>
          <w:ilvl w:val="1"/>
          <w:numId w:val="5"/>
        </w:numPr>
        <w:rPr>
          <w:rFonts w:ascii="Arial" w:cs="Arial" w:eastAsia="Arial" w:hAnsi="Arial"/>
          <w:sz w:val="19"/>
          <w:szCs w:val="19"/>
          <w:color w:val="auto"/>
        </w:rPr>
      </w:pPr>
      <w:r>
        <w:rPr>
          <w:rFonts w:ascii="Arial" w:cs="Arial" w:eastAsia="Arial" w:hAnsi="Arial"/>
          <w:sz w:val="19"/>
          <w:szCs w:val="19"/>
          <w:u w:val="single" w:color="auto"/>
          <w:color w:val="auto"/>
        </w:rPr>
        <w:t>Disability</w:t>
      </w:r>
      <w:r>
        <w:rPr>
          <w:rFonts w:ascii="Arial" w:cs="Arial" w:eastAsia="Arial" w:hAnsi="Arial"/>
          <w:sz w:val="19"/>
          <w:szCs w:val="19"/>
          <w:color w:val="auto"/>
        </w:rPr>
        <w:t xml:space="preserve">. The Company may terminate the Executive’s employment if she is disabled and unable to perform the essential functions of the Executive’s then existing position or positions under this Agreement with or without reasonable accommodation for a period of 180 days (which need not be consecutive) in any 12-month period. If any question shall arise as to whether during any period the Executive is disabled so as to be unable to perform the essential functions of the Executive’s then-existing position or positions with or without reasonable accommodation, the Executive may, and at the request of the Company shall, submit to the Company a certification in reasonable detail by a physician selected by the Company to whom the Executive or the Executive’s guardian has no reasonable objection as to whether the Executive is so disabled or how long such disability is expected to continue, and such certification shall for the purposes of this Agreement be conclusive of the issue. The Executive shall cooperate with any reasonable request of the physician in connection with such certification. If such question shall arise and the Executive shall fail to submit such certification, the Company’s determination of such issue shall be binding on the Executive. Nothing in this Section 3(b) shall be construed to waive the Executive’s rights, if any, under existing law including, without limitation, the Family and Medical Leave Act of 1993, 29 U.S.C. §2601 </w:t>
      </w:r>
      <w:r>
        <w:rPr>
          <w:rFonts w:ascii="Arial" w:cs="Arial" w:eastAsia="Arial" w:hAnsi="Arial"/>
          <w:sz w:val="19"/>
          <w:szCs w:val="19"/>
          <w:i w:val="1"/>
          <w:iCs w:val="1"/>
          <w:color w:val="auto"/>
        </w:rPr>
        <w:t>et seq.</w:t>
      </w:r>
      <w:r>
        <w:rPr>
          <w:rFonts w:ascii="Arial" w:cs="Arial" w:eastAsia="Arial" w:hAnsi="Arial"/>
          <w:sz w:val="19"/>
          <w:szCs w:val="19"/>
          <w:color w:val="auto"/>
        </w:rPr>
        <w:t xml:space="preserve"> and the Americans with Disabilities Act, 42 U.S.C. §12101 </w:t>
      </w:r>
      <w:r>
        <w:rPr>
          <w:rFonts w:ascii="Arial" w:cs="Arial" w:eastAsia="Arial" w:hAnsi="Arial"/>
          <w:sz w:val="19"/>
          <w:szCs w:val="19"/>
          <w:i w:val="1"/>
          <w:iCs w:val="1"/>
          <w:color w:val="auto"/>
        </w:rPr>
        <w:t>et seq.</w:t>
      </w:r>
    </w:p>
    <w:p>
      <w:pPr>
        <w:spacing w:after="0" w:line="158" w:lineRule="exact"/>
        <w:rPr>
          <w:rFonts w:ascii="Arial" w:cs="Arial" w:eastAsia="Arial" w:hAnsi="Arial"/>
          <w:sz w:val="19"/>
          <w:szCs w:val="19"/>
          <w:color w:val="auto"/>
        </w:rPr>
      </w:pPr>
    </w:p>
    <w:p>
      <w:pPr>
        <w:ind w:left="160" w:right="279" w:firstLine="1287"/>
        <w:spacing w:after="0" w:line="279" w:lineRule="auto"/>
        <w:tabs>
          <w:tab w:leader="none" w:pos="2155" w:val="left"/>
        </w:tabs>
        <w:numPr>
          <w:ilvl w:val="1"/>
          <w:numId w:val="5"/>
        </w:numPr>
        <w:rPr>
          <w:rFonts w:ascii="Arial" w:cs="Arial" w:eastAsia="Arial" w:hAnsi="Arial"/>
          <w:sz w:val="19"/>
          <w:szCs w:val="19"/>
          <w:color w:val="auto"/>
        </w:rPr>
      </w:pPr>
      <w:r>
        <w:rPr>
          <w:rFonts w:ascii="Arial" w:cs="Arial" w:eastAsia="Arial" w:hAnsi="Arial"/>
          <w:sz w:val="19"/>
          <w:szCs w:val="19"/>
          <w:u w:val="single" w:color="auto"/>
          <w:color w:val="auto"/>
        </w:rPr>
        <w:t>Termination by Company for Cause</w:t>
      </w:r>
      <w:r>
        <w:rPr>
          <w:rFonts w:ascii="Arial" w:cs="Arial" w:eastAsia="Arial" w:hAnsi="Arial"/>
          <w:sz w:val="19"/>
          <w:szCs w:val="19"/>
          <w:color w:val="auto"/>
        </w:rPr>
        <w:t>. The Company may terminate the Executive’s employment hereunder for Cause. For purposes of this Agreement, “Cause” shall mean: (i) conduct by the Executive constituting a material act of misconduct in connection with the performance of her duties, including, without limitation, misappropriation of funds or property of the Company or any of its subsidiaries or affiliates other than the occasional, customary and de minimis use of Company property for personal purposes; (ii) the commission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230505</wp:posOffset>
            </wp:positionV>
            <wp:extent cx="554863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 w:name="page7"/>
    <w:bookmarkEnd w:id="6"/>
    <w:p>
      <w:pPr>
        <w:ind w:left="160" w:right="159"/>
        <w:spacing w:after="0" w:line="272" w:lineRule="auto"/>
        <w:rPr>
          <w:sz w:val="20"/>
          <w:szCs w:val="20"/>
          <w:color w:val="auto"/>
        </w:rPr>
      </w:pPr>
      <w:r>
        <w:rPr>
          <w:rFonts w:ascii="Arial" w:cs="Arial" w:eastAsia="Arial" w:hAnsi="Arial"/>
          <w:sz w:val="19"/>
          <w:szCs w:val="19"/>
          <w:color w:val="auto"/>
        </w:rPr>
        <w:t>by the Executive of any felony or a misdemeanor involving moral turpitude, deceit, dishonesty or fraud, or any conduct by the Executive that would reasonably be expected to result in material injury or reputational harm to the Company or any of its subsidiaries and affiliates if she were retained in her position; (iii) continued non-performance by the Executive of her duties hereunder (other than by reason of the Executive’s physical or mental illness, incapacity or disability) which has continued for more than 30 days following written notice of such non-performance from the Chief Executive Officer of the Company or the CFO; (iv) a material breach by the Executive of any of the provisions contained in Section 7 of this Agreement; (v) a material violation by the Executive of the Company’s written employment policies; or (vi) failure to cooperate with a bona fide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w:t>
      </w:r>
    </w:p>
    <w:p>
      <w:pPr>
        <w:spacing w:after="0" w:line="158" w:lineRule="exact"/>
        <w:rPr>
          <w:sz w:val="20"/>
          <w:szCs w:val="20"/>
          <w:color w:val="auto"/>
        </w:rPr>
      </w:pPr>
    </w:p>
    <w:p>
      <w:pPr>
        <w:ind w:left="160" w:right="379" w:firstLine="1287"/>
        <w:spacing w:after="0" w:line="282" w:lineRule="auto"/>
        <w:tabs>
          <w:tab w:leader="none" w:pos="2154" w:val="left"/>
        </w:tabs>
        <w:numPr>
          <w:ilvl w:val="0"/>
          <w:numId w:val="6"/>
        </w:numPr>
        <w:rPr>
          <w:rFonts w:ascii="Arial" w:cs="Arial" w:eastAsia="Arial" w:hAnsi="Arial"/>
          <w:sz w:val="19"/>
          <w:szCs w:val="19"/>
          <w:color w:val="auto"/>
        </w:rPr>
      </w:pPr>
      <w:r>
        <w:rPr>
          <w:rFonts w:ascii="Arial" w:cs="Arial" w:eastAsia="Arial" w:hAnsi="Arial"/>
          <w:sz w:val="19"/>
          <w:szCs w:val="19"/>
          <w:u w:val="single" w:color="auto"/>
          <w:color w:val="auto"/>
        </w:rPr>
        <w:t>Termination by the Company Without Cause</w:t>
      </w:r>
      <w:r>
        <w:rPr>
          <w:rFonts w:ascii="Arial" w:cs="Arial" w:eastAsia="Arial" w:hAnsi="Arial"/>
          <w:sz w:val="19"/>
          <w:szCs w:val="19"/>
          <w:color w:val="auto"/>
        </w:rPr>
        <w:t>. The Company may terminate the Executive’s employment at any time without Cause. Any termination by the Company of the Executive’s employment under this Agreement which does not constitute a termination for Cause under Section 3(c) and does not result from the death or disability of the Executive under Section 3(a) or (b) shall be deemed a termination by the Company without Cause.</w:t>
      </w:r>
    </w:p>
    <w:p>
      <w:pPr>
        <w:spacing w:after="0" w:line="147" w:lineRule="exact"/>
        <w:rPr>
          <w:rFonts w:ascii="Arial" w:cs="Arial" w:eastAsia="Arial" w:hAnsi="Arial"/>
          <w:sz w:val="19"/>
          <w:szCs w:val="19"/>
          <w:color w:val="auto"/>
        </w:rPr>
      </w:pPr>
    </w:p>
    <w:p>
      <w:pPr>
        <w:ind w:left="160" w:right="139" w:firstLine="1287"/>
        <w:spacing w:after="0" w:line="270" w:lineRule="auto"/>
        <w:tabs>
          <w:tab w:leader="none" w:pos="2142" w:val="left"/>
        </w:tabs>
        <w:numPr>
          <w:ilvl w:val="0"/>
          <w:numId w:val="6"/>
        </w:numPr>
        <w:rPr>
          <w:rFonts w:ascii="Arial" w:cs="Arial" w:eastAsia="Arial" w:hAnsi="Arial"/>
          <w:sz w:val="19"/>
          <w:szCs w:val="19"/>
          <w:color w:val="auto"/>
        </w:rPr>
      </w:pPr>
      <w:r>
        <w:rPr>
          <w:rFonts w:ascii="Arial" w:cs="Arial" w:eastAsia="Arial" w:hAnsi="Arial"/>
          <w:sz w:val="19"/>
          <w:szCs w:val="19"/>
          <w:u w:val="single" w:color="auto"/>
          <w:color w:val="auto"/>
        </w:rPr>
        <w:t>Termination by the Executive</w:t>
      </w:r>
      <w:r>
        <w:rPr>
          <w:rFonts w:ascii="Arial" w:cs="Arial" w:eastAsia="Arial" w:hAnsi="Arial"/>
          <w:sz w:val="19"/>
          <w:szCs w:val="19"/>
          <w:color w:val="auto"/>
        </w:rPr>
        <w:t>. The Executive may terminate her employment hereunder at any time for any reason, including but not limited to Good Reason. For purposes of this Agreement, “Good Reason” shall mean that the Executive has complied with the “Good Reason Process” (hereinafter defined) following the occurrence of any of the following events without the Executive’s express written consent: (i) a material diminution in the Executive’s responsibilities, authority or duties without the Executive’s consent; (ii) a material diminution in the Executive’s Base Salary and/or Target Incentive Compensation without the Executive’s consent (unless such diminution is in connection with a proportional reduction in compensation to all or substantially all of the Company’s employees); (iii) a material change of more than 50 miles in the geographic location at which the Executive provides services to the Company; or (iv) the material breach of this Agreement by the Company. “Good Reason Process” shall mean that (i) the Executive reasonably determines in good faith that a “Good Reason” condition has occurred; (ii) the Executive notifies the Company in writing of the first occurrence of the Good Reason condition within 60 days of the first occurrence of such condition; (iii) the Executive cooperates in good faith with the Company’s efforts, for a period not less than 30 days following such notice (the “Cure Period”) to remedy the condition; (iv) notwithstanding such efforts, the Good Reason condition continues to exist; and (v) the Executive terminates her employment within 60 days after the end of the Cure Period. If the Company cures the Good Reason condition during the Cure Period, Good Reason shall be deemed not to have occurred.</w:t>
      </w: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ind w:left="160" w:right="419" w:firstLine="1287"/>
        <w:spacing w:after="0" w:line="297" w:lineRule="auto"/>
        <w:tabs>
          <w:tab w:leader="none" w:pos="2172" w:val="left"/>
        </w:tabs>
        <w:numPr>
          <w:ilvl w:val="0"/>
          <w:numId w:val="6"/>
        </w:numPr>
        <w:rPr>
          <w:rFonts w:ascii="Arial" w:cs="Arial" w:eastAsia="Arial" w:hAnsi="Arial"/>
          <w:sz w:val="19"/>
          <w:szCs w:val="19"/>
          <w:color w:val="auto"/>
        </w:rPr>
      </w:pPr>
      <w:r>
        <w:rPr>
          <w:rFonts w:ascii="Arial" w:cs="Arial" w:eastAsia="Arial" w:hAnsi="Arial"/>
          <w:sz w:val="19"/>
          <w:szCs w:val="19"/>
          <w:u w:val="single" w:color="auto"/>
          <w:color w:val="auto"/>
        </w:rPr>
        <w:t>Notice of Termination</w:t>
      </w:r>
      <w:r>
        <w:rPr>
          <w:rFonts w:ascii="Arial" w:cs="Arial" w:eastAsia="Arial" w:hAnsi="Arial"/>
          <w:sz w:val="19"/>
          <w:szCs w:val="19"/>
          <w:color w:val="auto"/>
        </w:rPr>
        <w:t>. Except for termination as specified in Section 3(a), any termination of the Executive’s employment by the Company or any such termination by the Executive shall be communicated by written Notice of Termination to the other party hereto. For</w:t>
      </w:r>
    </w:p>
    <w:p>
      <w:pPr>
        <w:spacing w:after="0" w:line="200" w:lineRule="exact"/>
        <w:rPr>
          <w:sz w:val="20"/>
          <w:szCs w:val="20"/>
          <w:color w:val="auto"/>
        </w:rPr>
      </w:pPr>
    </w:p>
    <w:p>
      <w:pPr>
        <w:spacing w:after="0" w:line="36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230505</wp:posOffset>
            </wp:positionV>
            <wp:extent cx="554863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7" w:name="page8"/>
    <w:bookmarkEnd w:id="7"/>
    <w:p>
      <w:pPr>
        <w:ind w:left="160" w:right="299"/>
        <w:spacing w:after="0" w:line="251" w:lineRule="auto"/>
        <w:rPr>
          <w:sz w:val="20"/>
          <w:szCs w:val="20"/>
          <w:color w:val="auto"/>
        </w:rPr>
      </w:pPr>
      <w:r>
        <w:rPr>
          <w:rFonts w:ascii="Arial" w:cs="Arial" w:eastAsia="Arial" w:hAnsi="Arial"/>
          <w:sz w:val="22"/>
          <w:szCs w:val="22"/>
          <w:color w:val="auto"/>
        </w:rPr>
        <w:t>purposes of this Agreement, a “Notice of Termination” shall mean a notice which shall indicate the specific termination provision in this Agreement relied upon.</w:t>
      </w:r>
    </w:p>
    <w:p>
      <w:pPr>
        <w:spacing w:after="0" w:line="174" w:lineRule="exact"/>
        <w:rPr>
          <w:sz w:val="20"/>
          <w:szCs w:val="20"/>
          <w:color w:val="auto"/>
        </w:rPr>
      </w:pPr>
    </w:p>
    <w:p>
      <w:pPr>
        <w:ind w:left="160" w:right="199" w:firstLine="1287"/>
        <w:spacing w:after="0" w:line="270" w:lineRule="auto"/>
        <w:tabs>
          <w:tab w:leader="none" w:pos="2154" w:val="left"/>
        </w:tabs>
        <w:numPr>
          <w:ilvl w:val="2"/>
          <w:numId w:val="7"/>
        </w:numPr>
        <w:rPr>
          <w:rFonts w:ascii="Arial" w:cs="Arial" w:eastAsia="Arial" w:hAnsi="Arial"/>
          <w:sz w:val="19"/>
          <w:szCs w:val="19"/>
          <w:color w:val="auto"/>
        </w:rPr>
      </w:pPr>
      <w:r>
        <w:rPr>
          <w:rFonts w:ascii="Arial" w:cs="Arial" w:eastAsia="Arial" w:hAnsi="Arial"/>
          <w:sz w:val="19"/>
          <w:szCs w:val="19"/>
          <w:u w:val="single" w:color="auto"/>
          <w:color w:val="auto"/>
        </w:rPr>
        <w:t>Date of Termination</w:t>
      </w:r>
      <w:r>
        <w:rPr>
          <w:rFonts w:ascii="Arial" w:cs="Arial" w:eastAsia="Arial" w:hAnsi="Arial"/>
          <w:sz w:val="19"/>
          <w:szCs w:val="19"/>
          <w:color w:val="auto"/>
        </w:rPr>
        <w:t>. “Date of Termination” shall mean: (i) if the Executive’s employment is terminated by her death, the date of her death; (ii) if the Executive’s employment is terminated on account of disability under Section 3(b) or by the Company for Cause under Section 3(c), the date on which Notice of Termination is given; (iii) if the Executive’s employment is terminated by the Company under Section 3(d), the date on which a Notice of Termination is given;</w:t>
      </w:r>
    </w:p>
    <w:p>
      <w:pPr>
        <w:spacing w:after="0" w:line="4" w:lineRule="exact"/>
        <w:rPr>
          <w:rFonts w:ascii="Arial" w:cs="Arial" w:eastAsia="Arial" w:hAnsi="Arial"/>
          <w:sz w:val="19"/>
          <w:szCs w:val="19"/>
          <w:color w:val="auto"/>
        </w:rPr>
      </w:pPr>
    </w:p>
    <w:p>
      <w:pPr>
        <w:ind w:left="160" w:right="159" w:hanging="9"/>
        <w:spacing w:after="0" w:line="244" w:lineRule="auto"/>
        <w:tabs>
          <w:tab w:leader="none" w:pos="526" w:val="left"/>
        </w:tabs>
        <w:numPr>
          <w:ilvl w:val="0"/>
          <w:numId w:val="8"/>
        </w:numPr>
        <w:rPr>
          <w:rFonts w:ascii="Arial" w:cs="Arial" w:eastAsia="Arial" w:hAnsi="Arial"/>
          <w:sz w:val="21"/>
          <w:szCs w:val="21"/>
          <w:color w:val="auto"/>
        </w:rPr>
      </w:pPr>
      <w:r>
        <w:rPr>
          <w:rFonts w:ascii="Arial" w:cs="Arial" w:eastAsia="Arial" w:hAnsi="Arial"/>
          <w:sz w:val="21"/>
          <w:szCs w:val="21"/>
          <w:color w:val="auto"/>
        </w:rPr>
        <w:t>if the Executive’s employment is terminated by the Executive under Section 3(e) without Good Reason, 30 days after the date on which a Notice of Termination is given, and (v) if the Executive’s employment is terminated by the Executive under Section 3(e) with Good Reason, the date on which a Notice of Termination is given after the end of the Cure Period. Notwithstanding the foregoing, in the event that the Executive gives a Notice of Termination to the Company, the Company may unilaterally accelerate the Date of Termination and such acceleration shall not result in a termination by the Company for purposes of this Agreement.</w:t>
      </w:r>
    </w:p>
    <w:p>
      <w:pPr>
        <w:spacing w:after="0" w:line="181" w:lineRule="exact"/>
        <w:rPr>
          <w:rFonts w:ascii="Arial" w:cs="Arial" w:eastAsia="Arial" w:hAnsi="Arial"/>
          <w:sz w:val="21"/>
          <w:szCs w:val="21"/>
          <w:color w:val="auto"/>
        </w:rPr>
      </w:pPr>
    </w:p>
    <w:p>
      <w:pPr>
        <w:ind w:left="1440" w:hanging="641"/>
        <w:spacing w:after="0"/>
        <w:tabs>
          <w:tab w:leader="none" w:pos="1440" w:val="left"/>
        </w:tabs>
        <w:numPr>
          <w:ilvl w:val="1"/>
          <w:numId w:val="8"/>
        </w:numPr>
        <w:rPr>
          <w:rFonts w:ascii="Arial" w:cs="Arial" w:eastAsia="Arial" w:hAnsi="Arial"/>
          <w:sz w:val="22"/>
          <w:szCs w:val="22"/>
          <w:color w:val="auto"/>
        </w:rPr>
      </w:pPr>
      <w:r>
        <w:rPr>
          <w:rFonts w:ascii="Arial" w:cs="Arial" w:eastAsia="Arial" w:hAnsi="Arial"/>
          <w:sz w:val="22"/>
          <w:szCs w:val="22"/>
          <w:u w:val="single" w:color="auto"/>
          <w:color w:val="auto"/>
        </w:rPr>
        <w:t>Compensation Upon Termination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60" w:right="179" w:firstLine="1287"/>
        <w:spacing w:after="0" w:line="274" w:lineRule="auto"/>
        <w:tabs>
          <w:tab w:leader="none" w:pos="2142" w:val="left"/>
        </w:tabs>
        <w:numPr>
          <w:ilvl w:val="2"/>
          <w:numId w:val="8"/>
        </w:numPr>
        <w:rPr>
          <w:rFonts w:ascii="Arial" w:cs="Arial" w:eastAsia="Arial" w:hAnsi="Arial"/>
          <w:sz w:val="19"/>
          <w:szCs w:val="19"/>
          <w:color w:val="auto"/>
        </w:rPr>
      </w:pPr>
      <w:r>
        <w:rPr>
          <w:rFonts w:ascii="Arial" w:cs="Arial" w:eastAsia="Arial" w:hAnsi="Arial"/>
          <w:sz w:val="19"/>
          <w:szCs w:val="19"/>
          <w:u w:val="single" w:color="auto"/>
          <w:color w:val="auto"/>
        </w:rPr>
        <w:t>Termination Generally</w:t>
      </w:r>
      <w:r>
        <w:rPr>
          <w:rFonts w:ascii="Arial" w:cs="Arial" w:eastAsia="Arial" w:hAnsi="Arial"/>
          <w:sz w:val="19"/>
          <w:szCs w:val="19"/>
          <w:color w:val="auto"/>
        </w:rPr>
        <w:t>. If the Executive’s employment with the Company is terminated for any reason, the Company shall pay or provide to the Executive (or to her authorized representative or estate) (i) any Base Salary earned through the Date of Termination, unpaid expense reimbursements (subject to, and in accordance with, Section 2(c) of this Agreement) and unused vacation that accrued through the Date of Termination on or before the time required by law but in no event more than 30 days after the Executive’s Date of Termination; and (ii) any vested benefits the Executive may have under any employee benefit plan of the Company through the Date of Termination, which vested benefits shall be paid and/or provided in accordance with the terms of such employee benefit plans (collectively, the “Accrued Benefit”).</w:t>
      </w:r>
    </w:p>
    <w:p>
      <w:pPr>
        <w:spacing w:after="0" w:line="158" w:lineRule="exact"/>
        <w:rPr>
          <w:rFonts w:ascii="Arial" w:cs="Arial" w:eastAsia="Arial" w:hAnsi="Arial"/>
          <w:sz w:val="19"/>
          <w:szCs w:val="19"/>
          <w:color w:val="auto"/>
        </w:rPr>
      </w:pPr>
    </w:p>
    <w:p>
      <w:pPr>
        <w:ind w:left="160" w:right="239" w:firstLine="1287"/>
        <w:spacing w:after="0" w:line="274" w:lineRule="auto"/>
        <w:tabs>
          <w:tab w:leader="none" w:pos="2154" w:val="left"/>
        </w:tabs>
        <w:numPr>
          <w:ilvl w:val="2"/>
          <w:numId w:val="8"/>
        </w:numPr>
        <w:rPr>
          <w:rFonts w:ascii="Arial" w:cs="Arial" w:eastAsia="Arial" w:hAnsi="Arial"/>
          <w:sz w:val="19"/>
          <w:szCs w:val="19"/>
          <w:color w:val="auto"/>
        </w:rPr>
      </w:pPr>
      <w:r>
        <w:rPr>
          <w:rFonts w:ascii="Arial" w:cs="Arial" w:eastAsia="Arial" w:hAnsi="Arial"/>
          <w:sz w:val="19"/>
          <w:szCs w:val="19"/>
          <w:u w:val="single" w:color="auto"/>
          <w:color w:val="auto"/>
        </w:rPr>
        <w:t>Termination by the Company Without Cause or by the Executive with Good Reason</w:t>
      </w:r>
      <w:r>
        <w:rPr>
          <w:rFonts w:ascii="Arial" w:cs="Arial" w:eastAsia="Arial" w:hAnsi="Arial"/>
          <w:sz w:val="19"/>
          <w:szCs w:val="19"/>
          <w:color w:val="auto"/>
        </w:rPr>
        <w:t>. During the Term, if the Executive’s employment is terminated by the Company without Cause as provided in Section 3(d), or the Executive terminates her employment for Good Reason as provided in Section 3(e), then the Company shall pay the Executive her Accrued Benefit. In addition, subject to the Executive signing a separation agreement containing, among other provisions, a general release of claims in favor of the Company and related persons and entities, confidentiality, return of property and non-disparagement, in a form and manner satisfactory to the Company (the “Separation Agreement and Release”) and the Separation Agreement and Release becoming irrevocable, all within 60 days after the Date of Termination:</w:t>
      </w:r>
    </w:p>
    <w:p>
      <w:pPr>
        <w:spacing w:after="0" w:line="158" w:lineRule="exact"/>
        <w:rPr>
          <w:rFonts w:ascii="Arial" w:cs="Arial" w:eastAsia="Arial" w:hAnsi="Arial"/>
          <w:sz w:val="19"/>
          <w:szCs w:val="19"/>
          <w:color w:val="auto"/>
        </w:rPr>
      </w:pPr>
    </w:p>
    <w:p>
      <w:pPr>
        <w:ind w:left="2820" w:hanging="725"/>
        <w:spacing w:after="0"/>
        <w:tabs>
          <w:tab w:leader="none" w:pos="2820" w:val="left"/>
        </w:tabs>
        <w:numPr>
          <w:ilvl w:val="3"/>
          <w:numId w:val="8"/>
        </w:numPr>
        <w:rPr>
          <w:rFonts w:ascii="Arial" w:cs="Arial" w:eastAsia="Arial" w:hAnsi="Arial"/>
          <w:sz w:val="21"/>
          <w:szCs w:val="21"/>
          <w:color w:val="424242"/>
        </w:rPr>
      </w:pPr>
      <w:r>
        <w:rPr>
          <w:rFonts w:ascii="Arial" w:cs="Arial" w:eastAsia="Arial" w:hAnsi="Arial"/>
          <w:sz w:val="21"/>
          <w:szCs w:val="21"/>
          <w:color w:val="auto"/>
        </w:rPr>
        <w:t>the Company shall pay the Executive an amount equal to one (1)</w:t>
      </w:r>
    </w:p>
    <w:p>
      <w:pPr>
        <w:spacing w:after="0" w:line="19" w:lineRule="exact"/>
        <w:rPr>
          <w:rFonts w:ascii="Arial" w:cs="Arial" w:eastAsia="Arial" w:hAnsi="Arial"/>
          <w:sz w:val="21"/>
          <w:szCs w:val="21"/>
          <w:color w:val="424242"/>
        </w:rPr>
      </w:pPr>
    </w:p>
    <w:p>
      <w:pPr>
        <w:ind w:left="800"/>
        <w:spacing w:after="0"/>
        <w:rPr>
          <w:rFonts w:ascii="Arial" w:cs="Arial" w:eastAsia="Arial" w:hAnsi="Arial"/>
          <w:sz w:val="21"/>
          <w:szCs w:val="21"/>
          <w:color w:val="424242"/>
        </w:rPr>
      </w:pPr>
      <w:r>
        <w:rPr>
          <w:rFonts w:ascii="Arial" w:cs="Arial" w:eastAsia="Arial" w:hAnsi="Arial"/>
          <w:sz w:val="22"/>
          <w:szCs w:val="22"/>
          <w:color w:val="auto"/>
        </w:rPr>
        <w:t>times the Executive’s Base Salary (the “Severance Amount”); and</w:t>
      </w:r>
    </w:p>
    <w:p>
      <w:pPr>
        <w:spacing w:after="0" w:line="188" w:lineRule="exact"/>
        <w:rPr>
          <w:rFonts w:ascii="Arial" w:cs="Arial" w:eastAsia="Arial" w:hAnsi="Arial"/>
          <w:sz w:val="21"/>
          <w:szCs w:val="21"/>
          <w:color w:val="424242"/>
        </w:rPr>
      </w:pPr>
    </w:p>
    <w:p>
      <w:pPr>
        <w:ind w:left="800" w:right="419" w:firstLine="1295"/>
        <w:spacing w:after="0" w:line="297" w:lineRule="auto"/>
        <w:tabs>
          <w:tab w:leader="none" w:pos="2847" w:val="left"/>
        </w:tabs>
        <w:numPr>
          <w:ilvl w:val="3"/>
          <w:numId w:val="8"/>
        </w:numPr>
        <w:rPr>
          <w:rFonts w:ascii="Arial" w:cs="Arial" w:eastAsia="Arial" w:hAnsi="Arial"/>
          <w:sz w:val="19"/>
          <w:szCs w:val="19"/>
          <w:color w:val="424242"/>
        </w:rPr>
      </w:pPr>
      <w:r>
        <w:rPr>
          <w:rFonts w:ascii="Arial" w:cs="Arial" w:eastAsia="Arial" w:hAnsi="Arial"/>
          <w:sz w:val="19"/>
          <w:szCs w:val="19"/>
          <w:color w:val="auto"/>
        </w:rPr>
        <w:t>if the Executive was participating in the Company’s group health plan immediately prior to the Date of Termination and elects COBRA health continuation, then the Company shall pay to the Executive a monthly cash payment for</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230505</wp:posOffset>
            </wp:positionV>
            <wp:extent cx="554863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8" w:name="page9"/>
    <w:bookmarkEnd w:id="8"/>
    <w:p>
      <w:pPr>
        <w:ind w:left="800" w:right="339"/>
        <w:spacing w:after="0" w:line="238" w:lineRule="auto"/>
        <w:rPr>
          <w:sz w:val="20"/>
          <w:szCs w:val="20"/>
          <w:color w:val="auto"/>
        </w:rPr>
      </w:pPr>
      <w:r>
        <w:rPr>
          <w:rFonts w:ascii="Arial" w:cs="Arial" w:eastAsia="Arial" w:hAnsi="Arial"/>
          <w:sz w:val="22"/>
          <w:szCs w:val="22"/>
          <w:color w:val="auto"/>
        </w:rPr>
        <w:t>twelve (12) months or the Executive’s COBRA health continuation period, whichever ends earlier, in an amount equal to the monthly employer contribution that the Company would have made to provide health insurance to the Executive if the Executive had remained employed by the Company.</w:t>
      </w:r>
    </w:p>
    <w:p>
      <w:pPr>
        <w:spacing w:after="0" w:line="186" w:lineRule="exact"/>
        <w:rPr>
          <w:sz w:val="20"/>
          <w:szCs w:val="20"/>
          <w:color w:val="auto"/>
        </w:rPr>
      </w:pPr>
    </w:p>
    <w:p>
      <w:pPr>
        <w:ind w:left="160" w:right="139"/>
        <w:spacing w:after="0" w:line="275" w:lineRule="auto"/>
        <w:rPr>
          <w:sz w:val="20"/>
          <w:szCs w:val="20"/>
          <w:color w:val="auto"/>
        </w:rPr>
      </w:pPr>
      <w:r>
        <w:rPr>
          <w:rFonts w:ascii="Arial" w:cs="Arial" w:eastAsia="Arial" w:hAnsi="Arial"/>
          <w:sz w:val="19"/>
          <w:szCs w:val="19"/>
          <w:color w:val="auto"/>
        </w:rPr>
        <w:t>The amounts payable under this Section 4(b) shall be paid out in substantially equal installments in accordance with the Company’s payroll practice over twelve (12) months commencing within 60 days after the Date of Termination; provided, however, that if the 60-day period begins in one calendar year and ends in a second calendar year, the Severance Amount shall begin to be paid in the second calendar year by the last day of such 60-day period; provided, further, that the initial payment shall include a catch-up payment to cover amounts retroactive to the day immediately following the Date of Termination. Each payment pursuant to this Agreement is intended to constitute a separate payment for purposes of Treasury Regulation Section 1.409A-2(b)(2).</w:t>
      </w:r>
    </w:p>
    <w:p>
      <w:pPr>
        <w:spacing w:after="0" w:line="158" w:lineRule="exact"/>
        <w:rPr>
          <w:sz w:val="20"/>
          <w:szCs w:val="20"/>
          <w:color w:val="auto"/>
        </w:rPr>
      </w:pPr>
    </w:p>
    <w:p>
      <w:pPr>
        <w:ind w:left="160" w:right="199"/>
        <w:spacing w:after="0" w:line="276" w:lineRule="auto"/>
        <w:rPr>
          <w:sz w:val="20"/>
          <w:szCs w:val="20"/>
          <w:color w:val="auto"/>
        </w:rPr>
      </w:pPr>
      <w:r>
        <w:rPr>
          <w:rFonts w:ascii="Arial" w:cs="Arial" w:eastAsia="Arial" w:hAnsi="Arial"/>
          <w:sz w:val="19"/>
          <w:szCs w:val="19"/>
          <w:color w:val="auto"/>
        </w:rPr>
        <w:t>The receipt of any severance payments or benefits pursuant to Section 4 will be subject to Executive not violating the Restrictive Covenants Agreement (as defined below), the terms of which</w:t>
      </w:r>
    </w:p>
    <w:p>
      <w:pPr>
        <w:spacing w:after="0" w:line="2" w:lineRule="exact"/>
        <w:rPr>
          <w:sz w:val="20"/>
          <w:szCs w:val="20"/>
          <w:color w:val="auto"/>
        </w:rPr>
      </w:pPr>
    </w:p>
    <w:p>
      <w:pPr>
        <w:ind w:left="160" w:right="159"/>
        <w:spacing w:after="0" w:line="245" w:lineRule="auto"/>
        <w:rPr>
          <w:sz w:val="20"/>
          <w:szCs w:val="20"/>
          <w:color w:val="auto"/>
        </w:rPr>
      </w:pPr>
      <w:r>
        <w:rPr>
          <w:rFonts w:ascii="Arial" w:cs="Arial" w:eastAsia="Arial" w:hAnsi="Arial"/>
          <w:sz w:val="21"/>
          <w:szCs w:val="21"/>
          <w:color w:val="auto"/>
        </w:rPr>
        <w:t>are hereby incorporated by reference. In the event Executive breaches the Restrictive Covenants Agreement, in addition to all other legal and equitable remedies, the Company shall have the right to terminate or suspend all continuing payments and benefits to which Executive may otherwise be entitled pursuant to Section 4 without affecting the Executive’s release or Executive’s obligations under the Separation Agreement and Release.</w:t>
      </w:r>
    </w:p>
    <w:p>
      <w:pPr>
        <w:spacing w:after="0" w:line="181" w:lineRule="exact"/>
        <w:rPr>
          <w:sz w:val="20"/>
          <w:szCs w:val="20"/>
          <w:color w:val="auto"/>
        </w:rPr>
      </w:pPr>
    </w:p>
    <w:p>
      <w:pPr>
        <w:ind w:left="160" w:right="139" w:firstLine="639"/>
        <w:spacing w:after="0" w:line="270" w:lineRule="auto"/>
        <w:tabs>
          <w:tab w:leader="none" w:pos="1483" w:val="left"/>
        </w:tabs>
        <w:numPr>
          <w:ilvl w:val="1"/>
          <w:numId w:val="9"/>
        </w:numPr>
        <w:rPr>
          <w:rFonts w:ascii="Arial" w:cs="Arial" w:eastAsia="Arial" w:hAnsi="Arial"/>
          <w:sz w:val="19"/>
          <w:szCs w:val="19"/>
          <w:color w:val="auto"/>
        </w:rPr>
      </w:pPr>
      <w:r>
        <w:rPr>
          <w:rFonts w:ascii="Arial" w:cs="Arial" w:eastAsia="Arial" w:hAnsi="Arial"/>
          <w:sz w:val="19"/>
          <w:szCs w:val="19"/>
          <w:u w:val="single" w:color="auto"/>
          <w:color w:val="auto"/>
        </w:rPr>
        <w:t>Sale Event Payment</w:t>
      </w:r>
      <w:r>
        <w:rPr>
          <w:rFonts w:ascii="Arial" w:cs="Arial" w:eastAsia="Arial" w:hAnsi="Arial"/>
          <w:sz w:val="19"/>
          <w:szCs w:val="19"/>
          <w:color w:val="auto"/>
        </w:rPr>
        <w:t>. These provisions are intended to assure and encourage in advance the Executive’s continued attention and dedication to her assigned duties and her objectivity during the pendency and after the occurrence of any Sale Event (as defined below). These provisions shall apply in lieu of, and expressly supersede, the provisions of Section 4(b) regarding severance pay and benefits upon a termination of employment, if the Date of Termination occurs within twelve</w:t>
      </w:r>
    </w:p>
    <w:p>
      <w:pPr>
        <w:spacing w:after="0" w:line="4" w:lineRule="exact"/>
        <w:rPr>
          <w:rFonts w:ascii="Arial" w:cs="Arial" w:eastAsia="Arial" w:hAnsi="Arial"/>
          <w:sz w:val="19"/>
          <w:szCs w:val="19"/>
          <w:color w:val="auto"/>
        </w:rPr>
      </w:pPr>
    </w:p>
    <w:p>
      <w:pPr>
        <w:ind w:left="160" w:right="199" w:hanging="9"/>
        <w:spacing w:after="0" w:line="234" w:lineRule="auto"/>
        <w:tabs>
          <w:tab w:leader="none" w:pos="574" w:val="left"/>
        </w:tabs>
        <w:numPr>
          <w:ilvl w:val="0"/>
          <w:numId w:val="10"/>
        </w:numPr>
        <w:rPr>
          <w:rFonts w:ascii="Arial" w:cs="Arial" w:eastAsia="Arial" w:hAnsi="Arial"/>
          <w:sz w:val="22"/>
          <w:szCs w:val="22"/>
          <w:color w:val="auto"/>
        </w:rPr>
      </w:pPr>
      <w:r>
        <w:rPr>
          <w:rFonts w:ascii="Arial" w:cs="Arial" w:eastAsia="Arial" w:hAnsi="Arial"/>
          <w:sz w:val="22"/>
          <w:szCs w:val="22"/>
          <w:color w:val="auto"/>
        </w:rPr>
        <w:t>months after the occurrence of the first event constituting a Sale Event. These provisions shall terminate and be of no further force or effect beginning twelve (12) months after the occurrence of a Sale Event.</w:t>
      </w:r>
    </w:p>
    <w:p>
      <w:pPr>
        <w:spacing w:after="0" w:line="187" w:lineRule="exact"/>
        <w:rPr>
          <w:rFonts w:ascii="Arial" w:cs="Arial" w:eastAsia="Arial" w:hAnsi="Arial"/>
          <w:sz w:val="22"/>
          <w:szCs w:val="22"/>
          <w:color w:val="auto"/>
        </w:rPr>
      </w:pPr>
    </w:p>
    <w:p>
      <w:pPr>
        <w:ind w:left="160" w:right="179" w:firstLine="1287"/>
        <w:spacing w:after="0" w:line="282" w:lineRule="auto"/>
        <w:tabs>
          <w:tab w:leader="none" w:pos="2142" w:val="left"/>
        </w:tabs>
        <w:numPr>
          <w:ilvl w:val="2"/>
          <w:numId w:val="10"/>
        </w:numPr>
        <w:rPr>
          <w:rFonts w:ascii="Arial" w:cs="Arial" w:eastAsia="Arial" w:hAnsi="Arial"/>
          <w:sz w:val="19"/>
          <w:szCs w:val="19"/>
          <w:color w:val="auto"/>
        </w:rPr>
      </w:pPr>
      <w:r>
        <w:rPr>
          <w:rFonts w:ascii="Arial" w:cs="Arial" w:eastAsia="Arial" w:hAnsi="Arial"/>
          <w:sz w:val="19"/>
          <w:szCs w:val="19"/>
          <w:u w:val="single" w:color="auto"/>
          <w:color w:val="auto"/>
        </w:rPr>
        <w:t>Sale Event</w:t>
      </w:r>
      <w:r>
        <w:rPr>
          <w:rFonts w:ascii="Arial" w:cs="Arial" w:eastAsia="Arial" w:hAnsi="Arial"/>
          <w:sz w:val="19"/>
          <w:szCs w:val="19"/>
          <w:color w:val="auto"/>
        </w:rPr>
        <w:t>. During the Term, if within twelve (12) months after a Sale Event, the Executive’s employment is terminated by the Company without Cause as provided in Section 3(d) or the Executive terminates her employment for Good Reason as provided in Section 3(e), then, subject to the signing of the Separation Agreement and Release by the Executive and the Separation Agreement and Release becoming irrevocable, all within 60 days after the Date of Termination,</w:t>
      </w:r>
    </w:p>
    <w:p>
      <w:pPr>
        <w:spacing w:after="0" w:line="147" w:lineRule="exact"/>
        <w:rPr>
          <w:rFonts w:ascii="Arial" w:cs="Arial" w:eastAsia="Arial" w:hAnsi="Arial"/>
          <w:sz w:val="19"/>
          <w:szCs w:val="19"/>
          <w:color w:val="auto"/>
        </w:rPr>
      </w:pPr>
    </w:p>
    <w:p>
      <w:pPr>
        <w:ind w:left="800" w:right="199" w:firstLine="1295"/>
        <w:spacing w:after="0" w:line="273" w:lineRule="auto"/>
        <w:tabs>
          <w:tab w:leader="none" w:pos="2814" w:val="left"/>
        </w:tabs>
        <w:numPr>
          <w:ilvl w:val="3"/>
          <w:numId w:val="10"/>
        </w:numPr>
        <w:rPr>
          <w:rFonts w:ascii="Arial" w:cs="Arial" w:eastAsia="Arial" w:hAnsi="Arial"/>
          <w:sz w:val="19"/>
          <w:szCs w:val="19"/>
          <w:color w:val="424242"/>
        </w:rPr>
      </w:pPr>
      <w:r>
        <w:rPr>
          <w:rFonts w:ascii="Arial" w:cs="Arial" w:eastAsia="Arial" w:hAnsi="Arial"/>
          <w:sz w:val="19"/>
          <w:szCs w:val="19"/>
          <w:color w:val="auto"/>
        </w:rPr>
        <w:t>the Company shall pay the Executive a lump sum in cash in an amount equal to the sum of (A) one (1) times the Executive’s current Base Salary (or the Executive’s Base Salary in effect immediately prior to the Sale Event, if higher) plus (B) one</w:t>
      </w:r>
    </w:p>
    <w:p>
      <w:pPr>
        <w:spacing w:after="0" w:line="1" w:lineRule="exact"/>
        <w:rPr>
          <w:rFonts w:ascii="Arial" w:cs="Arial" w:eastAsia="Arial" w:hAnsi="Arial"/>
          <w:sz w:val="19"/>
          <w:szCs w:val="19"/>
          <w:color w:val="424242"/>
        </w:rPr>
      </w:pPr>
    </w:p>
    <w:p>
      <w:pPr>
        <w:ind w:left="800"/>
        <w:spacing w:after="0"/>
        <w:rPr>
          <w:rFonts w:ascii="Arial" w:cs="Arial" w:eastAsia="Arial" w:hAnsi="Arial"/>
          <w:sz w:val="19"/>
          <w:szCs w:val="19"/>
          <w:color w:val="424242"/>
        </w:rPr>
      </w:pPr>
      <w:r>
        <w:rPr>
          <w:rFonts w:ascii="Arial" w:cs="Arial" w:eastAsia="Arial" w:hAnsi="Arial"/>
          <w:sz w:val="22"/>
          <w:szCs w:val="22"/>
          <w:color w:val="auto"/>
        </w:rPr>
        <w:t>(1) times the Executive’s Target Incentive Compensation; and</w:t>
      </w:r>
    </w:p>
    <w:p>
      <w:pPr>
        <w:spacing w:after="0" w:line="188" w:lineRule="exact"/>
        <w:rPr>
          <w:rFonts w:ascii="Arial" w:cs="Arial" w:eastAsia="Arial" w:hAnsi="Arial"/>
          <w:sz w:val="19"/>
          <w:szCs w:val="19"/>
          <w:color w:val="424242"/>
        </w:rPr>
      </w:pPr>
    </w:p>
    <w:p>
      <w:pPr>
        <w:ind w:left="800" w:right="419" w:firstLine="1295"/>
        <w:spacing w:after="0" w:line="297" w:lineRule="auto"/>
        <w:tabs>
          <w:tab w:leader="none" w:pos="2847" w:val="left"/>
        </w:tabs>
        <w:numPr>
          <w:ilvl w:val="3"/>
          <w:numId w:val="10"/>
        </w:numPr>
        <w:rPr>
          <w:rFonts w:ascii="Arial" w:cs="Arial" w:eastAsia="Arial" w:hAnsi="Arial"/>
          <w:sz w:val="19"/>
          <w:szCs w:val="19"/>
          <w:color w:val="424242"/>
        </w:rPr>
      </w:pPr>
      <w:r>
        <w:rPr>
          <w:rFonts w:ascii="Arial" w:cs="Arial" w:eastAsia="Arial" w:hAnsi="Arial"/>
          <w:sz w:val="19"/>
          <w:szCs w:val="19"/>
          <w:color w:val="auto"/>
        </w:rPr>
        <w:t>if the Executive was participating in the Company’s group health plan immediately prior to the Date of Termination and elects COBRA health continuation, then the Company shall pay to the Executive a monthly cash payment for</w:t>
      </w:r>
    </w:p>
    <w:p>
      <w:pPr>
        <w:spacing w:after="0" w:line="200" w:lineRule="exact"/>
        <w:rPr>
          <w:sz w:val="20"/>
          <w:szCs w:val="20"/>
          <w:color w:val="auto"/>
        </w:rPr>
      </w:pPr>
    </w:p>
    <w:p>
      <w:pPr>
        <w:spacing w:after="0" w:line="36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230505</wp:posOffset>
            </wp:positionV>
            <wp:extent cx="554863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9" w:name="page10"/>
    <w:bookmarkEnd w:id="9"/>
    <w:p>
      <w:pPr>
        <w:ind w:left="800" w:right="339"/>
        <w:spacing w:after="0" w:line="238" w:lineRule="auto"/>
        <w:rPr>
          <w:sz w:val="20"/>
          <w:szCs w:val="20"/>
          <w:color w:val="auto"/>
        </w:rPr>
      </w:pPr>
      <w:r>
        <w:rPr>
          <w:rFonts w:ascii="Arial" w:cs="Arial" w:eastAsia="Arial" w:hAnsi="Arial"/>
          <w:sz w:val="22"/>
          <w:szCs w:val="22"/>
          <w:color w:val="auto"/>
        </w:rPr>
        <w:t>twelve (12) months or the Executive’s COBRA health continuation period, whichever ends earlier, in an amount equal to the monthly employer contribution that the Company would have made to provide health insurance to the Executive if the Executive had remained employed by the Company; and</w:t>
      </w:r>
    </w:p>
    <w:p>
      <w:pPr>
        <w:spacing w:after="0" w:line="186" w:lineRule="exact"/>
        <w:rPr>
          <w:sz w:val="20"/>
          <w:szCs w:val="20"/>
          <w:color w:val="auto"/>
        </w:rPr>
      </w:pPr>
    </w:p>
    <w:p>
      <w:pPr>
        <w:ind w:left="800" w:right="319" w:firstLine="1295"/>
        <w:spacing w:after="0" w:line="246" w:lineRule="auto"/>
        <w:tabs>
          <w:tab w:leader="none" w:pos="2866" w:val="left"/>
        </w:tabs>
        <w:numPr>
          <w:ilvl w:val="0"/>
          <w:numId w:val="11"/>
        </w:numPr>
        <w:rPr>
          <w:rFonts w:ascii="Arial" w:cs="Arial" w:eastAsia="Arial" w:hAnsi="Arial"/>
          <w:sz w:val="21"/>
          <w:szCs w:val="21"/>
          <w:color w:val="424242"/>
        </w:rPr>
      </w:pPr>
      <w:r>
        <w:rPr>
          <w:rFonts w:ascii="Arial" w:cs="Arial" w:eastAsia="Arial" w:hAnsi="Arial"/>
          <w:sz w:val="21"/>
          <w:szCs w:val="21"/>
          <w:color w:val="auto"/>
        </w:rPr>
        <w:t>all time-based stock options and other time-based stock-based awards held by the Executive shall accelerate and become fully exercisable or non-forfeitable as of the Date of Termination; provided that, if any stock options or other stock-based awards held by the Executive prior to the Effective Date have accelerated vesting terms that are more favorable to the Executive than those set forth in this Section 5(a)(iii), the vesting terms of those stock options or other stock-based awards shall apply as opposed to the accelerated vesting terms set forth in this Section 5(a)(iii) solely with respect to such awards.</w:t>
      </w:r>
    </w:p>
    <w:p>
      <w:pPr>
        <w:spacing w:after="0" w:line="181" w:lineRule="exact"/>
        <w:rPr>
          <w:sz w:val="20"/>
          <w:szCs w:val="20"/>
          <w:color w:val="auto"/>
        </w:rPr>
      </w:pPr>
    </w:p>
    <w:p>
      <w:pPr>
        <w:ind w:left="240" w:right="239"/>
        <w:spacing w:after="0" w:line="287" w:lineRule="auto"/>
        <w:rPr>
          <w:sz w:val="20"/>
          <w:szCs w:val="20"/>
          <w:color w:val="auto"/>
        </w:rPr>
      </w:pPr>
      <w:r>
        <w:rPr>
          <w:rFonts w:ascii="Arial" w:cs="Arial" w:eastAsia="Arial" w:hAnsi="Arial"/>
          <w:sz w:val="19"/>
          <w:szCs w:val="19"/>
          <w:color w:val="auto"/>
        </w:rPr>
        <w:t>The amounts payable under Section 5(a)(i) and (ii) shall be paid or commence to be paid within 60 days after the Date of Termination; provided however, that if the 60-day period begins in one calendar year and ends in a second calendar year, such payment shall be paid or commence to be paid in the second calendar year by the last day of such 60-day period.</w:t>
      </w:r>
    </w:p>
    <w:p>
      <w:pPr>
        <w:spacing w:after="0" w:line="143" w:lineRule="exact"/>
        <w:rPr>
          <w:sz w:val="20"/>
          <w:szCs w:val="20"/>
          <w:color w:val="auto"/>
        </w:rPr>
      </w:pPr>
    </w:p>
    <w:p>
      <w:pPr>
        <w:ind w:left="2140" w:hanging="693"/>
        <w:spacing w:after="0"/>
        <w:tabs>
          <w:tab w:leader="none" w:pos="2140" w:val="left"/>
        </w:tabs>
        <w:numPr>
          <w:ilvl w:val="1"/>
          <w:numId w:val="12"/>
        </w:numPr>
        <w:rPr>
          <w:rFonts w:ascii="Arial" w:cs="Arial" w:eastAsia="Arial" w:hAnsi="Arial"/>
          <w:sz w:val="22"/>
          <w:szCs w:val="22"/>
          <w:color w:val="auto"/>
        </w:rPr>
      </w:pPr>
      <w:r>
        <w:rPr>
          <w:rFonts w:ascii="Arial" w:cs="Arial" w:eastAsia="Arial" w:hAnsi="Arial"/>
          <w:sz w:val="22"/>
          <w:szCs w:val="22"/>
          <w:u w:val="single" w:color="auto"/>
          <w:color w:val="auto"/>
        </w:rPr>
        <w:t>Additional Limitation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800" w:right="199" w:firstLine="1295"/>
        <w:spacing w:after="0" w:line="268" w:lineRule="auto"/>
        <w:tabs>
          <w:tab w:leader="none" w:pos="2814" w:val="left"/>
        </w:tabs>
        <w:numPr>
          <w:ilvl w:val="2"/>
          <w:numId w:val="12"/>
        </w:numPr>
        <w:rPr>
          <w:rFonts w:ascii="Arial" w:cs="Arial" w:eastAsia="Arial" w:hAnsi="Arial"/>
          <w:sz w:val="19"/>
          <w:szCs w:val="19"/>
          <w:color w:val="auto"/>
        </w:rPr>
      </w:pPr>
      <w:r>
        <w:rPr>
          <w:rFonts w:ascii="Arial" w:cs="Arial" w:eastAsia="Arial" w:hAnsi="Arial"/>
          <w:sz w:val="19"/>
          <w:szCs w:val="19"/>
          <w:color w:val="auto"/>
        </w:rPr>
        <w:t>Anything in this Agreement to the contrary notwithstanding, in the event that the amount of any compensation, payment or distribution by the Company to or for the benefit of the Executive, whether paid or payable or distributed or distributable pursuant to the terms of this Agreement or otherwise, calculated in a manner consistent with Section 280G of the Internal Revenue Code of 1986, as amended (the “Code”) and the applicable regulations thereunder (the “Aggregate Payments”), would be subject to the excise tax imposed by Section 4999 of the Code, then the Aggregate Payments shall be reduced (but not below zero) so that the sum of all of the Aggregate Payments shall be $1.00 less than the amount at which the Executive becomes subject to the excise tax imposed by Section 4999 of the Code; provided that such reduction shall only occur if it would result in the Executive receiving a higher After Tax Amount (as defined below) than the Executive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w:t>
      </w:r>
    </w:p>
    <w:p>
      <w:pPr>
        <w:spacing w:after="0" w:line="4" w:lineRule="exact"/>
        <w:rPr>
          <w:rFonts w:ascii="Arial" w:cs="Arial" w:eastAsia="Arial" w:hAnsi="Arial"/>
          <w:sz w:val="19"/>
          <w:szCs w:val="19"/>
          <w:color w:val="auto"/>
        </w:rPr>
      </w:pPr>
    </w:p>
    <w:p>
      <w:pPr>
        <w:ind w:left="800" w:right="219" w:hanging="1"/>
        <w:spacing w:after="0" w:line="244" w:lineRule="auto"/>
        <w:tabs>
          <w:tab w:leader="none" w:pos="1106" w:val="left"/>
        </w:tabs>
        <w:numPr>
          <w:ilvl w:val="0"/>
          <w:numId w:val="13"/>
        </w:numPr>
        <w:rPr>
          <w:rFonts w:ascii="Arial" w:cs="Arial" w:eastAsia="Arial" w:hAnsi="Arial"/>
          <w:sz w:val="21"/>
          <w:szCs w:val="21"/>
          <w:color w:val="auto"/>
        </w:rPr>
      </w:pPr>
      <w:r>
        <w:rPr>
          <w:rFonts w:ascii="Arial" w:cs="Arial" w:eastAsia="Arial" w:hAnsi="Arial"/>
          <w:sz w:val="21"/>
          <w:szCs w:val="21"/>
          <w:color w:val="auto"/>
        </w:rPr>
        <w:t>cash payments not subject to Section 409A of the Code; (2) cash payments subject to Section 409A of the Code; (3) equitybased payments and acceleration; and (4) non-cash forms of benefits; provided that in the case of all the foregoing Aggregate Payments all amounts or payments that are not subject to calculation under Treas. Reg. §1.280G-1, Q&amp;A-24(b) or (c) shall be reduced before any amounts that are subject to calculation under Treas. Reg. §1.280G-1, Q&amp;A-24(b) or (c).</w:t>
      </w:r>
    </w:p>
    <w:p>
      <w:pPr>
        <w:spacing w:after="0" w:line="183" w:lineRule="exact"/>
        <w:rPr>
          <w:rFonts w:ascii="Arial" w:cs="Arial" w:eastAsia="Arial" w:hAnsi="Arial"/>
          <w:sz w:val="21"/>
          <w:szCs w:val="21"/>
          <w:color w:val="auto"/>
        </w:rPr>
      </w:pPr>
    </w:p>
    <w:p>
      <w:pPr>
        <w:ind w:left="800" w:right="199" w:firstLine="1295"/>
        <w:spacing w:after="0" w:line="297" w:lineRule="auto"/>
        <w:tabs>
          <w:tab w:leader="none" w:pos="2847" w:val="left"/>
        </w:tabs>
        <w:numPr>
          <w:ilvl w:val="2"/>
          <w:numId w:val="13"/>
        </w:numPr>
        <w:rPr>
          <w:rFonts w:ascii="Arial" w:cs="Arial" w:eastAsia="Arial" w:hAnsi="Arial"/>
          <w:sz w:val="19"/>
          <w:szCs w:val="19"/>
          <w:color w:val="auto"/>
        </w:rPr>
      </w:pPr>
      <w:r>
        <w:rPr>
          <w:rFonts w:ascii="Arial" w:cs="Arial" w:eastAsia="Arial" w:hAnsi="Arial"/>
          <w:sz w:val="19"/>
          <w:szCs w:val="19"/>
          <w:color w:val="auto"/>
        </w:rPr>
        <w:t>For purposes of this Section 5(b), the “After Tax Amount” means the amount of the Aggregate Payments less all federal, state, and local income, excise and employment taxes imposed on the Executive as a result of the Executive’s receipt of the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230505</wp:posOffset>
            </wp:positionV>
            <wp:extent cx="554863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0" w:name="page11"/>
    <w:bookmarkEnd w:id="10"/>
    <w:p>
      <w:pPr>
        <w:ind w:left="800" w:right="139"/>
        <w:spacing w:after="0" w:line="279" w:lineRule="auto"/>
        <w:rPr>
          <w:sz w:val="20"/>
          <w:szCs w:val="20"/>
          <w:color w:val="auto"/>
        </w:rPr>
      </w:pPr>
      <w:r>
        <w:rPr>
          <w:rFonts w:ascii="Arial" w:cs="Arial" w:eastAsia="Arial" w:hAnsi="Arial"/>
          <w:sz w:val="19"/>
          <w:szCs w:val="19"/>
          <w:color w:val="auto"/>
        </w:rPr>
        <w:t>Aggregate Payments. For purposes of determining the After Tax Amount, the Executive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w:t>
      </w:r>
    </w:p>
    <w:p>
      <w:pPr>
        <w:spacing w:after="0" w:line="151" w:lineRule="exact"/>
        <w:rPr>
          <w:sz w:val="20"/>
          <w:szCs w:val="20"/>
          <w:color w:val="auto"/>
        </w:rPr>
      </w:pPr>
    </w:p>
    <w:p>
      <w:pPr>
        <w:ind w:left="800" w:right="219" w:firstLine="1295"/>
        <w:spacing w:after="0" w:line="247" w:lineRule="auto"/>
        <w:tabs>
          <w:tab w:leader="none" w:pos="2866" w:val="left"/>
        </w:tabs>
        <w:numPr>
          <w:ilvl w:val="1"/>
          <w:numId w:val="14"/>
        </w:numPr>
        <w:rPr>
          <w:rFonts w:ascii="Arial" w:cs="Arial" w:eastAsia="Arial" w:hAnsi="Arial"/>
          <w:sz w:val="21"/>
          <w:szCs w:val="21"/>
          <w:color w:val="auto"/>
        </w:rPr>
      </w:pPr>
      <w:r>
        <w:rPr>
          <w:rFonts w:ascii="Arial" w:cs="Arial" w:eastAsia="Arial" w:hAnsi="Arial"/>
          <w:sz w:val="21"/>
          <w:szCs w:val="21"/>
          <w:color w:val="auto"/>
        </w:rPr>
        <w:t>The determination as to whether a reduction in the Aggregate Payments shall be made pursuant to Section 5(b)(i) shall be made by a nationally recognized accounting firm selected by the Company (the “Accounting Firm”), which shall provide detailed supporting calculations both to the Company and the Executive within 15 business days of the Date of Termination, if applicable, or at such earlier time as is reasonably requested by the Company or the Executive. Any determination by the Accounting Firm shall be binding upon the Company and the Executive.</w:t>
      </w:r>
    </w:p>
    <w:p>
      <w:pPr>
        <w:spacing w:after="0" w:line="178" w:lineRule="exact"/>
        <w:rPr>
          <w:rFonts w:ascii="Arial" w:cs="Arial" w:eastAsia="Arial" w:hAnsi="Arial"/>
          <w:sz w:val="21"/>
          <w:szCs w:val="21"/>
          <w:color w:val="auto"/>
        </w:rPr>
      </w:pPr>
    </w:p>
    <w:p>
      <w:pPr>
        <w:ind w:left="160" w:right="159" w:firstLine="1287"/>
        <w:spacing w:after="0" w:line="271" w:lineRule="auto"/>
        <w:tabs>
          <w:tab w:leader="none" w:pos="2155" w:val="left"/>
        </w:tabs>
        <w:numPr>
          <w:ilvl w:val="0"/>
          <w:numId w:val="15"/>
        </w:numPr>
        <w:rPr>
          <w:rFonts w:ascii="Arial" w:cs="Arial" w:eastAsia="Arial" w:hAnsi="Arial"/>
          <w:sz w:val="19"/>
          <w:szCs w:val="19"/>
          <w:color w:val="auto"/>
        </w:rPr>
      </w:pPr>
      <w:r>
        <w:rPr>
          <w:rFonts w:ascii="Arial" w:cs="Arial" w:eastAsia="Arial" w:hAnsi="Arial"/>
          <w:sz w:val="19"/>
          <w:szCs w:val="19"/>
          <w:u w:val="single" w:color="auto"/>
          <w:color w:val="auto"/>
        </w:rPr>
        <w:t>Sale Event Definition</w:t>
      </w:r>
      <w:r>
        <w:rPr>
          <w:rFonts w:ascii="Arial" w:cs="Arial" w:eastAsia="Arial" w:hAnsi="Arial"/>
          <w:sz w:val="19"/>
          <w:szCs w:val="19"/>
          <w:color w:val="auto"/>
        </w:rPr>
        <w:t>. For purposes of this Section 5, “Sale Event” shall mean (i) the sale of all or substantially all of the assets of the Company on a consolidated basis to an unrelated 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 Notwithstanding the foregoing, if the definition of Sale Event in an option agreement or stock-based award agreement between the Executive and the Company dated prior to the Effective Date (each, a “Pre-existing Equity Agreement”) is broader than this definition of Sale Event, the definition of Sale Event in such Pre-existing Equity Agreement shall apply solely with respect to the equity award covered by such Pre-existing Equity Agreement.</w:t>
      </w:r>
    </w:p>
    <w:p>
      <w:pPr>
        <w:spacing w:after="0" w:line="158" w:lineRule="exact"/>
        <w:rPr>
          <w:sz w:val="20"/>
          <w:szCs w:val="20"/>
          <w:color w:val="auto"/>
        </w:rPr>
      </w:pPr>
    </w:p>
    <w:p>
      <w:pPr>
        <w:ind w:left="160" w:right="139" w:firstLine="648"/>
        <w:spacing w:after="0" w:line="273" w:lineRule="auto"/>
        <w:rPr>
          <w:sz w:val="20"/>
          <w:szCs w:val="20"/>
          <w:color w:val="auto"/>
        </w:rPr>
      </w:pPr>
      <w:r>
        <w:rPr>
          <w:rFonts w:ascii="Arial" w:cs="Arial" w:eastAsia="Arial" w:hAnsi="Arial"/>
          <w:sz w:val="19"/>
          <w:szCs w:val="19"/>
          <w:color w:val="auto"/>
        </w:rPr>
        <w:t>Notwithstanding the foregoing, a “Sale Event” shall not be deemed to have occurred for purposes of the foregoing clauses (ii) and (iv) solely as the result of an acquisition of securities by the Company which, by reducing the number of shares of voting securities outstanding, increases the proportionate number of voting securities beneficially owned by any person to 50 percent or more of the combined voting power of all of the then outstanding voting securities; provided, however, that if any person referred to in this sentence shall thereafter become the beneficial owner of any additional shares of voting securities (other than pursuant to a stock split, stock dividend, or similar transaction or as a result of an acquisition of securities directly from the Company) and immediately thereafter beneficially owns 50 percent or more of the combined voting power of all of the then outstanding voting securities, then a “Sale Event” shall be deemed to have occurred for purposes of the foregoing clauses (ii) and (iv).</w:t>
      </w:r>
    </w:p>
    <w:p>
      <w:pPr>
        <w:spacing w:after="0" w:line="372"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230505</wp:posOffset>
            </wp:positionV>
            <wp:extent cx="554863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1" w:name="page12"/>
    <w:bookmarkEnd w:id="11"/>
    <w:p>
      <w:pPr>
        <w:ind w:left="1440" w:hanging="641"/>
        <w:spacing w:after="0"/>
        <w:tabs>
          <w:tab w:leader="none" w:pos="1440"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Section 409A</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60" w:right="259" w:firstLine="1287"/>
        <w:spacing w:after="0" w:line="270" w:lineRule="auto"/>
        <w:tabs>
          <w:tab w:leader="none" w:pos="2142" w:val="left"/>
        </w:tabs>
        <w:numPr>
          <w:ilvl w:val="1"/>
          <w:numId w:val="16"/>
        </w:numPr>
        <w:rPr>
          <w:rFonts w:ascii="Arial" w:cs="Arial" w:eastAsia="Arial" w:hAnsi="Arial"/>
          <w:sz w:val="19"/>
          <w:szCs w:val="19"/>
          <w:color w:val="auto"/>
        </w:rPr>
      </w:pPr>
      <w:r>
        <w:rPr>
          <w:rFonts w:ascii="Arial" w:cs="Arial" w:eastAsia="Arial" w:hAnsi="Arial"/>
          <w:sz w:val="19"/>
          <w:szCs w:val="19"/>
          <w:color w:val="auto"/>
        </w:rPr>
        <w:t>Anything in this Agreement to the contrary notwithstanding, if at the time of the Executive’s separation from service within the meaning of Section 409A of the Code, the Company determines that the Executive is a “specified employee” within the meaning of Section 409A(a)(2)(B)(i) of the Code, then to the extent any payment or benefit that the Executive becomes entitled to under this Agreement on account of the Executive’s separation from service would be considered deferred compensation otherwise subject to the 20 percent additional tax</w:t>
      </w:r>
    </w:p>
    <w:p>
      <w:pPr>
        <w:spacing w:after="0" w:line="1" w:lineRule="exact"/>
        <w:rPr>
          <w:rFonts w:ascii="Arial" w:cs="Arial" w:eastAsia="Arial" w:hAnsi="Arial"/>
          <w:sz w:val="19"/>
          <w:szCs w:val="19"/>
          <w:color w:val="auto"/>
        </w:rPr>
      </w:pPr>
    </w:p>
    <w:p>
      <w:pPr>
        <w:ind w:left="160"/>
        <w:spacing w:after="0"/>
        <w:rPr>
          <w:rFonts w:ascii="Arial" w:cs="Arial" w:eastAsia="Arial" w:hAnsi="Arial"/>
          <w:sz w:val="19"/>
          <w:szCs w:val="19"/>
          <w:color w:val="auto"/>
        </w:rPr>
      </w:pPr>
      <w:r>
        <w:rPr>
          <w:rFonts w:ascii="Arial" w:cs="Arial" w:eastAsia="Arial" w:hAnsi="Arial"/>
          <w:sz w:val="19"/>
          <w:szCs w:val="19"/>
          <w:color w:val="auto"/>
        </w:rPr>
        <w:t>imposed pursuant to Section 409A(a) of the Code as a result of the application of Section 409A(a)</w:t>
      </w:r>
    </w:p>
    <w:p>
      <w:pPr>
        <w:spacing w:after="0" w:line="24" w:lineRule="exact"/>
        <w:rPr>
          <w:rFonts w:ascii="Arial" w:cs="Arial" w:eastAsia="Arial" w:hAnsi="Arial"/>
          <w:sz w:val="19"/>
          <w:szCs w:val="19"/>
          <w:color w:val="auto"/>
        </w:rPr>
      </w:pPr>
    </w:p>
    <w:p>
      <w:pPr>
        <w:ind w:left="160" w:right="199"/>
        <w:spacing w:after="0" w:line="267" w:lineRule="auto"/>
        <w:rPr>
          <w:rFonts w:ascii="Arial" w:cs="Arial" w:eastAsia="Arial" w:hAnsi="Arial"/>
          <w:sz w:val="19"/>
          <w:szCs w:val="19"/>
          <w:color w:val="auto"/>
        </w:rPr>
      </w:pPr>
      <w:r>
        <w:rPr>
          <w:rFonts w:ascii="Arial" w:cs="Arial" w:eastAsia="Arial" w:hAnsi="Arial"/>
          <w:sz w:val="19"/>
          <w:szCs w:val="19"/>
          <w:color w:val="auto"/>
        </w:rPr>
        <w:t>(2)(B)(i) of the Code, such payment shall not be payable and such benefit shall not be provided until the date that is the earlier of (A) six months and one day after the Executive’s separation</w:t>
      </w:r>
    </w:p>
    <w:p>
      <w:pPr>
        <w:ind w:left="160" w:right="239"/>
        <w:spacing w:after="0" w:line="233" w:lineRule="auto"/>
        <w:rPr>
          <w:rFonts w:ascii="Arial" w:cs="Arial" w:eastAsia="Arial" w:hAnsi="Arial"/>
          <w:sz w:val="19"/>
          <w:szCs w:val="19"/>
          <w:color w:val="auto"/>
        </w:rPr>
      </w:pPr>
      <w:r>
        <w:rPr>
          <w:rFonts w:ascii="Arial" w:cs="Arial" w:eastAsia="Arial" w:hAnsi="Arial"/>
          <w:sz w:val="22"/>
          <w:szCs w:val="22"/>
          <w:color w:val="auto"/>
        </w:rPr>
        <w:t>from service, or (B) the Executive’s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their original schedule.</w:t>
      </w:r>
    </w:p>
    <w:p>
      <w:pPr>
        <w:spacing w:after="0" w:line="185" w:lineRule="exact"/>
        <w:rPr>
          <w:rFonts w:ascii="Arial" w:cs="Arial" w:eastAsia="Arial" w:hAnsi="Arial"/>
          <w:sz w:val="19"/>
          <w:szCs w:val="19"/>
          <w:color w:val="auto"/>
        </w:rPr>
      </w:pPr>
    </w:p>
    <w:p>
      <w:pPr>
        <w:ind w:left="160" w:right="259" w:firstLine="1287"/>
        <w:spacing w:after="0" w:line="274" w:lineRule="auto"/>
        <w:tabs>
          <w:tab w:leader="none" w:pos="2154" w:val="left"/>
        </w:tabs>
        <w:numPr>
          <w:ilvl w:val="1"/>
          <w:numId w:val="16"/>
        </w:numPr>
        <w:rPr>
          <w:rFonts w:ascii="Arial" w:cs="Arial" w:eastAsia="Arial" w:hAnsi="Arial"/>
          <w:sz w:val="19"/>
          <w:szCs w:val="19"/>
          <w:color w:val="auto"/>
        </w:rPr>
      </w:pPr>
      <w:r>
        <w:rPr>
          <w:rFonts w:ascii="Arial" w:cs="Arial" w:eastAsia="Arial" w:hAnsi="Arial"/>
          <w:sz w:val="19"/>
          <w:szCs w:val="19"/>
          <w:color w:val="auto"/>
        </w:rPr>
        <w:t>All in-kind benefits provided and expenses eligible for reimbursement under this Agreement shall be provided by the Company or incurred by the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158" w:lineRule="exact"/>
        <w:rPr>
          <w:rFonts w:ascii="Arial" w:cs="Arial" w:eastAsia="Arial" w:hAnsi="Arial"/>
          <w:sz w:val="19"/>
          <w:szCs w:val="19"/>
          <w:color w:val="auto"/>
        </w:rPr>
      </w:pPr>
    </w:p>
    <w:p>
      <w:pPr>
        <w:ind w:left="160" w:right="479" w:firstLine="1287"/>
        <w:spacing w:after="0" w:line="279" w:lineRule="auto"/>
        <w:tabs>
          <w:tab w:leader="none" w:pos="2155" w:val="left"/>
        </w:tabs>
        <w:numPr>
          <w:ilvl w:val="1"/>
          <w:numId w:val="16"/>
        </w:numPr>
        <w:rPr>
          <w:rFonts w:ascii="Arial" w:cs="Arial" w:eastAsia="Arial" w:hAnsi="Arial"/>
          <w:sz w:val="19"/>
          <w:szCs w:val="19"/>
          <w:color w:val="auto"/>
        </w:rPr>
      </w:pPr>
      <w:r>
        <w:rPr>
          <w:rFonts w:ascii="Arial" w:cs="Arial" w:eastAsia="Arial" w:hAnsi="Arial"/>
          <w:sz w:val="19"/>
          <w:szCs w:val="19"/>
          <w:color w:val="auto"/>
        </w:rPr>
        <w:t>To the extent that any payment or benefit described in this Agreement constitutes “non-qualified deferred compensation” under Section 409A of the Code, and to the extent that such payment or benefit is payable upon the Executive’s termination of employment, then such payments or benefits shall be payable only upon the Executive’s “separation from service.” The determination of whether and when a separation from service has occurred shall be made in accordance with the presumptions set forth in Treasury Regulation Section 1.409A-1(h).</w:t>
      </w:r>
    </w:p>
    <w:p>
      <w:pPr>
        <w:spacing w:after="0" w:line="150" w:lineRule="exact"/>
        <w:rPr>
          <w:rFonts w:ascii="Arial" w:cs="Arial" w:eastAsia="Arial" w:hAnsi="Arial"/>
          <w:sz w:val="19"/>
          <w:szCs w:val="19"/>
          <w:color w:val="auto"/>
        </w:rPr>
      </w:pPr>
    </w:p>
    <w:p>
      <w:pPr>
        <w:ind w:left="160" w:right="199" w:firstLine="1287"/>
        <w:spacing w:after="0" w:line="274" w:lineRule="auto"/>
        <w:tabs>
          <w:tab w:leader="none" w:pos="2154" w:val="left"/>
        </w:tabs>
        <w:numPr>
          <w:ilvl w:val="1"/>
          <w:numId w:val="16"/>
        </w:numPr>
        <w:rPr>
          <w:rFonts w:ascii="Arial" w:cs="Arial" w:eastAsia="Arial" w:hAnsi="Arial"/>
          <w:sz w:val="19"/>
          <w:szCs w:val="19"/>
          <w:color w:val="auto"/>
        </w:rPr>
      </w:pPr>
      <w:r>
        <w:rPr>
          <w:rFonts w:ascii="Arial" w:cs="Arial" w:eastAsia="Arial" w:hAnsi="Arial"/>
          <w:sz w:val="19"/>
          <w:szCs w:val="19"/>
          <w:color w:val="auto"/>
        </w:rPr>
        <w:t>The parties intend that this Agreement will be administered in accordance with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is intended to constitute a separate payment for purposes of Treasury Regulation Section 1.409A-2(b)(2).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230505</wp:posOffset>
            </wp:positionV>
            <wp:extent cx="554863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2" w:name="page13"/>
    <w:bookmarkEnd w:id="12"/>
    <w:p>
      <w:pPr>
        <w:jc w:val="both"/>
        <w:ind w:left="160" w:right="159" w:firstLine="1287"/>
        <w:spacing w:after="0" w:line="238" w:lineRule="auto"/>
        <w:tabs>
          <w:tab w:leader="none" w:pos="2142" w:val="left"/>
        </w:tabs>
        <w:numPr>
          <w:ilvl w:val="1"/>
          <w:numId w:val="17"/>
        </w:numPr>
        <w:rPr>
          <w:rFonts w:ascii="Arial" w:cs="Arial" w:eastAsia="Arial" w:hAnsi="Arial"/>
          <w:sz w:val="22"/>
          <w:szCs w:val="22"/>
          <w:color w:val="auto"/>
        </w:rPr>
      </w:pPr>
      <w:r>
        <w:rPr>
          <w:rFonts w:ascii="Arial" w:cs="Arial" w:eastAsia="Arial" w:hAnsi="Arial"/>
          <w:sz w:val="22"/>
          <w:szCs w:val="22"/>
          <w:color w:val="auto"/>
        </w:rPr>
        <w:t>The Company makes no representation or warranty and shall have no liability to the Executive or any other person if any provisions of this Agreement are determined to constitute deferred compensation subject to Section 409A of the Code but do not satisfy an exemption from, or the conditions of, such Section.</w:t>
      </w:r>
    </w:p>
    <w:p>
      <w:pPr>
        <w:spacing w:after="0" w:line="185" w:lineRule="exact"/>
        <w:rPr>
          <w:rFonts w:ascii="Arial" w:cs="Arial" w:eastAsia="Arial" w:hAnsi="Arial"/>
          <w:sz w:val="22"/>
          <w:szCs w:val="22"/>
          <w:color w:val="auto"/>
        </w:rPr>
      </w:pPr>
    </w:p>
    <w:p>
      <w:pPr>
        <w:ind w:left="160" w:right="339" w:firstLine="639"/>
        <w:spacing w:after="0" w:line="236" w:lineRule="auto"/>
        <w:tabs>
          <w:tab w:leader="none" w:pos="1483"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Restrictive Covenants</w:t>
      </w:r>
      <w:r>
        <w:rPr>
          <w:rFonts w:ascii="Arial" w:cs="Arial" w:eastAsia="Arial" w:hAnsi="Arial"/>
          <w:sz w:val="22"/>
          <w:szCs w:val="22"/>
          <w:color w:val="auto"/>
        </w:rPr>
        <w:t>. The Executive hereby acknowledges that the terms of the Non-Solicitation, Non-Competition, Confidentiality and Assignment Agreement, dated as of November 15, 2014, by and between the Company and the Executive (the “Restrictive Covenants Agreement”) are hereby incorporated by reference as material terms of this Agreement and remain in full force and effect.</w:t>
      </w:r>
    </w:p>
    <w:p>
      <w:pPr>
        <w:spacing w:after="0" w:line="187" w:lineRule="exact"/>
        <w:rPr>
          <w:rFonts w:ascii="Arial" w:cs="Arial" w:eastAsia="Arial" w:hAnsi="Arial"/>
          <w:sz w:val="22"/>
          <w:szCs w:val="22"/>
          <w:color w:val="auto"/>
        </w:rPr>
      </w:pPr>
    </w:p>
    <w:p>
      <w:pPr>
        <w:ind w:left="160" w:right="139" w:firstLine="639"/>
        <w:spacing w:after="0" w:line="271" w:lineRule="auto"/>
        <w:tabs>
          <w:tab w:leader="none" w:pos="1483"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Arbitration of Disputes</w:t>
      </w:r>
      <w:r>
        <w:rPr>
          <w:rFonts w:ascii="Arial" w:cs="Arial" w:eastAsia="Arial" w:hAnsi="Arial"/>
          <w:sz w:val="19"/>
          <w:szCs w:val="19"/>
          <w:color w:val="auto"/>
        </w:rPr>
        <w:t>. Any controversy or claim arising out of or relating to this Agreement or the breach thereof or otherwise arising out of the Executive’s employment or the termination of that employment (including, without limitation, any claims of unlawful employment discrimination whether based on age or otherwise) shall, to the fullest extent permitted by law, be settled by arbitration in any forum and form agreed upon by the parties or, in the absence of such an agreement, under the auspices of the American Arbitration Association (“AAA”) in Boston, Massachusetts in accordance with the Employment Dispute Resolution Rules of the AAA, including, but not limited to, the rules and procedures applicable to the selection of arbitrators. In the event that any person or entity other than the Executive or the Company may be a party with regard to any such controversy or claim, such controversy or claim shall be submitted to arbitration subject to such other person or entity’s agreement. Judgment upon the award rendered by the arbitrator may be entered in any court having jurisdiction thereof. This Section 8 shall be specifically enforceable. Notwithstanding the foregoing, this Section 8 shall not preclude either party from pursuing a court action for the sole purpose of obtaining a temporary restraining order or a preliminary injunction in circumstances in which such relief is appropriate; provided that any other relief shall be pursued through an arbitration proceeding pursuant to this Section 8.</w:t>
      </w:r>
    </w:p>
    <w:p>
      <w:pPr>
        <w:spacing w:after="0" w:line="158" w:lineRule="exact"/>
        <w:rPr>
          <w:rFonts w:ascii="Arial" w:cs="Arial" w:eastAsia="Arial" w:hAnsi="Arial"/>
          <w:sz w:val="19"/>
          <w:szCs w:val="19"/>
          <w:color w:val="auto"/>
        </w:rPr>
      </w:pPr>
    </w:p>
    <w:p>
      <w:pPr>
        <w:jc w:val="both"/>
        <w:ind w:left="160" w:right="139" w:firstLine="639"/>
        <w:spacing w:after="0" w:line="247" w:lineRule="auto"/>
        <w:tabs>
          <w:tab w:leader="none" w:pos="1510" w:val="left"/>
        </w:tabs>
        <w:numPr>
          <w:ilvl w:val="0"/>
          <w:numId w:val="18"/>
        </w:numPr>
        <w:rPr>
          <w:rFonts w:ascii="Arial" w:cs="Arial" w:eastAsia="Arial" w:hAnsi="Arial"/>
          <w:sz w:val="21"/>
          <w:szCs w:val="21"/>
          <w:color w:val="auto"/>
        </w:rPr>
      </w:pPr>
      <w:r>
        <w:rPr>
          <w:rFonts w:ascii="Arial" w:cs="Arial" w:eastAsia="Arial" w:hAnsi="Arial"/>
          <w:sz w:val="21"/>
          <w:szCs w:val="21"/>
          <w:u w:val="single" w:color="auto"/>
          <w:color w:val="auto"/>
        </w:rPr>
        <w:t>Consent to Jurisdiction</w:t>
      </w:r>
      <w:r>
        <w:rPr>
          <w:rFonts w:ascii="Arial" w:cs="Arial" w:eastAsia="Arial" w:hAnsi="Arial"/>
          <w:sz w:val="21"/>
          <w:szCs w:val="21"/>
          <w:color w:val="auto"/>
        </w:rPr>
        <w:t>. To the extent that any court action is permitted consistent with or to enforce Section 8 of this Agreement, the parties hereby consent to the jurisdiction of the Superior Court of the Commonwealth of Massachusetts and the United States District Court for the District of Massachusetts. Accordingly, with respect to any such court action, the Executive (a) submits to the personal jurisdiction of such courts; (b) consents to service of process; and (c) waives any other requirement (whether imposed by statute, rule of court, or otherwise) with respect to personal jurisdiction or service of process.</w:t>
      </w:r>
    </w:p>
    <w:p>
      <w:pPr>
        <w:spacing w:after="0" w:line="178" w:lineRule="exact"/>
        <w:rPr>
          <w:rFonts w:ascii="Arial" w:cs="Arial" w:eastAsia="Arial" w:hAnsi="Arial"/>
          <w:sz w:val="21"/>
          <w:szCs w:val="21"/>
          <w:color w:val="auto"/>
        </w:rPr>
      </w:pPr>
    </w:p>
    <w:p>
      <w:pPr>
        <w:jc w:val="both"/>
        <w:ind w:left="160" w:right="139" w:firstLine="639"/>
        <w:spacing w:after="0" w:line="236" w:lineRule="auto"/>
        <w:tabs>
          <w:tab w:leader="none" w:pos="1524"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Integration</w:t>
      </w:r>
      <w:r>
        <w:rPr>
          <w:rFonts w:ascii="Arial" w:cs="Arial" w:eastAsia="Arial" w:hAnsi="Arial"/>
          <w:sz w:val="22"/>
          <w:szCs w:val="22"/>
          <w:color w:val="auto"/>
        </w:rPr>
        <w:t>. This Agreement constitutes the entire agreement between the parties with respect to the subject matter hereof and supersedes the Prior Agreement as well as all other prior agreements, written or oral, between the parties concerning such subject matter; provided that the Restrictive Covenants Agreement and any Pre-Existing Equity Agreement are expressly preserved and incorporated by reference herein.</w:t>
      </w:r>
    </w:p>
    <w:p>
      <w:pPr>
        <w:spacing w:after="0" w:line="187" w:lineRule="exact"/>
        <w:rPr>
          <w:rFonts w:ascii="Arial" w:cs="Arial" w:eastAsia="Arial" w:hAnsi="Arial"/>
          <w:sz w:val="22"/>
          <w:szCs w:val="22"/>
          <w:color w:val="auto"/>
        </w:rPr>
      </w:pPr>
    </w:p>
    <w:p>
      <w:pPr>
        <w:ind w:left="160" w:right="339" w:firstLine="639"/>
        <w:spacing w:after="0"/>
        <w:tabs>
          <w:tab w:leader="none" w:pos="1475"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Withholding</w:t>
      </w:r>
      <w:r>
        <w:rPr>
          <w:rFonts w:ascii="Arial" w:cs="Arial" w:eastAsia="Arial" w:hAnsi="Arial"/>
          <w:sz w:val="22"/>
          <w:szCs w:val="22"/>
          <w:color w:val="auto"/>
        </w:rPr>
        <w:t>. All payments made by the Company to the Executive under this Agreement shall be net of any tax or other amounts required to be withheld by the Company under applicable law.</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230505</wp:posOffset>
            </wp:positionV>
            <wp:extent cx="554863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3" w:name="page14"/>
    <w:bookmarkEnd w:id="13"/>
    <w:p>
      <w:pPr>
        <w:ind w:left="160" w:right="179" w:firstLine="639"/>
        <w:spacing w:after="0" w:line="271" w:lineRule="auto"/>
        <w:tabs>
          <w:tab w:leader="none" w:pos="1483"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Successor to the Executive</w:t>
      </w:r>
      <w:r>
        <w:rPr>
          <w:rFonts w:ascii="Arial" w:cs="Arial" w:eastAsia="Arial" w:hAnsi="Arial"/>
          <w:sz w:val="19"/>
          <w:szCs w:val="19"/>
          <w:color w:val="auto"/>
        </w:rPr>
        <w:t>. This Agreement shall inure to the benefit of and be enforceable by the Executive’s personal representatives, executors, administrators, heirs, distributees, devisees and legatees. In the event of the Executive’s death after her termination of employment but prior to the completion by the Company of all payments due to the Executive under this Agreement, the Company shall continue such payments to the Executive’s</w:t>
      </w:r>
    </w:p>
    <w:p>
      <w:pPr>
        <w:ind w:left="160" w:right="159"/>
        <w:spacing w:after="0" w:line="237" w:lineRule="auto"/>
        <w:rPr>
          <w:rFonts w:ascii="Arial" w:cs="Arial" w:eastAsia="Arial" w:hAnsi="Arial"/>
          <w:sz w:val="19"/>
          <w:szCs w:val="19"/>
          <w:color w:val="auto"/>
        </w:rPr>
      </w:pPr>
      <w:r>
        <w:rPr>
          <w:rFonts w:ascii="Arial" w:cs="Arial" w:eastAsia="Arial" w:hAnsi="Arial"/>
          <w:sz w:val="22"/>
          <w:szCs w:val="22"/>
          <w:color w:val="auto"/>
        </w:rPr>
        <w:t>beneficiary designated in writing to the Company prior to her death (or to her estate, if the Executive fails to make such designation).</w:t>
      </w:r>
    </w:p>
    <w:p>
      <w:pPr>
        <w:spacing w:after="0" w:line="184" w:lineRule="exact"/>
        <w:rPr>
          <w:rFonts w:ascii="Arial" w:cs="Arial" w:eastAsia="Arial" w:hAnsi="Arial"/>
          <w:sz w:val="19"/>
          <w:szCs w:val="19"/>
          <w:color w:val="auto"/>
        </w:rPr>
      </w:pPr>
    </w:p>
    <w:p>
      <w:pPr>
        <w:ind w:left="160" w:right="379" w:firstLine="639"/>
        <w:spacing w:after="0" w:line="279" w:lineRule="auto"/>
        <w:tabs>
          <w:tab w:leader="none" w:pos="1483"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Enforceability</w:t>
      </w:r>
      <w:r>
        <w:rPr>
          <w:rFonts w:ascii="Arial" w:cs="Arial" w:eastAsia="Arial" w:hAnsi="Arial"/>
          <w:sz w:val="19"/>
          <w:szCs w:val="19"/>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50" w:lineRule="exact"/>
        <w:rPr>
          <w:rFonts w:ascii="Arial" w:cs="Arial" w:eastAsia="Arial" w:hAnsi="Arial"/>
          <w:sz w:val="19"/>
          <w:szCs w:val="19"/>
          <w:color w:val="auto"/>
        </w:rPr>
      </w:pPr>
    </w:p>
    <w:p>
      <w:pPr>
        <w:ind w:left="160" w:right="679" w:firstLine="639"/>
        <w:spacing w:after="0"/>
        <w:tabs>
          <w:tab w:leader="none" w:pos="1483"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Survival</w:t>
      </w:r>
      <w:r>
        <w:rPr>
          <w:rFonts w:ascii="Arial" w:cs="Arial" w:eastAsia="Arial" w:hAnsi="Arial"/>
          <w:sz w:val="22"/>
          <w:szCs w:val="22"/>
          <w:color w:val="auto"/>
        </w:rPr>
        <w:t>. The provisions of this Agreement shall survive the termination of this Agreement and/or the termination of the Executive’s employment to the extent necessary to effectuate the terms contained herein.</w:t>
      </w:r>
    </w:p>
    <w:p>
      <w:pPr>
        <w:spacing w:after="0" w:line="186" w:lineRule="exact"/>
        <w:rPr>
          <w:rFonts w:ascii="Arial" w:cs="Arial" w:eastAsia="Arial" w:hAnsi="Arial"/>
          <w:sz w:val="22"/>
          <w:szCs w:val="22"/>
          <w:color w:val="auto"/>
        </w:rPr>
      </w:pPr>
    </w:p>
    <w:p>
      <w:pPr>
        <w:ind w:left="160" w:right="299" w:firstLine="639"/>
        <w:spacing w:after="0" w:line="236" w:lineRule="auto"/>
        <w:tabs>
          <w:tab w:leader="none" w:pos="1483"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Waiver</w:t>
      </w:r>
      <w:r>
        <w:rPr>
          <w:rFonts w:ascii="Arial" w:cs="Arial" w:eastAsia="Arial" w:hAnsi="Arial"/>
          <w:sz w:val="22"/>
          <w:szCs w:val="22"/>
          <w:color w:val="auto"/>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187" w:lineRule="exact"/>
        <w:rPr>
          <w:rFonts w:ascii="Arial" w:cs="Arial" w:eastAsia="Arial" w:hAnsi="Arial"/>
          <w:sz w:val="22"/>
          <w:szCs w:val="22"/>
          <w:color w:val="auto"/>
        </w:rPr>
      </w:pPr>
    </w:p>
    <w:p>
      <w:pPr>
        <w:ind w:left="160" w:right="319" w:firstLine="639"/>
        <w:spacing w:after="0" w:line="282" w:lineRule="auto"/>
        <w:tabs>
          <w:tab w:leader="none" w:pos="1483"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Any notices, requests, demands and other communications provided for by this Agreement shall be sufficient if in writing and delivered in person or sent by a nationally recognized overnight courier service or by registered or certified mail, postage prepaid, return receipt requested, to the Executive at the last address the Executive has filed in writing with the Company or, in the case of the Company, at its main offices, attention of the Board.</w:t>
      </w:r>
    </w:p>
    <w:p>
      <w:pPr>
        <w:spacing w:after="0" w:line="147" w:lineRule="exact"/>
        <w:rPr>
          <w:rFonts w:ascii="Arial" w:cs="Arial" w:eastAsia="Arial" w:hAnsi="Arial"/>
          <w:sz w:val="19"/>
          <w:szCs w:val="19"/>
          <w:color w:val="auto"/>
        </w:rPr>
      </w:pPr>
    </w:p>
    <w:p>
      <w:pPr>
        <w:jc w:val="both"/>
        <w:ind w:left="160" w:right="859" w:firstLine="639"/>
        <w:spacing w:after="0" w:line="328" w:lineRule="auto"/>
        <w:tabs>
          <w:tab w:leader="none" w:pos="1483"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Amendment</w:t>
      </w:r>
      <w:r>
        <w:rPr>
          <w:rFonts w:ascii="Arial" w:cs="Arial" w:eastAsia="Arial" w:hAnsi="Arial"/>
          <w:sz w:val="19"/>
          <w:szCs w:val="19"/>
          <w:color w:val="auto"/>
        </w:rPr>
        <w:t>. This Agreement may be amended or modified only by a written instrument signed by the Executive and by a duly authorized representative of the Company.</w:t>
      </w:r>
    </w:p>
    <w:p>
      <w:pPr>
        <w:spacing w:after="0" w:line="105" w:lineRule="exact"/>
        <w:rPr>
          <w:rFonts w:ascii="Arial" w:cs="Arial" w:eastAsia="Arial" w:hAnsi="Arial"/>
          <w:sz w:val="19"/>
          <w:szCs w:val="19"/>
          <w:color w:val="auto"/>
        </w:rPr>
      </w:pPr>
    </w:p>
    <w:p>
      <w:pPr>
        <w:ind w:left="160" w:right="259" w:firstLine="639"/>
        <w:spacing w:after="0" w:line="282" w:lineRule="auto"/>
        <w:tabs>
          <w:tab w:leader="none" w:pos="1483"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is a Massachusetts contract and shall be construed under and be governed in all respects by the laws of the Commonwealth of Massachusetts, without giving effect to the conflict of laws principles of such Commonwealth. With respect to any disputes concerning federal law, such disputes shall be determined in accordance with the law as it would be interpreted and applied by the United States Court of Appeals for the First Circuit.</w:t>
      </w:r>
    </w:p>
    <w:p>
      <w:pPr>
        <w:spacing w:after="0" w:line="147" w:lineRule="exact"/>
        <w:rPr>
          <w:rFonts w:ascii="Arial" w:cs="Arial" w:eastAsia="Arial" w:hAnsi="Arial"/>
          <w:sz w:val="19"/>
          <w:szCs w:val="19"/>
          <w:color w:val="auto"/>
        </w:rPr>
      </w:pPr>
    </w:p>
    <w:p>
      <w:pPr>
        <w:ind w:left="160" w:right="439" w:firstLine="639"/>
        <w:spacing w:after="0" w:line="282" w:lineRule="auto"/>
        <w:tabs>
          <w:tab w:leader="none" w:pos="1483"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any in any number of counterparts, each of which when so executed and delivered shall be taken to be an original, but such counterparts shall together constitute one and the same document. Counterparts may be delivered via facsimile, electronic mail (including pdf or any electronic signature complying with the U.S. Federal ESIGN Act of 2000) or other transmission method, and any counterpart so</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230505</wp:posOffset>
            </wp:positionV>
            <wp:extent cx="554863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4" w:name="page15"/>
    <w:bookmarkEnd w:id="14"/>
    <w:p>
      <w:pPr>
        <w:ind w:left="160" w:right="299"/>
        <w:spacing w:after="0" w:line="251" w:lineRule="auto"/>
        <w:rPr>
          <w:sz w:val="20"/>
          <w:szCs w:val="20"/>
          <w:color w:val="auto"/>
        </w:rPr>
      </w:pPr>
      <w:r>
        <w:rPr>
          <w:rFonts w:ascii="Arial" w:cs="Arial" w:eastAsia="Arial" w:hAnsi="Arial"/>
          <w:sz w:val="22"/>
          <w:szCs w:val="22"/>
          <w:color w:val="auto"/>
        </w:rPr>
        <w:t>delivered shall be deemed to have been duly and validly delivered and be valid and effective for all purposes.</w:t>
      </w:r>
    </w:p>
    <w:p>
      <w:pPr>
        <w:spacing w:after="0" w:line="174" w:lineRule="exact"/>
        <w:rPr>
          <w:sz w:val="20"/>
          <w:szCs w:val="20"/>
          <w:color w:val="auto"/>
        </w:rPr>
      </w:pPr>
    </w:p>
    <w:p>
      <w:pPr>
        <w:ind w:left="160" w:right="159" w:firstLine="639"/>
        <w:spacing w:after="0" w:line="279" w:lineRule="auto"/>
        <w:tabs>
          <w:tab w:leader="none" w:pos="1483" w:val="left"/>
        </w:tabs>
        <w:numPr>
          <w:ilvl w:val="0"/>
          <w:numId w:val="20"/>
        </w:numPr>
        <w:rPr>
          <w:rFonts w:ascii="Arial" w:cs="Arial" w:eastAsia="Arial" w:hAnsi="Arial"/>
          <w:sz w:val="19"/>
          <w:szCs w:val="19"/>
          <w:color w:val="auto"/>
        </w:rPr>
      </w:pPr>
      <w:r>
        <w:rPr>
          <w:rFonts w:ascii="Arial" w:cs="Arial" w:eastAsia="Arial" w:hAnsi="Arial"/>
          <w:sz w:val="19"/>
          <w:szCs w:val="19"/>
          <w:u w:val="single" w:color="auto"/>
          <w:color w:val="auto"/>
        </w:rPr>
        <w:t>Successor to Company</w:t>
      </w:r>
      <w:r>
        <w:rPr>
          <w:rFonts w:ascii="Arial" w:cs="Arial" w:eastAsia="Arial" w:hAnsi="Arial"/>
          <w:sz w:val="19"/>
          <w:szCs w:val="19"/>
          <w:color w:val="auto"/>
        </w:rPr>
        <w:t>. The Company shall require any successor (whether direct or indirect, by purchase, merger, consolidation or otherwise) to all or substantially all of the business or assets of the Company expressly to assume and agree to perform this Agreement to the same extent that the Company would be required to perform it if no succession had taken place. Failure of the Company to obtain an assumption of this Agreement at or prior to the effectiveness of any succession shall be a material breach of this Agreement.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230505</wp:posOffset>
            </wp:positionV>
            <wp:extent cx="554863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5" w:name="page16"/>
    <w:bookmarkEnd w:id="15"/>
    <w:p>
      <w:pPr>
        <w:ind w:left="160" w:right="439" w:firstLine="648"/>
        <w:spacing w:after="0" w:line="251" w:lineRule="auto"/>
        <w:rPr>
          <w:sz w:val="20"/>
          <w:szCs w:val="20"/>
          <w:color w:val="auto"/>
        </w:rPr>
      </w:pPr>
      <w:r>
        <w:rPr>
          <w:rFonts w:ascii="Arial" w:cs="Arial" w:eastAsia="Arial" w:hAnsi="Arial"/>
          <w:sz w:val="22"/>
          <w:szCs w:val="22"/>
          <w:color w:val="auto"/>
        </w:rPr>
        <w:t>IN WITNESS WHEREOF, the parties have executed this Agreement effective on the date and year first above written.</w:t>
      </w:r>
    </w:p>
    <w:p>
      <w:pPr>
        <w:spacing w:after="0" w:line="195" w:lineRule="exact"/>
        <w:rPr>
          <w:sz w:val="20"/>
          <w:szCs w:val="20"/>
          <w:color w:val="auto"/>
        </w:rPr>
      </w:pPr>
    </w:p>
    <w:p>
      <w:pPr>
        <w:ind w:left="4260"/>
        <w:spacing w:after="0"/>
        <w:rPr>
          <w:sz w:val="20"/>
          <w:szCs w:val="20"/>
          <w:color w:val="auto"/>
        </w:rPr>
      </w:pPr>
      <w:r>
        <w:rPr>
          <w:rFonts w:ascii="Arial" w:cs="Arial" w:eastAsia="Arial" w:hAnsi="Arial"/>
          <w:sz w:val="22"/>
          <w:szCs w:val="22"/>
          <w:b w:val="1"/>
          <w:bCs w:val="1"/>
          <w:color w:val="auto"/>
        </w:rPr>
        <w:t>BLUEPRINT MEDICINES CORPORATION</w:t>
      </w:r>
    </w:p>
    <w:p>
      <w:pPr>
        <w:spacing w:after="0" w:line="200" w:lineRule="exact"/>
        <w:rPr>
          <w:sz w:val="20"/>
          <w:szCs w:val="20"/>
          <w:color w:val="auto"/>
        </w:rPr>
      </w:pPr>
    </w:p>
    <w:p>
      <w:pPr>
        <w:spacing w:after="0" w:line="272" w:lineRule="exact"/>
        <w:rPr>
          <w:sz w:val="20"/>
          <w:szCs w:val="20"/>
          <w:color w:val="auto"/>
        </w:rPr>
      </w:pPr>
    </w:p>
    <w:tbl>
      <w:tblPr>
        <w:tblLayout w:type="fixed"/>
        <w:tblInd w:w="4260" w:type="dxa"/>
        <w:tblCellMar>
          <w:top w:w="0" w:type="dxa"/>
          <w:left w:w="0" w:type="dxa"/>
          <w:bottom w:w="0" w:type="dxa"/>
          <w:right w:w="0" w:type="dxa"/>
        </w:tblCellMar>
      </w:tblPr>
      <w:tr>
        <w:trPr>
          <w:trHeight w:val="253"/>
        </w:trPr>
        <w:tc>
          <w:tcPr>
            <w:tcW w:w="760" w:type="dxa"/>
            <w:vAlign w:val="bottom"/>
          </w:tcPr>
          <w:p>
            <w:pPr>
              <w:spacing w:after="0"/>
              <w:rPr>
                <w:sz w:val="20"/>
                <w:szCs w:val="20"/>
                <w:color w:val="auto"/>
              </w:rPr>
            </w:pPr>
            <w:r>
              <w:rPr>
                <w:rFonts w:ascii="Arial" w:cs="Arial" w:eastAsia="Arial" w:hAnsi="Arial"/>
                <w:sz w:val="22"/>
                <w:szCs w:val="22"/>
                <w:color w:val="auto"/>
              </w:rPr>
              <w:t>By:</w:t>
            </w:r>
          </w:p>
        </w:tc>
        <w:tc>
          <w:tcPr>
            <w:tcW w:w="3860" w:type="dxa"/>
            <w:vAlign w:val="bottom"/>
          </w:tcPr>
          <w:p>
            <w:pPr>
              <w:spacing w:after="0"/>
              <w:rPr>
                <w:sz w:val="20"/>
                <w:szCs w:val="20"/>
                <w:color w:val="auto"/>
              </w:rPr>
            </w:pPr>
            <w:r>
              <w:rPr>
                <w:rFonts w:ascii="Arial" w:cs="Arial" w:eastAsia="Arial" w:hAnsi="Arial"/>
                <w:sz w:val="22"/>
                <w:szCs w:val="22"/>
                <w:color w:val="auto"/>
              </w:rPr>
              <w:t>/s/ Jeffrey Albers</w:t>
            </w:r>
          </w:p>
        </w:tc>
        <w:tc>
          <w:tcPr>
            <w:tcW w:w="0" w:type="dxa"/>
            <w:vAlign w:val="bottom"/>
          </w:tcPr>
          <w:p>
            <w:pPr>
              <w:spacing w:after="0"/>
              <w:rPr>
                <w:sz w:val="1"/>
                <w:szCs w:val="1"/>
                <w:color w:val="auto"/>
              </w:rPr>
            </w:pPr>
          </w:p>
        </w:tc>
      </w:tr>
      <w:tr>
        <w:trPr>
          <w:trHeight w:val="21"/>
        </w:trPr>
        <w:tc>
          <w:tcPr>
            <w:tcW w:w="76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3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760" w:type="dxa"/>
            <w:vAlign w:val="bottom"/>
            <w:vMerge w:val="continue"/>
          </w:tcPr>
          <w:p>
            <w:pPr>
              <w:spacing w:after="0"/>
              <w:rPr>
                <w:sz w:val="18"/>
                <w:szCs w:val="18"/>
                <w:color w:val="auto"/>
              </w:rPr>
            </w:pPr>
          </w:p>
        </w:tc>
        <w:tc>
          <w:tcPr>
            <w:tcW w:w="3860" w:type="dxa"/>
            <w:vAlign w:val="bottom"/>
          </w:tcPr>
          <w:p>
            <w:pPr>
              <w:spacing w:after="0" w:line="216" w:lineRule="exact"/>
              <w:rPr>
                <w:sz w:val="20"/>
                <w:szCs w:val="20"/>
                <w:color w:val="auto"/>
              </w:rPr>
            </w:pPr>
            <w:r>
              <w:rPr>
                <w:rFonts w:ascii="Arial" w:cs="Arial" w:eastAsia="Arial" w:hAnsi="Arial"/>
                <w:sz w:val="22"/>
                <w:szCs w:val="22"/>
                <w:color w:val="auto"/>
              </w:rPr>
              <w:t>Jeffrey Albers</w:t>
            </w:r>
          </w:p>
        </w:tc>
        <w:tc>
          <w:tcPr>
            <w:tcW w:w="0" w:type="dxa"/>
            <w:vAlign w:val="bottom"/>
          </w:tcPr>
          <w:p>
            <w:pPr>
              <w:spacing w:after="0"/>
              <w:rPr>
                <w:sz w:val="1"/>
                <w:szCs w:val="1"/>
                <w:color w:val="auto"/>
              </w:rPr>
            </w:pPr>
          </w:p>
        </w:tc>
      </w:tr>
      <w:tr>
        <w:trPr>
          <w:trHeight w:val="275"/>
        </w:trPr>
        <w:tc>
          <w:tcPr>
            <w:tcW w:w="760" w:type="dxa"/>
            <w:vAlign w:val="bottom"/>
          </w:tcPr>
          <w:p>
            <w:pPr>
              <w:spacing w:after="0"/>
              <w:rPr>
                <w:sz w:val="20"/>
                <w:szCs w:val="20"/>
                <w:color w:val="auto"/>
              </w:rPr>
            </w:pPr>
            <w:r>
              <w:rPr>
                <w:rFonts w:ascii="Arial" w:cs="Arial" w:eastAsia="Arial" w:hAnsi="Arial"/>
                <w:sz w:val="22"/>
                <w:szCs w:val="22"/>
                <w:color w:val="auto"/>
              </w:rPr>
              <w:t>Title:</w:t>
            </w:r>
          </w:p>
        </w:tc>
        <w:tc>
          <w:tcPr>
            <w:tcW w:w="3860" w:type="dxa"/>
            <w:vAlign w:val="bottom"/>
          </w:tcPr>
          <w:p>
            <w:pPr>
              <w:spacing w:after="0"/>
              <w:rPr>
                <w:sz w:val="20"/>
                <w:szCs w:val="20"/>
                <w:color w:val="auto"/>
              </w:rPr>
            </w:pPr>
            <w:r>
              <w:rPr>
                <w:rFonts w:ascii="Arial" w:cs="Arial" w:eastAsia="Arial" w:hAnsi="Arial"/>
                <w:sz w:val="22"/>
                <w:szCs w:val="22"/>
                <w:color w:val="auto"/>
              </w:rPr>
              <w:t>President and Chief Executive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ind w:left="4260"/>
        <w:spacing w:after="0"/>
        <w:rPr>
          <w:sz w:val="20"/>
          <w:szCs w:val="20"/>
          <w:color w:val="auto"/>
        </w:rPr>
      </w:pPr>
      <w:r>
        <w:rPr>
          <w:rFonts w:ascii="Arial" w:cs="Arial" w:eastAsia="Arial" w:hAnsi="Arial"/>
          <w:sz w:val="22"/>
          <w:szCs w:val="22"/>
          <w:b w:val="1"/>
          <w:bCs w:val="1"/>
          <w:color w:val="auto"/>
        </w:rPr>
        <w:t>EXECUTIVE</w:t>
      </w:r>
    </w:p>
    <w:p>
      <w:pPr>
        <w:spacing w:after="0" w:line="200" w:lineRule="exact"/>
        <w:rPr>
          <w:sz w:val="20"/>
          <w:szCs w:val="20"/>
          <w:color w:val="auto"/>
        </w:rPr>
      </w:pPr>
    </w:p>
    <w:p>
      <w:pPr>
        <w:spacing w:after="0" w:line="282"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/s/ Ariel Hurley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7620</wp:posOffset>
            </wp:positionV>
            <wp:extent cx="29330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2" w:lineRule="exact"/>
        <w:rPr>
          <w:sz w:val="20"/>
          <w:szCs w:val="20"/>
          <w:color w:val="auto"/>
        </w:rPr>
      </w:pPr>
    </w:p>
    <w:p>
      <w:pPr>
        <w:ind w:left="4260"/>
        <w:spacing w:after="0"/>
        <w:tabs>
          <w:tab w:leader="none" w:pos="500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1"/>
          <w:szCs w:val="21"/>
          <w:color w:val="auto"/>
        </w:rPr>
        <w:t>Ariel Hurley</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Arial" w:cs="Arial" w:eastAsia="Arial" w:hAnsi="Arial"/>
          <w:sz w:val="22"/>
          <w:szCs w:val="22"/>
          <w:i w:val="1"/>
          <w:iCs w:val="1"/>
          <w:color w:val="auto"/>
        </w:rPr>
        <w:t>Signature Page –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76200</wp:posOffset>
            </wp:positionV>
            <wp:extent cx="554863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sectPr>
      <w:pgSz w:w="11900" w:h="16838" w:orient="portrait"/>
      <w:cols w:equalWidth="0" w:num="1">
        <w:col w:w="9019"/>
      </w:cols>
      <w:pgMar w:left="14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o"/>
      <w:numFmt w:val="bullet"/>
      <w:start w:val="1"/>
    </w:lvl>
  </w:abstractNum>
  <w:abstractNum w:abstractNumId="1">
    <w:nsid w:val="1F16E9E8"/>
    <w:multiLevelType w:val="hybridMultilevel"/>
    <w:lvl w:ilvl="0">
      <w:lvlJc w:val="left"/>
      <w:lvlText w:val="%1."/>
      <w:numFmt w:val="decimal"/>
      <w:start w:val="1"/>
    </w:lvl>
    <w:lvl w:ilvl="1">
      <w:lvlJc w:val="left"/>
      <w:lvlText w:val="(%2)"/>
      <w:numFmt w:val="lowerLetter"/>
      <w:start w:val="1"/>
    </w:lvl>
  </w:abstractNum>
  <w:abstractNum w:abstractNumId="2">
    <w:nsid w:val="1190CDE7"/>
    <w:multiLevelType w:val="hybridMultilevel"/>
    <w:lvl w:ilvl="0">
      <w:lvlJc w:val="left"/>
      <w:lvlText w:val="(%1)"/>
      <w:numFmt w:val="lowerLetter"/>
      <w:start w:val="2"/>
    </w:lvl>
  </w:abstractNum>
  <w:abstractNum w:abstractNumId="3">
    <w:nsid w:val="66EF438D"/>
    <w:multiLevelType w:val="hybridMultilevel"/>
    <w:lvl w:ilvl="0">
      <w:lvlJc w:val="left"/>
      <w:lvlText w:val="%1"/>
      <w:numFmt w:val="decimal"/>
      <w:start w:val="1"/>
    </w:lvl>
    <w:lvl w:ilvl="1">
      <w:lvlJc w:val="left"/>
      <w:lvlText w:val="(%2)"/>
      <w:numFmt w:val="lowerLetter"/>
      <w:start w:val="3"/>
    </w:lvl>
  </w:abstractNum>
  <w:abstractNum w:abstractNumId="4">
    <w:nsid w:val="140E0F76"/>
    <w:multiLevelType w:val="hybridMultilevel"/>
    <w:lvl w:ilvl="0">
      <w:lvlJc w:val="left"/>
      <w:lvlText w:val="%1."/>
      <w:numFmt w:val="decimal"/>
      <w:start w:val="3"/>
    </w:lvl>
    <w:lvl w:ilvl="1">
      <w:lvlJc w:val="left"/>
      <w:lvlText w:val="(%2)"/>
      <w:numFmt w:val="lowerLetter"/>
      <w:start w:val="1"/>
    </w:lvl>
  </w:abstractNum>
  <w:abstractNum w:abstractNumId="5">
    <w:nsid w:val="3352255A"/>
    <w:multiLevelType w:val="hybridMultilevel"/>
    <w:lvl w:ilvl="0">
      <w:lvlJc w:val="left"/>
      <w:lvlText w:val="(%1)"/>
      <w:numFmt w:val="lowerLetter"/>
      <w:start w:val="4"/>
    </w:lvl>
  </w:abstractNum>
  <w:abstractNum w:abstractNumId="6">
    <w:nsid w:val="109CF92E"/>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7"/>
    </w:lvl>
    <w:lvl w:ilvl="3">
      <w:lvlJc w:val="left"/>
      <w:lvlText w:val="%4"/>
      <w:numFmt w:val="lowerRoman"/>
      <w:start w:val="1"/>
    </w:lvl>
  </w:abstractNum>
  <w:abstractNum w:abstractNumId="7">
    <w:nsid w:val="DED7263"/>
    <w:multiLevelType w:val="hybridMultilevel"/>
    <w:lvl w:ilvl="0">
      <w:lvlJc w:val="left"/>
      <w:lvlText w:val="(%1)"/>
      <w:numFmt w:val="lowerRoman"/>
      <w:start w:val="4"/>
    </w:lvl>
    <w:lvl w:ilvl="1">
      <w:lvlJc w:val="left"/>
      <w:lvlText w:val="%2."/>
      <w:numFmt w:val="decimal"/>
      <w:start w:val="4"/>
    </w:lvl>
    <w:lvl w:ilvl="2">
      <w:lvlJc w:val="left"/>
      <w:lvlText w:val="(%3)"/>
      <w:numFmt w:val="lowerLetter"/>
      <w:start w:val="1"/>
    </w:lvl>
    <w:lvl w:ilvl="3">
      <w:lvlJc w:val="left"/>
      <w:lvlText w:val="(%4)"/>
      <w:numFmt w:val="lowerRoman"/>
      <w:start w:val="1"/>
    </w:lvl>
  </w:abstractNum>
  <w:abstractNum w:abstractNumId="8">
    <w:nsid w:val="7FDCC233"/>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lvl w:ilvl="3">
      <w:lvlJc w:val="left"/>
      <w:lvlText w:val="%4"/>
      <w:numFmt w:val="lowerRoman"/>
      <w:start w:val="1"/>
    </w:lvl>
  </w:abstractNum>
  <w:abstractNum w:abstractNumId="9">
    <w:nsid w:val="1BEFD79F"/>
    <w:multiLevelType w:val="hybridMultilevel"/>
    <w:lvl w:ilvl="0">
      <w:lvlJc w:val="left"/>
      <w:lvlText w:val="(%1)"/>
      <w:numFmt w:val="decimal"/>
      <w:start w:val="12"/>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10">
    <w:nsid w:val="41A7C4C9"/>
    <w:multiLevelType w:val="hybridMultilevel"/>
    <w:lvl w:ilvl="0">
      <w:lvlJc w:val="left"/>
      <w:lvlText w:val="(%1)"/>
      <w:numFmt w:val="lowerRoman"/>
      <w:start w:val="3"/>
    </w:lvl>
  </w:abstractNum>
  <w:abstractNum w:abstractNumId="11">
    <w:nsid w:val="6B68079A"/>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9"/>
    </w:lvl>
  </w:abstractNum>
  <w:abstractNum w:abstractNumId="12">
    <w:nsid w:val="4E6AFB6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3">
    <w:nsid w:val="25E45D32"/>
    <w:multiLevelType w:val="hybridMultilevel"/>
    <w:lvl w:ilvl="0">
      <w:lvlJc w:val="left"/>
      <w:lvlText w:val="%1"/>
      <w:numFmt w:val="lowerLetter"/>
      <w:start w:val="1"/>
    </w:lvl>
    <w:lvl w:ilvl="1">
      <w:lvlJc w:val="left"/>
      <w:lvlText w:val="(%2)"/>
      <w:numFmt w:val="lowerLetter"/>
      <w:start w:val="61"/>
    </w:lvl>
  </w:abstractNum>
  <w:abstractNum w:abstractNumId="14">
    <w:nsid w:val="519B500D"/>
    <w:multiLevelType w:val="hybridMultilevel"/>
    <w:lvl w:ilvl="0">
      <w:lvlJc w:val="left"/>
      <w:lvlText w:val="(%1)"/>
      <w:numFmt w:val="lowerLetter"/>
      <w:start w:val="3"/>
    </w:lvl>
    <w:lvl w:ilvl="1">
      <w:lvlJc w:val="left"/>
      <w:lvlText w:val="%2"/>
      <w:numFmt w:val="lowerLetter"/>
      <w:start w:val="1"/>
    </w:lvl>
  </w:abstractNum>
  <w:abstractNum w:abstractNumId="15">
    <w:nsid w:val="431BD7B7"/>
    <w:multiLevelType w:val="hybridMultilevel"/>
    <w:lvl w:ilvl="0">
      <w:lvlJc w:val="left"/>
      <w:lvlText w:val="%1."/>
      <w:numFmt w:val="decimal"/>
      <w:start w:val="6"/>
    </w:lvl>
    <w:lvl w:ilvl="1">
      <w:lvlJc w:val="left"/>
      <w:lvlText w:val="(%2)"/>
      <w:numFmt w:val="lowerLetter"/>
      <w:start w:val="1"/>
    </w:lvl>
  </w:abstractNum>
  <w:abstractNum w:abstractNumId="16">
    <w:nsid w:val="3F2DBA31"/>
    <w:multiLevelType w:val="hybridMultilevel"/>
    <w:lvl w:ilvl="0">
      <w:lvlJc w:val="left"/>
      <w:lvlText w:val="%1"/>
      <w:numFmt w:val="decimal"/>
      <w:start w:val="1"/>
    </w:lvl>
    <w:lvl w:ilvl="1">
      <w:lvlJc w:val="left"/>
      <w:lvlText w:val="(%2)"/>
      <w:numFmt w:val="lowerLetter"/>
      <w:start w:val="5"/>
    </w:lvl>
  </w:abstractNum>
  <w:abstractNum w:abstractNumId="17">
    <w:nsid w:val="7C83E458"/>
    <w:multiLevelType w:val="hybridMultilevel"/>
    <w:lvl w:ilvl="0">
      <w:lvlJc w:val="left"/>
      <w:lvlText w:val="%1."/>
      <w:numFmt w:val="decimal"/>
      <w:start w:val="7"/>
    </w:lvl>
    <w:lvl w:ilvl="1">
      <w:lvlJc w:val="left"/>
      <w:lvlText w:val="%2"/>
      <w:numFmt w:val="lowerLetter"/>
      <w:start w:val="1"/>
    </w:lvl>
  </w:abstractNum>
  <w:abstractNum w:abstractNumId="18">
    <w:nsid w:val="257130A3"/>
    <w:multiLevelType w:val="hybridMultilevel"/>
    <w:lvl w:ilvl="0">
      <w:lvlJc w:val="left"/>
      <w:lvlText w:val="%1."/>
      <w:numFmt w:val="decimal"/>
      <w:start w:val="12"/>
    </w:lvl>
  </w:abstractNum>
  <w:abstractNum w:abstractNumId="19">
    <w:nsid w:val="62BBD95A"/>
    <w:multiLevelType w:val="hybridMultilevel"/>
    <w:lvl w:ilvl="0">
      <w:lvlJc w:val="left"/>
      <w:lvlText w:val="%1."/>
      <w:numFmt w:val="decimal"/>
      <w:start w:val="2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2019-12-28T15:00:27Z</dcterms:created>
  <dcterms:modified xsi:type="dcterms:W3CDTF">2019-12-28T15:00:27Z</dcterms:modified>
</cp:coreProperties>
</file>