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4"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001-37359</w:t>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78"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26-3632015</w:t>
            </w:r>
          </w:p>
        </w:tc>
      </w:tr>
      <w:tr>
        <w:trPr>
          <w:trHeight w:val="121"/>
        </w:trPr>
        <w:tc>
          <w:tcPr>
            <w:tcW w:w="2500" w:type="dxa"/>
            <w:vAlign w:val="bottom"/>
          </w:tcPr>
          <w:p>
            <w:pPr>
              <w:jc w:val="center"/>
              <w:ind w:right="348"/>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3980" w:type="dxa"/>
            <w:vAlign w:val="bottom"/>
          </w:tcPr>
          <w:p>
            <w:pPr>
              <w:jc w:val="center"/>
              <w:ind w:left="3048"/>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2500" w:type="dxa"/>
            <w:vAlign w:val="bottom"/>
          </w:tcPr>
          <w:p>
            <w:pPr>
              <w:jc w:val="center"/>
              <w:ind w:right="368"/>
              <w:spacing w:after="0"/>
              <w:rPr>
                <w:sz w:val="20"/>
                <w:szCs w:val="20"/>
                <w:color w:val="auto"/>
              </w:rPr>
            </w:pPr>
            <w:r>
              <w:rPr>
                <w:rFonts w:ascii="Arial" w:cs="Arial" w:eastAsia="Arial" w:hAnsi="Arial"/>
                <w:sz w:val="11"/>
                <w:szCs w:val="11"/>
                <w:b w:val="1"/>
                <w:bCs w:val="1"/>
                <w:color w:val="auto"/>
                <w:w w:val="91"/>
              </w:rPr>
              <w:t>Incorporation or Organization)</w:t>
            </w:r>
          </w:p>
        </w:tc>
        <w:tc>
          <w:tcPr>
            <w:tcW w:w="3980" w:type="dxa"/>
            <w:vAlign w:val="bottom"/>
          </w:tcPr>
          <w:p>
            <w:pPr>
              <w:jc w:val="center"/>
              <w:ind w:left="3048"/>
              <w:spacing w:after="0"/>
              <w:rPr>
                <w:sz w:val="20"/>
                <w:szCs w:val="20"/>
                <w:color w:val="auto"/>
              </w:rPr>
            </w:pPr>
            <w:r>
              <w:rPr>
                <w:rFonts w:ascii="Arial" w:cs="Arial" w:eastAsia="Arial" w:hAnsi="Arial"/>
                <w:sz w:val="11"/>
                <w:szCs w:val="11"/>
                <w:b w:val="1"/>
                <w:bCs w:val="1"/>
                <w:color w:val="auto"/>
                <w:w w:val="92"/>
              </w:rPr>
              <w:t>Identification No.)</w:t>
            </w:r>
          </w:p>
        </w:tc>
      </w:tr>
      <w:tr>
        <w:trPr>
          <w:trHeight w:val="301"/>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88"/>
              </w:rPr>
              <w:t>45 Sidney Street</w:t>
            </w:r>
          </w:p>
        </w:tc>
        <w:tc>
          <w:tcPr>
            <w:tcW w:w="3980" w:type="dxa"/>
            <w:vAlign w:val="bottom"/>
          </w:tcPr>
          <w:p>
            <w:pPr>
              <w:spacing w:after="0"/>
              <w:rPr>
                <w:sz w:val="24"/>
                <w:szCs w:val="24"/>
                <w:color w:val="auto"/>
              </w:rPr>
            </w:pPr>
          </w:p>
        </w:tc>
      </w:tr>
      <w:tr>
        <w:trPr>
          <w:trHeight w:val="207"/>
        </w:trPr>
        <w:tc>
          <w:tcPr>
            <w:tcW w:w="250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Cambridge, Massachusetts</w:t>
            </w:r>
          </w:p>
        </w:tc>
        <w:tc>
          <w:tcPr>
            <w:tcW w:w="3980" w:type="dxa"/>
            <w:vAlign w:val="bottom"/>
          </w:tcPr>
          <w:p>
            <w:pPr>
              <w:jc w:val="right"/>
              <w:ind w:right="128"/>
              <w:spacing w:after="0"/>
              <w:rPr>
                <w:sz w:val="20"/>
                <w:szCs w:val="20"/>
                <w:color w:val="auto"/>
              </w:rPr>
            </w:pPr>
            <w:r>
              <w:rPr>
                <w:rFonts w:ascii="Arial" w:cs="Arial" w:eastAsia="Arial" w:hAnsi="Arial"/>
                <w:sz w:val="18"/>
                <w:szCs w:val="18"/>
                <w:b w:val="1"/>
                <w:bCs w:val="1"/>
                <w:color w:val="auto"/>
              </w:rPr>
              <w:t>02139</w:t>
            </w:r>
          </w:p>
        </w:tc>
      </w:tr>
      <w:tr>
        <w:trPr>
          <w:trHeight w:val="117"/>
        </w:trPr>
        <w:tc>
          <w:tcPr>
            <w:tcW w:w="2500" w:type="dxa"/>
            <w:vAlign w:val="bottom"/>
          </w:tcPr>
          <w:p>
            <w:pPr>
              <w:jc w:val="center"/>
              <w:ind w:right="348"/>
              <w:spacing w:after="0" w:line="117"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3980" w:type="dxa"/>
            <w:vAlign w:val="bottom"/>
          </w:tcPr>
          <w:p>
            <w:pPr>
              <w:jc w:val="center"/>
              <w:ind w:left="3048"/>
              <w:spacing w:after="0" w:line="117" w:lineRule="exact"/>
              <w:rPr>
                <w:sz w:val="20"/>
                <w:szCs w:val="20"/>
                <w:color w:val="auto"/>
              </w:rPr>
            </w:pPr>
            <w:r>
              <w:rPr>
                <w:rFonts w:ascii="Arial" w:cs="Arial" w:eastAsia="Arial" w:hAnsi="Arial"/>
                <w:sz w:val="11"/>
                <w:szCs w:val="11"/>
                <w:b w:val="1"/>
                <w:bCs w:val="1"/>
                <w:color w:val="auto"/>
                <w:w w:val="91"/>
              </w:rPr>
              <w:t>(Zip Code)</w:t>
            </w:r>
          </w:p>
        </w:tc>
      </w:tr>
      <w:tr>
        <w:trPr>
          <w:trHeight w:val="219"/>
        </w:trPr>
        <w:tc>
          <w:tcPr>
            <w:tcW w:w="2500" w:type="dxa"/>
            <w:vAlign w:val="bottom"/>
          </w:tcPr>
          <w:p>
            <w:pPr>
              <w:spacing w:after="0"/>
              <w:rPr>
                <w:sz w:val="19"/>
                <w:szCs w:val="19"/>
                <w:color w:val="auto"/>
              </w:rPr>
            </w:pPr>
          </w:p>
        </w:tc>
        <w:tc>
          <w:tcPr>
            <w:tcW w:w="3980" w:type="dxa"/>
            <w:vAlign w:val="bottom"/>
          </w:tcPr>
          <w:p>
            <w:pPr>
              <w:jc w:val="right"/>
              <w:ind w:right="2368"/>
              <w:spacing w:after="0"/>
              <w:rPr>
                <w:sz w:val="20"/>
                <w:szCs w:val="20"/>
                <w:color w:val="auto"/>
              </w:rPr>
            </w:pPr>
            <w:r>
              <w:rPr>
                <w:rFonts w:ascii="Arial" w:cs="Arial" w:eastAsia="Arial" w:hAnsi="Arial"/>
                <w:sz w:val="18"/>
                <w:szCs w:val="18"/>
                <w:b w:val="1"/>
                <w:bCs w:val="1"/>
                <w:color w:val="auto"/>
              </w:rPr>
              <w:t>(617) 374-7580</w:t>
            </w:r>
          </w:p>
        </w:tc>
      </w:tr>
    </w:tbl>
    <w:p>
      <w:pPr>
        <w:jc w:val="center"/>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66" w:lineRule="exact"/>
        <w:rPr>
          <w:sz w:val="24"/>
          <w:szCs w:val="24"/>
          <w:color w:val="auto"/>
        </w:rPr>
      </w:pPr>
    </w:p>
    <w:p>
      <w:pPr>
        <w:ind w:right="100" w:firstLine="415"/>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60" w:firstLine="415"/>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9" w:lineRule="exact"/>
        <w:rPr>
          <w:sz w:val="24"/>
          <w:szCs w:val="24"/>
          <w:color w:val="auto"/>
        </w:rPr>
      </w:pPr>
    </w:p>
    <w:p>
      <w:pPr>
        <w:ind w:right="320" w:firstLine="415"/>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90" w:lineRule="exact"/>
        <w:rPr>
          <w:sz w:val="24"/>
          <w:szCs w:val="24"/>
          <w:color w:val="auto"/>
        </w:rPr>
      </w:pPr>
    </w:p>
    <w:p>
      <w:pPr>
        <w:ind w:left="1740"/>
        <w:spacing w:after="0"/>
        <w:rPr>
          <w:sz w:val="20"/>
          <w:szCs w:val="20"/>
          <w:color w:val="auto"/>
        </w:rPr>
      </w:pPr>
      <w:r>
        <w:rPr>
          <w:rFonts w:ascii="Arial" w:cs="Arial" w:eastAsia="Arial" w:hAnsi="Arial"/>
          <w:sz w:val="12"/>
          <w:szCs w:val="12"/>
          <w:color w:val="auto"/>
        </w:rPr>
        <w:t>Large accelerated filer</w:t>
      </w:r>
    </w:p>
    <w:p>
      <w:pPr>
        <w:spacing w:after="0" w:line="65" w:lineRule="exact"/>
        <w:rPr>
          <w:sz w:val="24"/>
          <w:szCs w:val="24"/>
          <w:color w:val="auto"/>
        </w:rPr>
      </w:pPr>
    </w:p>
    <w:p>
      <w:pPr>
        <w:ind w:left="17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60"/>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3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20"/>
            <w:col w:w="2800" w:space="720"/>
            <w:col w:w="1560" w:space="80"/>
            <w:col w:w="1740"/>
          </w:cols>
          <w:pgMar w:left="980" w:top="665" w:right="979" w:bottom="1440" w:gutter="0" w:footer="0" w:header="0"/>
          <w:type w:val="continuous"/>
        </w:sectPr>
      </w:pPr>
    </w:p>
    <w:p>
      <w:pPr>
        <w:spacing w:after="0" w:line="18" w:lineRule="exact"/>
        <w:rPr>
          <w:sz w:val="24"/>
          <w:szCs w:val="24"/>
          <w:color w:val="auto"/>
        </w:rPr>
      </w:pPr>
    </w:p>
    <w:p>
      <w:pPr>
        <w:ind w:left="65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8" w:lineRule="exact"/>
        <w:rPr>
          <w:sz w:val="24"/>
          <w:szCs w:val="24"/>
          <w:color w:val="auto"/>
        </w:rPr>
      </w:pPr>
    </w:p>
    <w:p>
      <w:pPr>
        <w:sectPr>
          <w:pgSz w:w="11900" w:h="16838" w:orient="portrait"/>
          <w:cols w:equalWidth="0" w:num="2">
            <w:col w:w="8120" w:space="80"/>
            <w:col w:w="1740"/>
          </w:cols>
          <w:pgMar w:left="980" w:top="665" w:right="979" w:bottom="1440" w:gutter="0" w:footer="0" w:header="0"/>
          <w:type w:val="continuous"/>
        </w:sectPr>
      </w:pPr>
    </w:p>
    <w:p>
      <w:pPr>
        <w:ind w:right="60" w:firstLine="41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2"/>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4"/>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1"/>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8"/>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3"/>
              </w:rPr>
              <w:t>Nasdaq Global Select Market</w:t>
            </w:r>
          </w:p>
        </w:tc>
      </w:tr>
    </w:tbl>
    <w:p>
      <w:pPr>
        <w:spacing w:after="0" w:line="8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April 30, 2020: 54,189,964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895350</wp:posOffset>
            </wp:positionV>
            <wp:extent cx="62922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64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200" w:type="dxa"/>
            <w:vAlign w:val="bottom"/>
            <w:vMerge w:val="restart"/>
          </w:tcPr>
          <w:p>
            <w:pPr>
              <w:spacing w:after="0"/>
              <w:rPr>
                <w:sz w:val="2"/>
                <w:szCs w:val="2"/>
                <w:color w:val="auto"/>
              </w:rPr>
            </w:pPr>
          </w:p>
        </w:tc>
        <w:tc>
          <w:tcPr>
            <w:tcW w:w="5800" w:type="dxa"/>
            <w:vAlign w:val="bottom"/>
            <w:gridSpan w:val="4"/>
            <w:vMerge w:val="restart"/>
          </w:tcPr>
          <w:p>
            <w:pPr>
              <w:jc w:val="center"/>
              <w:ind w:right="20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PART I – FINANCIAL INFORMATION</w:t>
              </w:r>
            </w:hyperlink>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5800" w:type="dxa"/>
            <w:vAlign w:val="bottom"/>
            <w:gridSpan w:val="4"/>
            <w:vMerge w:val="continue"/>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8300" w:type="dxa"/>
            <w:vAlign w:val="bottom"/>
            <w:gridSpan w:val="8"/>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7660" w:type="dxa"/>
            <w:vAlign w:val="bottom"/>
            <w:gridSpan w:val="7"/>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 as of March 31, 2020 and December 31,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640" w:type="dxa"/>
            <w:vAlign w:val="bottom"/>
          </w:tcPr>
          <w:p>
            <w:pPr>
              <w:spacing w:after="0"/>
              <w:rPr>
                <w:sz w:val="16"/>
                <w:szCs w:val="16"/>
                <w:color w:val="auto"/>
              </w:rPr>
            </w:pPr>
          </w:p>
        </w:tc>
        <w:tc>
          <w:tcPr>
            <w:tcW w:w="7660" w:type="dxa"/>
            <w:vAlign w:val="bottom"/>
            <w:gridSpan w:val="7"/>
          </w:tcPr>
          <w:p>
            <w:pPr>
              <w:spacing w:after="0" w:line="190"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Operations and Comprehensive Loss for the three months ended</w:t>
              </w:r>
            </w:hyperlink>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March 31, 2020 and 2019</w:t>
              </w:r>
            </w:hyperlink>
          </w:p>
        </w:tc>
        <w:tc>
          <w:tcPr>
            <w:tcW w:w="5320" w:type="dxa"/>
            <w:vAlign w:val="bottom"/>
            <w:tcBorders>
              <w:top w:val="single" w:sz="8" w:color="0000EE"/>
              <w:bottom w:val="single" w:sz="8" w:color="0000EE"/>
            </w:tcBorders>
          </w:tcPr>
          <w:p>
            <w:pPr>
              <w:spacing w:after="0"/>
              <w:rPr>
                <w:sz w:val="15"/>
                <w:szCs w:val="15"/>
                <w:color w:val="auto"/>
              </w:rPr>
            </w:pPr>
          </w:p>
        </w:tc>
        <w:tc>
          <w:tcPr>
            <w:tcW w:w="320" w:type="dxa"/>
            <w:vAlign w:val="bottom"/>
            <w:tcBorders>
              <w:top w:val="single" w:sz="8" w:color="0000EE"/>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7660" w:type="dxa"/>
            <w:vAlign w:val="bottom"/>
            <w:gridSpan w:val="7"/>
            <w:vMerge w:val="restart"/>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Stockholders’ Equity for the three months ended March 31, 2020</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766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and 2019</w:t>
              </w:r>
            </w:hyperlink>
          </w:p>
        </w:tc>
        <w:tc>
          <w:tcPr>
            <w:tcW w:w="6520" w:type="dxa"/>
            <w:vAlign w:val="bottom"/>
            <w:tcBorders>
              <w:top w:val="single" w:sz="8" w:color="0000EE"/>
              <w:bottom w:val="single" w:sz="8" w:color="0000EE"/>
            </w:tcBorders>
            <w:gridSpan w:val="2"/>
          </w:tcPr>
          <w:p>
            <w:pPr>
              <w:spacing w:after="0"/>
              <w:rPr>
                <w:sz w:val="15"/>
                <w:szCs w:val="15"/>
                <w:color w:val="auto"/>
              </w:rPr>
            </w:pPr>
          </w:p>
        </w:tc>
        <w:tc>
          <w:tcPr>
            <w:tcW w:w="380" w:type="dxa"/>
            <w:vAlign w:val="bottom"/>
            <w:tcBorders>
              <w:top w:val="single" w:sz="8" w:color="0000EE"/>
              <w:bottom w:val="single" w:sz="8" w:color="0000EE"/>
            </w:tcBorders>
            <w:gridSpan w:val="2"/>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7660" w:type="dxa"/>
            <w:vAlign w:val="bottom"/>
            <w:gridSpan w:val="7"/>
            <w:vMerge w:val="restart"/>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Condensed Consolidated Statements of Cash Flows for the three months ended March 31, 2020 and</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7660" w:type="dxa"/>
            <w:vAlign w:val="bottom"/>
            <w:gridSpan w:val="7"/>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69"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2019</w:t>
              </w:r>
            </w:hyperlink>
          </w:p>
        </w:tc>
        <w:tc>
          <w:tcPr>
            <w:tcW w:w="3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5320" w:type="dxa"/>
            <w:vAlign w:val="bottom"/>
            <w:tcBorders>
              <w:top w:val="single" w:sz="8" w:color="0000EE"/>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640" w:type="dxa"/>
            <w:vAlign w:val="bottom"/>
          </w:tcPr>
          <w:p>
            <w:pPr>
              <w:spacing w:after="0"/>
              <w:rPr>
                <w:sz w:val="5"/>
                <w:szCs w:val="5"/>
                <w:color w:val="auto"/>
              </w:rPr>
            </w:pPr>
          </w:p>
        </w:tc>
        <w:tc>
          <w:tcPr>
            <w:tcW w:w="7660" w:type="dxa"/>
            <w:vAlign w:val="bottom"/>
            <w:gridSpan w:val="7"/>
            <w:vMerge w:val="restart"/>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640" w:type="dxa"/>
            <w:vAlign w:val="bottom"/>
          </w:tcPr>
          <w:p>
            <w:pPr>
              <w:spacing w:after="0"/>
              <w:rPr>
                <w:sz w:val="18"/>
                <w:szCs w:val="18"/>
                <w:color w:val="auto"/>
              </w:rPr>
            </w:pPr>
          </w:p>
        </w:tc>
        <w:tc>
          <w:tcPr>
            <w:tcW w:w="7660" w:type="dxa"/>
            <w:vAlign w:val="bottom"/>
            <w:gridSpan w:val="7"/>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300" w:type="dxa"/>
            <w:vAlign w:val="bottom"/>
            <w:gridSpan w:val="8"/>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2. 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300" w:type="dxa"/>
            <w:vAlign w:val="bottom"/>
            <w:gridSpan w:val="8"/>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3. 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1"/>
        </w:trPr>
        <w:tc>
          <w:tcPr>
            <w:tcW w:w="8300" w:type="dxa"/>
            <w:vAlign w:val="bottom"/>
            <w:gridSpan w:val="8"/>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4. 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05"/>
        </w:trPr>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0" w:type="dxa"/>
            <w:vAlign w:val="bottom"/>
            <w:gridSpan w:val="4"/>
          </w:tcPr>
          <w:p>
            <w:pPr>
              <w:jc w:val="center"/>
              <w:ind w:right="208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PART II –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300" w:type="dxa"/>
            <w:vAlign w:val="bottom"/>
            <w:gridSpan w:val="8"/>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 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300" w:type="dxa"/>
            <w:vAlign w:val="bottom"/>
            <w:gridSpan w:val="8"/>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1A. 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300" w:type="dxa"/>
            <w:vAlign w:val="bottom"/>
            <w:gridSpan w:val="8"/>
          </w:tcPr>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Item 5. 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8300" w:type="dxa"/>
            <w:vAlign w:val="bottom"/>
            <w:gridSpan w:val="8"/>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6. 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8300" w:type="dxa"/>
            <w:vAlign w:val="bottom"/>
            <w:gridSpan w:val="8"/>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80" w:right="31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pralsetinib, fisogatinib and BLU-263, and our research and development programs;</w:t>
      </w:r>
    </w:p>
    <w:p>
      <w:pPr>
        <w:spacing w:after="0" w:line="114" w:lineRule="exact"/>
        <w:rPr>
          <w:rFonts w:ascii="Arial" w:cs="Arial" w:eastAsia="Arial" w:hAnsi="Arial"/>
          <w:sz w:val="18"/>
          <w:szCs w:val="18"/>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30" w:lineRule="exact"/>
        <w:rPr>
          <w:rFonts w:ascii="Arial" w:cs="Arial" w:eastAsia="Arial" w:hAnsi="Arial"/>
          <w:sz w:val="18"/>
          <w:szCs w:val="18"/>
          <w:color w:val="auto"/>
        </w:rPr>
      </w:pPr>
    </w:p>
    <w:p>
      <w:pPr>
        <w:ind w:left="1380" w:right="239"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drug candidates and our ability to successfully expand the indication for avapritinib, including our ability to obtain approval for our pending new drug application, or NDA, for avapritinib for the treatment of fourth-line gastrointestinal stromal tumor from the U.S. Food and Drug Administration, or FDA, obtain marketing approval for avapritinib for additional indications or in additional geographies and obtain marketing approval for pralsetinib;</w:t>
      </w:r>
    </w:p>
    <w:p>
      <w:pPr>
        <w:spacing w:after="0" w:line="121" w:lineRule="exact"/>
        <w:rPr>
          <w:rFonts w:ascii="Arial" w:cs="Arial" w:eastAsia="Arial" w:hAnsi="Arial"/>
          <w:sz w:val="18"/>
          <w:szCs w:val="18"/>
          <w:color w:val="auto"/>
        </w:rPr>
      </w:pPr>
    </w:p>
    <w:p>
      <w:pPr>
        <w:ind w:left="1380" w:right="239" w:hanging="331"/>
        <w:spacing w:after="0" w:line="243"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or potential benefits of FDA designations such as orphan drug, fast track and breakthrough therapy designation or priority review, and the review of current or future NDA’s under the FDA’s Oncology Center of Excellence Real-Time Oncology Review pilot program or the FDA’s Project Orbis initiative;</w:t>
      </w:r>
    </w:p>
    <w:p>
      <w:pPr>
        <w:spacing w:after="0" w:line="120" w:lineRule="exact"/>
        <w:rPr>
          <w:rFonts w:ascii="Arial" w:cs="Arial" w:eastAsia="Arial" w:hAnsi="Arial"/>
          <w:sz w:val="18"/>
          <w:szCs w:val="18"/>
          <w:color w:val="auto"/>
        </w:rPr>
      </w:pPr>
    </w:p>
    <w:p>
      <w:pPr>
        <w:ind w:left="1380" w:right="7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and any current and future drug candidates for which we receive marketing approval;</w:t>
      </w:r>
    </w:p>
    <w:p>
      <w:pPr>
        <w:spacing w:after="0" w:line="100" w:lineRule="exact"/>
        <w:rPr>
          <w:rFonts w:ascii="Arial" w:cs="Arial" w:eastAsia="Arial" w:hAnsi="Arial"/>
          <w:sz w:val="18"/>
          <w:szCs w:val="18"/>
          <w:color w:val="auto"/>
        </w:rPr>
      </w:pPr>
    </w:p>
    <w:p>
      <w:pPr>
        <w:ind w:left="1380" w:right="31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AYVAKIT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31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AYVAKIT and any current and future drug candidates and secure manufacturing, packaging and labeling arrangements for development activities and commercial production;</w:t>
      </w:r>
    </w:p>
    <w:p>
      <w:pPr>
        <w:spacing w:after="0" w:line="100" w:lineRule="exact"/>
        <w:rPr>
          <w:rFonts w:ascii="Arial" w:cs="Arial" w:eastAsia="Arial" w:hAnsi="Arial"/>
          <w:sz w:val="18"/>
          <w:szCs w:val="18"/>
          <w:color w:val="auto"/>
        </w:rPr>
      </w:pPr>
    </w:p>
    <w:p>
      <w:pPr>
        <w:ind w:left="1380" w:right="13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 and drug candidates and technology;</w:t>
      </w:r>
    </w:p>
    <w:p>
      <w:pPr>
        <w:spacing w:after="0" w:line="103"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AYVAKIT, our current and future drug candidates and technology;</w:t>
      </w:r>
    </w:p>
    <w:p>
      <w:pPr>
        <w:spacing w:after="0" w:line="103" w:lineRule="exact"/>
        <w:rPr>
          <w:rFonts w:ascii="Arial" w:cs="Arial" w:eastAsia="Arial" w:hAnsi="Arial"/>
          <w:sz w:val="18"/>
          <w:szCs w:val="18"/>
          <w:color w:val="auto"/>
        </w:rPr>
      </w:pPr>
    </w:p>
    <w:p>
      <w:pPr>
        <w:ind w:left="1380" w:right="279" w:hanging="331"/>
        <w:spacing w:after="0" w:line="270"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existing cancer immunotherapy collaboration with F. Hoffmann-La Roche Ltd and Hoffmann-La Roche Inc. and our collaboration with CStone Pharmaceuticals, as well as our ability to maintain these collaborations and establish other strategic collaborations;</w:t>
      </w:r>
    </w:p>
    <w:p>
      <w:pPr>
        <w:spacing w:after="0" w:line="82" w:lineRule="exact"/>
        <w:rPr>
          <w:rFonts w:ascii="Arial" w:cs="Arial" w:eastAsia="Arial" w:hAnsi="Arial"/>
          <w:sz w:val="17"/>
          <w:szCs w:val="17"/>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exclusive license agreement with Clementia Pharmaceuticals, Inc.;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499" w:hanging="331"/>
        <w:spacing w:after="0" w:line="32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development of a companion diagnostic test for AYVAKIT to identify patients with a PDGFRA D842V mutation or companion diagnostic tests for our current or future drug candidates;</w:t>
      </w:r>
    </w:p>
    <w:p>
      <w:pPr>
        <w:spacing w:after="0" w:line="56" w:lineRule="exact"/>
        <w:rPr>
          <w:rFonts w:ascii="Arial" w:cs="Arial" w:eastAsia="Arial" w:hAnsi="Arial"/>
          <w:sz w:val="16"/>
          <w:szCs w:val="16"/>
          <w:color w:val="auto"/>
        </w:rPr>
      </w:pPr>
    </w:p>
    <w:p>
      <w:pPr>
        <w:ind w:left="1380" w:right="499" w:hanging="331"/>
        <w:spacing w:after="0" w:line="261" w:lineRule="auto"/>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estimates of our expenses, future revenues, capital requirements and our needs for future financing;</w:t>
      </w:r>
    </w:p>
    <w:p>
      <w:pPr>
        <w:spacing w:after="0" w:line="103" w:lineRule="exact"/>
        <w:rPr>
          <w:rFonts w:ascii="Arial" w:cs="Arial" w:eastAsia="Arial" w:hAnsi="Arial"/>
          <w:sz w:val="18"/>
          <w:szCs w:val="18"/>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30" w:lineRule="exact"/>
        <w:rPr>
          <w:rFonts w:ascii="Arial" w:cs="Arial" w:eastAsia="Arial" w:hAnsi="Arial"/>
          <w:sz w:val="18"/>
          <w:szCs w:val="18"/>
          <w:color w:val="auto"/>
        </w:rPr>
      </w:pPr>
    </w:p>
    <w:p>
      <w:pPr>
        <w:ind w:left="1380" w:right="319" w:hanging="331"/>
        <w:spacing w:after="0" w:line="257"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and scope of the COVID-19 pandemic on our business, operations, strategy, goals and anticipated milestones, including our ongoing and planned research and discovery activities, ability to conduct ongoing and planned clinical trials, clinical supply of current or future drug candidates, commercial supply of AYVAKIT and any current or future drug candidates for which we receive marketing approval, and the launch, marketing and sale of AYVAKIT and any current and future drug candidates for which we receive marketing approval.</w:t>
      </w:r>
    </w:p>
    <w:p>
      <w:pPr>
        <w:spacing w:after="0" w:line="108"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8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20" w:type="dxa"/>
            <w:vAlign w:val="bottom"/>
            <w:shd w:val="clear" w:color="auto" w:fill="CCEEFF"/>
          </w:tcPr>
          <w:p>
            <w:pPr>
              <w:ind w:left="3120"/>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375,168</w:t>
            </w: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ind w:left="220"/>
              <w:spacing w:after="0"/>
              <w:rPr>
                <w:sz w:val="20"/>
                <w:szCs w:val="20"/>
                <w:color w:val="auto"/>
              </w:rPr>
            </w:pPr>
            <w:r>
              <w:rPr>
                <w:rFonts w:ascii="Arial" w:cs="Arial" w:eastAsia="Arial" w:hAnsi="Arial"/>
                <w:sz w:val="14"/>
                <w:szCs w:val="14"/>
                <w:color w:val="auto"/>
              </w:rPr>
              <w:t>Investments, available-for-sale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291,596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369,616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ind w:left="220"/>
              <w:spacing w:after="0"/>
              <w:rPr>
                <w:sz w:val="20"/>
                <w:szCs w:val="20"/>
                <w:color w:val="auto"/>
              </w:rPr>
            </w:pPr>
            <w:r>
              <w:rPr>
                <w:rFonts w:ascii="Arial" w:cs="Arial" w:eastAsia="Arial" w:hAnsi="Arial"/>
                <w:sz w:val="14"/>
                <w:szCs w:val="14"/>
                <w:color w:val="auto"/>
              </w:rPr>
              <w:t>Unbilled accounts receivable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20,597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22,749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10,147</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704,683</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516,786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Investments, available-for-sale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83,666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64,406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37,822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71,903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72,753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10,381</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913,623</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707,694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8,468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73,961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88,706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ind w:left="220"/>
              <w:spacing w:after="0"/>
              <w:rPr>
                <w:sz w:val="20"/>
                <w:szCs w:val="20"/>
                <w:color w:val="auto"/>
              </w:rPr>
            </w:pPr>
            <w:r>
              <w:rPr>
                <w:rFonts w:ascii="Arial" w:cs="Arial" w:eastAsia="Arial" w:hAnsi="Arial"/>
                <w:sz w:val="14"/>
                <w:szCs w:val="14"/>
                <w:color w:val="auto"/>
              </w:rPr>
              <w:t>Current portion of operating lease liabilities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7,169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deferred revenue</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8,690</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98,288</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106,482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87,667</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89,126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36,809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7,928</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Pr>
          <w:p>
            <w:pPr>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230,692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243,335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Commitments (Note 15)</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620" w:type="dxa"/>
            <w:vAlign w:val="bottom"/>
          </w:tcPr>
          <w:p>
            <w:pPr>
              <w:spacing w:after="0" w:line="143" w:lineRule="exact"/>
              <w:rPr>
                <w:sz w:val="20"/>
                <w:szCs w:val="20"/>
                <w:color w:val="auto"/>
              </w:rPr>
            </w:pPr>
            <w:r>
              <w:rPr>
                <w:rFonts w:ascii="Arial" w:cs="Arial" w:eastAsia="Arial" w:hAnsi="Arial"/>
                <w:sz w:val="14"/>
                <w:szCs w:val="14"/>
                <w:color w:val="auto"/>
                <w:w w:val="93"/>
              </w:rPr>
              <w:t>Common stock, $0.001 par value; 120,000,000 shares authorized; 54,168,533 and 49,272,223 shares issued and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620" w:type="dxa"/>
            <w:vAlign w:val="bottom"/>
          </w:tcPr>
          <w:p>
            <w:pPr>
              <w:spacing w:after="0"/>
              <w:rPr>
                <w:sz w:val="20"/>
                <w:szCs w:val="20"/>
                <w:color w:val="auto"/>
              </w:rPr>
            </w:pPr>
            <w:r>
              <w:rPr>
                <w:rFonts w:ascii="Arial" w:cs="Arial" w:eastAsia="Arial" w:hAnsi="Arial"/>
                <w:sz w:val="14"/>
                <w:szCs w:val="14"/>
                <w:color w:val="auto"/>
              </w:rPr>
              <w:t>outstanding at March 31, 2020 and December 31, 2019, respectively</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1,739,140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1,412,083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(1,056,194)</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(945,238)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682,931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464,359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913,623</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707,694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6760" w:type="dxa"/>
            <w:vAlign w:val="bottom"/>
          </w:tcPr>
          <w:p>
            <w:pPr>
              <w:ind w:left="100"/>
              <w:spacing w:after="0"/>
              <w:rPr>
                <w:sz w:val="20"/>
                <w:szCs w:val="20"/>
                <w:color w:val="auto"/>
              </w:rPr>
            </w:pPr>
            <w:r>
              <w:rPr>
                <w:rFonts w:ascii="Arial" w:cs="Arial" w:eastAsia="Arial" w:hAnsi="Arial"/>
                <w:sz w:val="18"/>
                <w:szCs w:val="18"/>
                <w:color w:val="auto"/>
              </w:rPr>
              <w:t>Product revenue,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3,458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6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Collaboration revenue</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2,709</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196"/>
        </w:trPr>
        <w:tc>
          <w:tcPr>
            <w:tcW w:w="684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revenues</w:t>
            </w:r>
          </w:p>
        </w:tc>
        <w:tc>
          <w:tcPr>
            <w:tcW w:w="2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6,167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03"/>
        </w:trPr>
        <w:tc>
          <w:tcPr>
            <w:tcW w:w="6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760" w:type="dxa"/>
            <w:vAlign w:val="bottom"/>
          </w:tcPr>
          <w:p>
            <w:pPr>
              <w:ind w:left="140"/>
              <w:spacing w:after="0" w:line="202" w:lineRule="exact"/>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67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84,146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74,250</w:t>
            </w:r>
          </w:p>
        </w:tc>
        <w:tc>
          <w:tcPr>
            <w:tcW w:w="0" w:type="dxa"/>
            <w:vAlign w:val="bottom"/>
          </w:tcPr>
          <w:p>
            <w:pPr>
              <w:spacing w:after="0"/>
              <w:rPr>
                <w:sz w:val="1"/>
                <w:szCs w:val="1"/>
                <w:color w:val="auto"/>
              </w:rPr>
            </w:pPr>
          </w:p>
        </w:tc>
      </w:tr>
      <w:tr>
        <w:trPr>
          <w:trHeight w:val="203"/>
        </w:trPr>
        <w:tc>
          <w:tcPr>
            <w:tcW w:w="80" w:type="dxa"/>
            <w:vAlign w:val="bottom"/>
            <w:tcBorders>
              <w:bottom w:val="single" w:sz="8" w:color="CCEEFF"/>
            </w:tcBorders>
          </w:tcPr>
          <w:p>
            <w:pPr>
              <w:spacing w:after="0"/>
              <w:rPr>
                <w:sz w:val="17"/>
                <w:szCs w:val="17"/>
                <w:color w:val="auto"/>
              </w:rPr>
            </w:pPr>
          </w:p>
        </w:tc>
        <w:tc>
          <w:tcPr>
            <w:tcW w:w="676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35,655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16,553</w:t>
            </w:r>
          </w:p>
        </w:tc>
        <w:tc>
          <w:tcPr>
            <w:tcW w:w="0" w:type="dxa"/>
            <w:vAlign w:val="bottom"/>
          </w:tcPr>
          <w:p>
            <w:pPr>
              <w:spacing w:after="0"/>
              <w:rPr>
                <w:sz w:val="1"/>
                <w:szCs w:val="1"/>
                <w:color w:val="auto"/>
              </w:rPr>
            </w:pPr>
          </w:p>
        </w:tc>
      </w:tr>
      <w:tr>
        <w:trPr>
          <w:trHeight w:val="196"/>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119,825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90,803</w:t>
            </w: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CCEEFF"/>
          </w:tcPr>
          <w:p>
            <w:pPr>
              <w:spacing w:after="0"/>
              <w:rPr>
                <w:sz w:val="17"/>
                <w:szCs w:val="17"/>
                <w:color w:val="auto"/>
              </w:rPr>
            </w:pPr>
          </w:p>
        </w:tc>
        <w:tc>
          <w:tcPr>
            <w:tcW w:w="67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Interest income (expense),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760" w:type="dxa"/>
            <w:vAlign w:val="bottom"/>
          </w:tcPr>
          <w:p>
            <w:pPr>
              <w:ind w:left="140"/>
              <w:spacing w:after="0" w:line="202" w:lineRule="exact"/>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68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2,703</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(110,955)</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(87,407)</w:t>
            </w:r>
          </w:p>
        </w:tc>
        <w:tc>
          <w:tcPr>
            <w:tcW w:w="0" w:type="dxa"/>
            <w:vAlign w:val="bottom"/>
          </w:tcPr>
          <w:p>
            <w:pPr>
              <w:spacing w:after="0"/>
              <w:rPr>
                <w:sz w:val="1"/>
                <w:szCs w:val="1"/>
                <w:color w:val="auto"/>
              </w:rPr>
            </w:pPr>
          </w:p>
        </w:tc>
      </w:tr>
      <w:tr>
        <w:trPr>
          <w:trHeight w:val="196"/>
        </w:trPr>
        <w:tc>
          <w:tcPr>
            <w:tcW w:w="6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loss: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6760" w:type="dxa"/>
            <w:vAlign w:val="bottom"/>
          </w:tcPr>
          <w:p>
            <w:pPr>
              <w:ind w:left="140"/>
              <w:spacing w:after="0" w:line="202" w:lineRule="exact"/>
              <w:rPr>
                <w:sz w:val="20"/>
                <w:szCs w:val="20"/>
                <w:color w:val="auto"/>
              </w:rPr>
            </w:pPr>
            <w:r>
              <w:rPr>
                <w:rFonts w:ascii="Arial" w:cs="Arial" w:eastAsia="Arial" w:hAnsi="Arial"/>
                <w:sz w:val="18"/>
                <w:szCs w:val="18"/>
                <w:color w:val="auto"/>
              </w:rPr>
              <w:t>Unrealized gain (losses) on available-for-sale investments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2,492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2"/>
        </w:trPr>
        <w:tc>
          <w:tcPr>
            <w:tcW w:w="80" w:type="dxa"/>
            <w:vAlign w:val="bottom"/>
            <w:shd w:val="clear" w:color="auto" w:fill="CCEEFF"/>
          </w:tcPr>
          <w:p>
            <w:pPr>
              <w:spacing w:after="0"/>
              <w:rPr>
                <w:sz w:val="17"/>
                <w:szCs w:val="17"/>
                <w:color w:val="auto"/>
              </w:rPr>
            </w:pPr>
          </w:p>
        </w:tc>
        <w:tc>
          <w:tcPr>
            <w:tcW w:w="67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Currency translation adjustments</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(108,490)</w:t>
            </w:r>
          </w:p>
        </w:tc>
        <w:tc>
          <w:tcPr>
            <w:tcW w:w="2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8"/>
              </w:rPr>
              <w:t>(87,152)</w:t>
            </w:r>
          </w:p>
        </w:tc>
        <w:tc>
          <w:tcPr>
            <w:tcW w:w="0" w:type="dxa"/>
            <w:vAlign w:val="bottom"/>
          </w:tcPr>
          <w:p>
            <w:pPr>
              <w:spacing w:after="0"/>
              <w:rPr>
                <w:sz w:val="1"/>
                <w:szCs w:val="1"/>
                <w:color w:val="auto"/>
              </w:rPr>
            </w:pPr>
          </w:p>
        </w:tc>
      </w:tr>
      <w:tr>
        <w:trPr>
          <w:trHeight w:val="183"/>
        </w:trPr>
        <w:tc>
          <w:tcPr>
            <w:tcW w:w="684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loss per share — basic and diluted</w:t>
            </w:r>
          </w:p>
        </w:tc>
        <w:tc>
          <w:tcPr>
            <w:tcW w:w="280" w:type="dxa"/>
            <w:vAlign w:val="bottom"/>
            <w:tcBorders>
              <w:bottom w:val="single" w:sz="8" w:color="auto"/>
            </w:tcBorders>
            <w:shd w:val="clear" w:color="auto" w:fill="CCEEFF"/>
          </w:tcPr>
          <w:p>
            <w:pPr>
              <w:jc w:val="right"/>
              <w:ind w:right="90"/>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(2.11)</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number of common shares used in net loss per share — basic and diluted</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40" w:type="dxa"/>
            <w:vAlign w:val="bottom"/>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52,655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40"/>
              <w:spacing w:after="0" w:line="183" w:lineRule="exact"/>
              <w:rPr>
                <w:sz w:val="20"/>
                <w:szCs w:val="20"/>
                <w:color w:val="auto"/>
              </w:rPr>
            </w:pPr>
            <w:r>
              <w:rPr>
                <w:rFonts w:ascii="Arial" w:cs="Arial" w:eastAsia="Arial" w:hAnsi="Arial"/>
                <w:sz w:val="18"/>
                <w:szCs w:val="18"/>
                <w:color w:val="auto"/>
              </w:rPr>
              <w:t>44,097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4500"/>
              <w:spacing w:after="0"/>
              <w:rPr>
                <w:sz w:val="20"/>
                <w:szCs w:val="20"/>
                <w:color w:val="auto"/>
              </w:rPr>
            </w:pPr>
            <w:r>
              <w:rPr>
                <w:rFonts w:ascii="Arial" w:cs="Arial" w:eastAsia="Arial" w:hAnsi="Arial"/>
                <w:sz w:val="18"/>
                <w:szCs w:val="18"/>
                <w:color w:val="auto"/>
              </w:rPr>
              <w:t>5</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8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 w:type="dxa"/>
            <w:vAlign w:val="bottom"/>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00" w:top="517" w:right="141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0" w:right="59"/>
        <w:spacing w:after="0" w:line="247" w:lineRule="auto"/>
        <w:rPr>
          <w:sz w:val="20"/>
          <w:szCs w:val="20"/>
          <w:color w:val="auto"/>
        </w:rPr>
      </w:pPr>
      <w:r>
        <w:rPr>
          <w:rFonts w:ascii="Arial" w:cs="Arial" w:eastAsia="Arial" w:hAnsi="Arial"/>
          <w:sz w:val="18"/>
          <w:szCs w:val="18"/>
          <w:b w:val="1"/>
          <w:bCs w:val="1"/>
          <w:color w:val="auto"/>
        </w:rPr>
        <w:t>Blueprint Medicines Corporation Condensed Consolidated Statements of Stockholders’ Equity (in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gridSpan w:val="4"/>
          </w:tcPr>
          <w:p>
            <w:pPr>
              <w:ind w:left="14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6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37"/>
              <w:spacing w:after="0"/>
              <w:rPr>
                <w:sz w:val="20"/>
                <w:szCs w:val="20"/>
                <w:color w:val="auto"/>
              </w:rPr>
            </w:pPr>
            <w:r>
              <w:rPr>
                <w:rFonts w:ascii="Arial" w:cs="Arial" w:eastAsia="Arial" w:hAnsi="Arial"/>
                <w:sz w:val="13"/>
                <w:szCs w:val="13"/>
                <w:b w:val="1"/>
                <w:bCs w:val="1"/>
                <w:color w:val="auto"/>
              </w:rPr>
              <w:t>Paid-in</w:t>
            </w:r>
          </w:p>
        </w:tc>
        <w:tc>
          <w:tcPr>
            <w:tcW w:w="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Accumulated</w:t>
            </w:r>
          </w:p>
        </w:tc>
        <w:tc>
          <w:tcPr>
            <w:tcW w:w="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Loss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5"/>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49,272,223</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1,412,083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(945,239)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186,166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1,612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Follow on offering, net of issuance costs</w:t>
            </w:r>
          </w:p>
        </w:tc>
        <w:tc>
          <w:tcPr>
            <w:tcW w:w="660" w:type="dxa"/>
            <w:vAlign w:val="bottom"/>
          </w:tcPr>
          <w:p>
            <w:pPr>
              <w:jc w:val="right"/>
              <w:spacing w:after="0"/>
              <w:rPr>
                <w:sz w:val="20"/>
                <w:szCs w:val="20"/>
                <w:color w:val="auto"/>
              </w:rPr>
            </w:pPr>
            <w:r>
              <w:rPr>
                <w:rFonts w:ascii="Arial" w:cs="Arial" w:eastAsia="Arial" w:hAnsi="Arial"/>
                <w:sz w:val="13"/>
                <w:szCs w:val="13"/>
                <w:color w:val="auto"/>
              </w:rPr>
              <w:t>4,710,144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308,419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308,423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available-for-sale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Cumulative translation adjustment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(110,955)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line="142" w:lineRule="exact"/>
              <w:rPr>
                <w:sz w:val="20"/>
                <w:szCs w:val="20"/>
                <w:color w:val="auto"/>
              </w:rPr>
            </w:pPr>
            <w:r>
              <w:rPr>
                <w:rFonts w:ascii="Arial" w:cs="Arial" w:eastAsia="Arial" w:hAnsi="Arial"/>
                <w:sz w:val="13"/>
                <w:szCs w:val="13"/>
                <w:color w:val="auto"/>
              </w:rPr>
              <w:t>Balance at March 31, 2020</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54,168,533</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54</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1,739,140</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(1,056,194)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682,931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Balance at December 31, 2018</w:t>
            </w:r>
          </w:p>
        </w:tc>
        <w:tc>
          <w:tcPr>
            <w:tcW w:w="660" w:type="dxa"/>
            <w:vAlign w:val="bottom"/>
          </w:tcPr>
          <w:p>
            <w:pPr>
              <w:jc w:val="right"/>
              <w:spacing w:after="0"/>
              <w:rPr>
                <w:sz w:val="20"/>
                <w:szCs w:val="20"/>
                <w:color w:val="auto"/>
              </w:rPr>
            </w:pPr>
            <w:r>
              <w:rPr>
                <w:rFonts w:ascii="Arial" w:cs="Arial" w:eastAsia="Arial" w:hAnsi="Arial"/>
                <w:sz w:val="13"/>
                <w:szCs w:val="13"/>
                <w:color w:val="auto"/>
                <w:w w:val="92"/>
              </w:rPr>
              <w:t>44,037,026</w:t>
            </w:r>
          </w:p>
        </w:tc>
        <w:tc>
          <w:tcPr>
            <w:tcW w:w="40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w w:val="82"/>
              </w:rPr>
              <w:t>44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1,016,690</w:t>
            </w:r>
          </w:p>
        </w:tc>
        <w:tc>
          <w:tcPr>
            <w:tcW w:w="26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(180)</w:t>
            </w:r>
          </w:p>
        </w:tc>
        <w:tc>
          <w:tcPr>
            <w:tcW w:w="6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(597,545)</w:t>
            </w:r>
          </w:p>
        </w:tc>
        <w:tc>
          <w:tcPr>
            <w:tcW w:w="100" w:type="dxa"/>
            <w:vAlign w:val="bottom"/>
          </w:tcPr>
          <w:p>
            <w:pPr>
              <w:spacing w:after="0"/>
              <w:rPr>
                <w:sz w:val="12"/>
                <w:szCs w:val="12"/>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419,009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134,439</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10,295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Unrealized gain (loss) on available-for-sale securities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Cumulative translation adjustment</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(87,407)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(87,407)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gridSpan w:val="2"/>
          </w:tcPr>
          <w:p>
            <w:pPr>
              <w:spacing w:after="0" w:line="142" w:lineRule="exact"/>
              <w:rPr>
                <w:sz w:val="20"/>
                <w:szCs w:val="20"/>
                <w:color w:val="auto"/>
              </w:rPr>
            </w:pPr>
            <w:r>
              <w:rPr>
                <w:rFonts w:ascii="Arial" w:cs="Arial" w:eastAsia="Arial" w:hAnsi="Arial"/>
                <w:sz w:val="13"/>
                <w:szCs w:val="13"/>
                <w:color w:val="auto"/>
              </w:rPr>
              <w:t>Balance at March 31, 2019</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44,171,465</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44</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1,029,046</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(684,952)</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344,213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5"/>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55"/>
        </w:trPr>
        <w:tc>
          <w:tcPr>
            <w:tcW w:w="63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8"/>
              </w:rPr>
              <w:t>(110,955)</w:t>
            </w:r>
          </w:p>
        </w:tc>
        <w:tc>
          <w:tcPr>
            <w:tcW w:w="180" w:type="dxa"/>
            <w:vAlign w:val="bottom"/>
          </w:tcPr>
          <w:p>
            <w:pPr>
              <w:spacing w:after="0"/>
              <w:rPr>
                <w:sz w:val="17"/>
                <w:szCs w:val="17"/>
                <w:color w:val="auto"/>
              </w:rPr>
            </w:pPr>
          </w:p>
        </w:tc>
        <w:tc>
          <w:tcPr>
            <w:tcW w:w="200" w:type="dxa"/>
            <w:vAlign w:val="bottom"/>
            <w:gridSpan w:val="2"/>
          </w:tcPr>
          <w:p>
            <w:pPr>
              <w:jc w:val="center"/>
              <w:ind w:right="47"/>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(87,407)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1,571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Noncash lease expense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16,859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10,295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Accretion of premiums and discounts on investments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0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0"/>
              <w:spacing w:after="0" w:line="202" w:lineRule="exact"/>
              <w:rPr>
                <w:sz w:val="20"/>
                <w:szCs w:val="20"/>
                <w:color w:val="auto"/>
              </w:rPr>
            </w:pPr>
            <w:r>
              <w:rPr>
                <w:rFonts w:ascii="Arial" w:cs="Arial" w:eastAsia="Arial" w:hAnsi="Arial"/>
                <w:sz w:val="18"/>
                <w:szCs w:val="18"/>
                <w:color w:val="auto"/>
              </w:rPr>
              <w:t>Unbilled accounts receivable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2,152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Inventory</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00" w:type="dxa"/>
            <w:vAlign w:val="bottom"/>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3,715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982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(16,576)</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ind w:left="320"/>
              <w:spacing w:after="0" w:line="202" w:lineRule="exact"/>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(731)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00" w:type="dxa"/>
            <w:vAlign w:val="bottom"/>
          </w:tcPr>
          <w:p>
            <w:pPr>
              <w:ind w:left="620"/>
              <w:spacing w:after="0" w:line="196" w:lineRule="exact"/>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8"/>
              </w:rPr>
              <w:t>(109,328)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(80,188)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(1,770)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(139,250)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(112,916)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Maturities of investments</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200,635</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204,000</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59,860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89,314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Proceeds from public offerings of common stock, net of commissions, underwriting</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discounts and offering costs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1,609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2,039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00" w:type="dxa"/>
            <w:vAlign w:val="bottom"/>
          </w:tcPr>
          <w:p>
            <w:pPr>
              <w:ind w:left="5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310,150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2,011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260,682</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119,604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300" w:type="dxa"/>
            <w:vAlign w:val="bottom"/>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380,336</w:t>
            </w:r>
          </w:p>
        </w:tc>
        <w:tc>
          <w:tcPr>
            <w:tcW w:w="180" w:type="dxa"/>
            <w:vAlign w:val="bottom"/>
          </w:tcPr>
          <w:p>
            <w:pPr>
              <w:spacing w:after="0"/>
              <w:rPr>
                <w:sz w:val="20"/>
                <w:szCs w:val="20"/>
                <w:color w:val="auto"/>
              </w:rPr>
            </w:pPr>
          </w:p>
        </w:tc>
        <w:tc>
          <w:tcPr>
            <w:tcW w:w="200" w:type="dxa"/>
            <w:vAlign w:val="bottom"/>
            <w:gridSpan w:val="2"/>
          </w:tcPr>
          <w:p>
            <w:pPr>
              <w:jc w:val="center"/>
              <w:ind w:right="47"/>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84,550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cash flow information</w:t>
            </w: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0"/>
                <w:szCs w:val="20"/>
                <w:color w:val="auto"/>
              </w:rPr>
            </w:pPr>
            <w:r>
              <w:rPr>
                <w:rFonts w:ascii="Arial" w:cs="Arial" w:eastAsia="Arial" w:hAnsi="Arial"/>
                <w:sz w:val="18"/>
                <w:szCs w:val="18"/>
                <w:color w:val="auto"/>
              </w:rPr>
              <w:t>Public offering costs incurred but unpaid at period end</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22"/>
                <w:szCs w:val="22"/>
                <w:color w:val="auto"/>
              </w:rPr>
            </w:pPr>
          </w:p>
        </w:tc>
        <w:tc>
          <w:tcPr>
            <w:tcW w:w="200" w:type="dxa"/>
            <w:vAlign w:val="bottom"/>
            <w:gridSpan w:val="2"/>
          </w:tcPr>
          <w:p>
            <w:pPr>
              <w:jc w:val="center"/>
              <w:ind w:right="47"/>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630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Property and equipment purchases unpaid at period end</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465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center"/>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1,478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Cash paid for taxes, net</w:t>
            </w: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69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r>
      <w:tr>
        <w:trPr>
          <w:trHeight w:val="155"/>
        </w:trPr>
        <w:tc>
          <w:tcPr>
            <w:tcW w:w="694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375,168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79,391</w:t>
            </w:r>
          </w:p>
        </w:tc>
        <w:tc>
          <w:tcPr>
            <w:tcW w:w="80" w:type="dxa"/>
            <w:vAlign w:val="bottom"/>
            <w:shd w:val="clear" w:color="auto" w:fill="CCEEFF"/>
          </w:tcPr>
          <w:p>
            <w:pPr>
              <w:spacing w:after="0"/>
              <w:rPr>
                <w:sz w:val="13"/>
                <w:szCs w:val="13"/>
                <w:color w:val="auto"/>
              </w:rPr>
            </w:pPr>
          </w:p>
        </w:tc>
      </w:tr>
      <w:tr>
        <w:trPr>
          <w:trHeight w:val="16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5,159</w:t>
            </w:r>
          </w:p>
        </w:tc>
        <w:tc>
          <w:tcPr>
            <w:tcW w:w="80" w:type="dxa"/>
            <w:vAlign w:val="bottom"/>
            <w:tcBorders>
              <w:bottom w:val="single" w:sz="8" w:color="CCEEFF"/>
            </w:tcBorders>
          </w:tcPr>
          <w:p>
            <w:pPr>
              <w:spacing w:after="0"/>
              <w:rPr>
                <w:sz w:val="14"/>
                <w:szCs w:val="14"/>
                <w:color w:val="auto"/>
              </w:rPr>
            </w:pPr>
          </w:p>
        </w:tc>
      </w:tr>
      <w:tr>
        <w:trPr>
          <w:trHeight w:val="155"/>
        </w:trPr>
        <w:tc>
          <w:tcPr>
            <w:tcW w:w="69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 cash, cash equivalents, and restricted cash shown in condensed consolidated statements of cash flows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380,336</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84,550</w:t>
            </w:r>
          </w:p>
        </w:tc>
        <w:tc>
          <w:tcPr>
            <w:tcW w:w="80" w:type="dxa"/>
            <w:vAlign w:val="bottom"/>
            <w:tcBorders>
              <w:bottom w:val="single" w:sz="8" w:color="CCEEFF"/>
            </w:tcBorders>
            <w:shd w:val="clear" w:color="auto" w:fill="CCEEFF"/>
          </w:tcPr>
          <w:p>
            <w:pPr>
              <w:spacing w:after="0"/>
              <w:rPr>
                <w:sz w:val="13"/>
                <w:szCs w:val="13"/>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Blueprint Medicines Corporation (the Company), a Delaware corporation incorporated on October 14, 2008, is a precision therapy company focused on genomically defined cancers, rare diseases and cancer immunotherapy.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64" w:lineRule="exact"/>
        <w:rPr>
          <w:sz w:val="20"/>
          <w:szCs w:val="20"/>
          <w:color w:val="auto"/>
        </w:rPr>
      </w:pPr>
    </w:p>
    <w:p>
      <w:pPr>
        <w:ind w:left="60" w:right="139" w:firstLine="648"/>
        <w:spacing w:after="0" w:line="223" w:lineRule="auto"/>
        <w:rPr>
          <w:sz w:val="20"/>
          <w:szCs w:val="20"/>
          <w:color w:val="auto"/>
        </w:rPr>
      </w:pPr>
      <w:r>
        <w:rPr>
          <w:rFonts w:ascii="Arial" w:cs="Arial" w:eastAsia="Arial" w:hAnsi="Arial"/>
          <w:sz w:val="18"/>
          <w:szCs w:val="18"/>
          <w:color w:val="auto"/>
        </w:rPr>
        <w:t>On January 9, 2020, the Company’s commercial product, AYVAKIT</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(avapritinib) was approved by the U.S. Food and Drug Administration (FDA) for the treatment of adults with unresectable or metastatic gastrointestinal stromal tumor (GIST) harboring a platelet-derived growth factor receptor </w:t>
      </w:r>
      <w:r>
        <w:rPr>
          <w:rFonts w:ascii="Arial" w:cs="Arial" w:eastAsia="Arial" w:hAnsi="Arial"/>
          <w:sz w:val="18"/>
          <w:szCs w:val="18"/>
          <w:color w:val="0A0A0A"/>
          <w:highlight w:val="white"/>
        </w:rPr>
        <w:t>alpha (PDGFRA) exon 18 mutation, including PDGFRA</w:t>
      </w:r>
      <w:r>
        <w:rPr>
          <w:rFonts w:ascii="Arial" w:cs="Arial" w:eastAsia="Arial" w:hAnsi="Arial"/>
          <w:sz w:val="18"/>
          <w:szCs w:val="18"/>
          <w:color w:val="auto"/>
        </w:rPr>
        <w:t xml:space="preserve"> </w:t>
      </w:r>
      <w:r>
        <w:rPr>
          <w:rFonts w:ascii="Arial" w:cs="Arial" w:eastAsia="Arial" w:hAnsi="Arial"/>
          <w:sz w:val="18"/>
          <w:szCs w:val="18"/>
          <w:color w:val="0A0A0A"/>
          <w:highlight w:val="white"/>
        </w:rPr>
        <w:t>D842V mutations. AYVAKIT is the first precision therapy approved to treat a genomically defined population of patients with GIST.</w:t>
      </w:r>
    </w:p>
    <w:p>
      <w:pPr>
        <w:spacing w:after="0" w:line="191" w:lineRule="exact"/>
        <w:rPr>
          <w:sz w:val="20"/>
          <w:szCs w:val="20"/>
          <w:color w:val="auto"/>
        </w:rPr>
      </w:pPr>
    </w:p>
    <w:p>
      <w:pPr>
        <w:ind w:left="60" w:right="219" w:firstLine="648"/>
        <w:spacing w:after="0" w:line="274" w:lineRule="auto"/>
        <w:rPr>
          <w:sz w:val="20"/>
          <w:szCs w:val="20"/>
          <w:color w:val="auto"/>
        </w:rPr>
      </w:pPr>
      <w:r>
        <w:rPr>
          <w:rFonts w:ascii="Arial" w:cs="Arial" w:eastAsia="Arial" w:hAnsi="Arial"/>
          <w:sz w:val="16"/>
          <w:szCs w:val="16"/>
          <w:color w:val="auto"/>
        </w:rPr>
        <w:t>The Company is devoting substantially all of its efforts to research and development, initial market development and raising capital. The Company is subject to a number of risks similar to those of other early commercial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out-license certain of its research and development programs or future commercialization efforts.</w:t>
      </w:r>
    </w:p>
    <w:p>
      <w:pPr>
        <w:spacing w:after="0" w:line="163"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212529"/>
        </w:rPr>
        <w:t>On January 27, 2020, the Company closed a follow-on public offering of 4,710,144 shares of its common stock at a price to the public of $69.00 per share and received estimated net proceeds of $308.4 million, after deducting underwriting discounts and commissions and estimated offering expenses payable by the Company.</w:t>
      </w:r>
    </w:p>
    <w:p>
      <w:pPr>
        <w:spacing w:after="0" w:line="16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 xml:space="preserve">As of March 31, 2020, the Company had cash, cash equivalents and investments of $750.4 million. </w:t>
      </w:r>
      <w:r>
        <w:rPr>
          <w:rFonts w:ascii="Arial" w:cs="Arial" w:eastAsia="Arial" w:hAnsi="Arial"/>
          <w:sz w:val="17"/>
          <w:szCs w:val="17"/>
          <w:color w:val="212529"/>
        </w:rPr>
        <w:t>Based on the</w:t>
      </w:r>
      <w:r>
        <w:rPr>
          <w:rFonts w:ascii="Arial" w:cs="Arial" w:eastAsia="Arial" w:hAnsi="Arial"/>
          <w:sz w:val="17"/>
          <w:szCs w:val="17"/>
          <w:color w:val="auto"/>
        </w:rPr>
        <w:t xml:space="preserve"> </w:t>
      </w:r>
      <w:r>
        <w:rPr>
          <w:rFonts w:ascii="Arial" w:cs="Arial" w:eastAsia="Arial" w:hAnsi="Arial"/>
          <w:sz w:val="17"/>
          <w:szCs w:val="17"/>
          <w:color w:val="212529"/>
        </w:rPr>
        <w:t>Company’s current operating plans, the Company believes that its existing cash, cash equivalents and investments, together with anticipated product revenues but excluding any potential option fees, milestone payments or other payments under its collaboration or license agreements, will be sufficient to enable it to fund its current operations for at least the next twelve months from the issuance of the financial statements</w:t>
      </w:r>
      <w:r>
        <w:rPr>
          <w:rFonts w:ascii="Arial" w:cs="Arial" w:eastAsia="Arial" w:hAnsi="Arial"/>
          <w:sz w:val="12"/>
          <w:szCs w:val="12"/>
          <w:color w:val="000000"/>
        </w:rPr>
        <w: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2019 and notes thereto included in the Company’s Annual Report on Form 10-K for the year ended December 31, 2019, filed with the SEC on February 13, 2020 (the 2019 Annual Report on Form 10-K).</w:t>
      </w:r>
    </w:p>
    <w:p>
      <w:pPr>
        <w:spacing w:after="0" w:line="184"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March 31, 2020, the results of its operations for the three months ended March 31, 2020 and 2019, stockholder’s equity for the three months ended March 31, 2020 and 2019 and cash</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48" w:lineRule="auto"/>
        <w:rPr>
          <w:sz w:val="20"/>
          <w:szCs w:val="20"/>
          <w:color w:val="auto"/>
        </w:rPr>
      </w:pPr>
      <w:r>
        <w:rPr>
          <w:rFonts w:ascii="Arial" w:cs="Arial" w:eastAsia="Arial" w:hAnsi="Arial"/>
          <w:sz w:val="18"/>
          <w:szCs w:val="18"/>
          <w:color w:val="auto"/>
        </w:rPr>
        <w:t>flows for the three months ended March 31, 2020 and 2019. Such adjustments are of a normal and recurring nature. The results for the three months ended March 31, 2020 are not necessarily indicative of the results for the year ending December 31, 2020 or for any future period.</w:t>
      </w:r>
    </w:p>
    <w:p>
      <w:pPr>
        <w:spacing w:after="0" w:line="182"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and Blueprint Medicines (Germany) GmbH, Blueprint Medicines Spain, S.L., Blueprint Medicines (France) SAS and Blueprint Medicines (Italy) S.r.L. All intercompany transactions and balances have been eliminated.</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operating lease right-of-use assets, operating lease liabilities, stock-based compensation expense, accrued expenses, and income taxes. The full extent to which the COVID-19 pandemic will directly or indirectly impact the Company’s business, results of operations and financial condition, including sales,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COVID-19, as well as the economic impact thereof on local, regional, national and international customers and markets. The Company had made estimates of the impact of COVID-19 within its financial statements and there may be changes to those estimates in future periods. Actual results may differ from these estimates.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2020 are consistent with those discussed in Note 2 to the consolidated financial statements in the 2019 Annual Report on Form 10-K, except as noted below with respect to the Company’s accounting policies for product revenue, accounts receivable, and inventory.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12"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 xml:space="preserve">The Company generated product revenue from sales of </w:t>
      </w:r>
      <w:r>
        <w:rPr>
          <w:rFonts w:ascii="Arial" w:cs="Arial" w:eastAsia="Arial" w:hAnsi="Arial"/>
          <w:sz w:val="18"/>
          <w:szCs w:val="18"/>
          <w:color w:val="0A0A0A"/>
          <w:highlight w:val="white"/>
        </w:rPr>
        <w:t>AYVAKIT</w:t>
      </w:r>
      <w:r>
        <w:rPr>
          <w:rFonts w:ascii="Arial" w:cs="Arial" w:eastAsia="Arial" w:hAnsi="Arial"/>
          <w:sz w:val="18"/>
          <w:szCs w:val="18"/>
          <w:color w:val="auto"/>
        </w:rPr>
        <w:t xml:space="preserve"> to specialty pharmacy providers in the U.S. These customers subsequently dispense the product directly to patients. In addition, the Company entered into arrangements with payors that provide for government mandated rebates and discounts and allowances with respect to the utilization of </w:t>
      </w:r>
      <w:r>
        <w:rPr>
          <w:rFonts w:ascii="Arial" w:cs="Arial" w:eastAsia="Arial" w:hAnsi="Arial"/>
          <w:sz w:val="18"/>
          <w:szCs w:val="18"/>
          <w:color w:val="0A0A0A"/>
          <w:highlight w:val="white"/>
        </w:rPr>
        <w:t>AYVAKIT</w:t>
      </w:r>
      <w:r>
        <w:rPr>
          <w:rFonts w:ascii="Arial" w:cs="Arial" w:eastAsia="Arial" w:hAnsi="Arial"/>
          <w:sz w:val="18"/>
          <w:szCs w:val="18"/>
          <w:color w:val="auto"/>
        </w:rPr>
        <w:t>.</w:t>
      </w:r>
    </w:p>
    <w:p>
      <w:pPr>
        <w:spacing w:after="0" w:line="188"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6"/>
          <w:szCs w:val="16"/>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 appropriate amount for estimates of variable consideration based on factors such as the Company’s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i w:val="1"/>
          <w:iCs w:val="1"/>
          <w:color w:val="auto"/>
        </w:rPr>
        <w:t xml:space="preserve">Chargebacks: </w:t>
      </w:r>
      <w:r>
        <w:rPr>
          <w:rFonts w:ascii="Arial" w:cs="Arial" w:eastAsia="Arial" w:hAnsi="Arial"/>
          <w:sz w:val="17"/>
          <w:szCs w:val="17"/>
          <w:color w:val="auto"/>
        </w:rPr>
        <w:t>Chargebacks for fees and discounts represent the estimated obligations resulting from contractual</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sell product to qualified healthcare providers and government agencies at prices lower than the list prices charged to the customers who directly purchase the product from the Company. The customers charge the Company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80"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Government rebates consist of Medicare, Tricare and Medicaid rebates,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the Company also estimates the number of patients in the prescription drug coverage gap for whom it will owe a rebate under the Medicare Part D program.</w:t>
      </w:r>
    </w:p>
    <w:p>
      <w:pPr>
        <w:spacing w:after="0" w:line="189" w:lineRule="exact"/>
        <w:rPr>
          <w:sz w:val="20"/>
          <w:szCs w:val="20"/>
          <w:color w:val="auto"/>
        </w:rPr>
      </w:pPr>
    </w:p>
    <w:p>
      <w:pPr>
        <w:jc w:val="both"/>
        <w:ind w:left="60" w:right="79" w:firstLine="648"/>
        <w:spacing w:after="0" w:line="243" w:lineRule="auto"/>
        <w:rPr>
          <w:sz w:val="20"/>
          <w:szCs w:val="20"/>
          <w:color w:val="auto"/>
        </w:rPr>
      </w:pPr>
      <w:r>
        <w:rPr>
          <w:rFonts w:ascii="Arial" w:cs="Arial" w:eastAsia="Arial" w:hAnsi="Arial"/>
          <w:sz w:val="18"/>
          <w:szCs w:val="18"/>
          <w:i w:val="1"/>
          <w:iCs w:val="1"/>
          <w:color w:val="auto"/>
        </w:rPr>
        <w:t xml:space="preserve">Trade discounts and allowances: </w:t>
      </w:r>
      <w:r>
        <w:rPr>
          <w:rFonts w:ascii="Arial" w:cs="Arial" w:eastAsia="Arial" w:hAnsi="Arial"/>
          <w:sz w:val="18"/>
          <w:szCs w:val="18"/>
          <w:color w:val="auto"/>
        </w:rPr>
        <w:t>The Company provides the customers with discounts that are explicitly stated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88"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The Company estimates the amount of its product sales that may be returned by its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74" w:lineRule="exact"/>
        <w:rPr>
          <w:sz w:val="20"/>
          <w:szCs w:val="20"/>
          <w:color w:val="auto"/>
        </w:rPr>
      </w:pPr>
    </w:p>
    <w:p>
      <w:pPr>
        <w:ind w:left="60" w:right="299" w:firstLine="648"/>
        <w:spacing w:after="0" w:line="243" w:lineRule="auto"/>
        <w:rPr>
          <w:sz w:val="20"/>
          <w:szCs w:val="20"/>
          <w:color w:val="auto"/>
        </w:rPr>
      </w:pPr>
      <w:r>
        <w:rPr>
          <w:rFonts w:ascii="Arial" w:cs="Arial" w:eastAsia="Arial" w:hAnsi="Arial"/>
          <w:sz w:val="18"/>
          <w:szCs w:val="18"/>
          <w:i w:val="1"/>
          <w:iCs w:val="1"/>
          <w:color w:val="auto"/>
        </w:rPr>
        <w:t xml:space="preserve">Other deductions: </w:t>
      </w:r>
      <w:r>
        <w:rPr>
          <w:rFonts w:ascii="Arial" w:cs="Arial" w:eastAsia="Arial" w:hAnsi="Arial"/>
          <w:sz w:val="18"/>
          <w:szCs w:val="18"/>
          <w:color w:val="auto"/>
        </w:rPr>
        <w:t>Co-pay assistance relates to financial assistance provided to qualified patients, whereby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w:t>
      </w:r>
    </w:p>
    <w:p>
      <w:pPr>
        <w:spacing w:after="0" w:line="212" w:lineRule="exact"/>
        <w:rPr>
          <w:sz w:val="20"/>
          <w:szCs w:val="20"/>
          <w:color w:val="auto"/>
        </w:rPr>
      </w:pPr>
    </w:p>
    <w:p>
      <w:pPr>
        <w:ind w:left="60" w:right="179" w:firstLine="648"/>
        <w:spacing w:after="0" w:line="274" w:lineRule="auto"/>
        <w:rPr>
          <w:sz w:val="20"/>
          <w:szCs w:val="20"/>
          <w:color w:val="auto"/>
        </w:rPr>
      </w:pPr>
      <w:r>
        <w:rPr>
          <w:rFonts w:ascii="Arial" w:cs="Arial" w:eastAsia="Arial" w:hAnsi="Arial"/>
          <w:sz w:val="16"/>
          <w:szCs w:val="16"/>
          <w:color w:val="auto"/>
        </w:rPr>
        <w:t>Accounts receivable arise from product sales and amounts due from the Company’s collaboration partners. The amount from product sales represents amounts due from specialty pharmacy providers in the U.S. The Company monitors economic conditions to identify facts or circumstances that may indicate that its receivables are at risk of collection. The Company provides reserves against accounts receivable for estimated losses that may result from a customer’s inability to pay based on the composition of its accounts receivable, current economic conditions and historical credit loss activity. Amounts determined to be uncollectible are charged or written-off against the reserve. For the three months ended March 31, 2020, the Company did not record any expected credit losses related to outstanding accounts receivable.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w:t>
      </w:r>
    </w:p>
    <w:p>
      <w:pPr>
        <w:spacing w:after="0" w:line="212" w:lineRule="exact"/>
        <w:rPr>
          <w:sz w:val="20"/>
          <w:szCs w:val="20"/>
          <w:color w:val="auto"/>
        </w:rPr>
      </w:pPr>
    </w:p>
    <w:p>
      <w:pPr>
        <w:jc w:val="both"/>
        <w:ind w:left="60" w:right="159" w:firstLine="648"/>
        <w:spacing w:after="0" w:line="248" w:lineRule="auto"/>
        <w:rPr>
          <w:sz w:val="20"/>
          <w:szCs w:val="20"/>
          <w:color w:val="auto"/>
        </w:rPr>
      </w:pPr>
      <w:r>
        <w:rPr>
          <w:rFonts w:ascii="Arial" w:cs="Arial" w:eastAsia="Arial" w:hAnsi="Arial"/>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w:t>
      </w:r>
    </w:p>
    <w:p>
      <w:pPr>
        <w:spacing w:after="0" w:line="182" w:lineRule="exact"/>
        <w:rPr>
          <w:sz w:val="20"/>
          <w:szCs w:val="20"/>
          <w:color w:val="auto"/>
        </w:rPr>
      </w:pPr>
    </w:p>
    <w:p>
      <w:pPr>
        <w:ind w:left="60" w:right="199" w:firstLine="648"/>
        <w:spacing w:after="0" w:line="262" w:lineRule="auto"/>
        <w:rPr>
          <w:sz w:val="20"/>
          <w:szCs w:val="20"/>
          <w:color w:val="auto"/>
        </w:rPr>
      </w:pPr>
      <w:r>
        <w:rPr>
          <w:rFonts w:ascii="Arial" w:cs="Arial" w:eastAsia="Arial" w:hAnsi="Arial"/>
          <w:sz w:val="17"/>
          <w:szCs w:val="17"/>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72"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condensed consolidated statements of operations and comprehensive loss. The determination 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1" w:lineRule="auto"/>
        <w:rPr>
          <w:sz w:val="20"/>
          <w:szCs w:val="20"/>
          <w:color w:val="auto"/>
        </w:rPr>
      </w:pPr>
      <w:r>
        <w:rPr>
          <w:rFonts w:ascii="Arial" w:cs="Arial" w:eastAsia="Arial" w:hAnsi="Arial"/>
          <w:sz w:val="17"/>
          <w:szCs w:val="17"/>
          <w:color w:val="auto"/>
        </w:rPr>
        <w:t>whether inventory costs will be realizable requires the use of estimates by management. If actual market conditions are less favorable than projected by management, additional write-downs of inventory may be required.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condensed consolidated financial statements and disclosures.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Losses</w:t>
      </w:r>
    </w:p>
    <w:p>
      <w:pPr>
        <w:spacing w:after="0" w:line="212" w:lineRule="exact"/>
        <w:rPr>
          <w:sz w:val="20"/>
          <w:szCs w:val="20"/>
          <w:color w:val="auto"/>
        </w:rPr>
      </w:pPr>
    </w:p>
    <w:p>
      <w:pPr>
        <w:ind w:left="60" w:right="299" w:firstLine="648"/>
        <w:spacing w:after="0" w:line="272" w:lineRule="auto"/>
        <w:rPr>
          <w:sz w:val="20"/>
          <w:szCs w:val="20"/>
          <w:color w:val="auto"/>
        </w:rPr>
      </w:pPr>
      <w:r>
        <w:rPr>
          <w:rFonts w:ascii="Arial" w:cs="Arial" w:eastAsia="Arial" w:hAnsi="Arial"/>
          <w:sz w:val="16"/>
          <w:szCs w:val="16"/>
          <w:color w:val="auto"/>
        </w:rPr>
        <w:t xml:space="preserve">In June 2016, the FASB issued </w:t>
      </w:r>
      <w:r>
        <w:rPr>
          <w:rFonts w:ascii="Arial" w:cs="Arial" w:eastAsia="Arial" w:hAnsi="Arial"/>
          <w:sz w:val="16"/>
          <w:szCs w:val="16"/>
          <w:i w:val="1"/>
          <w:iCs w:val="1"/>
          <w:color w:val="auto"/>
        </w:rPr>
        <w:t>ASU No. 2016-13, 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The FASB subsequently issued amendments to 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which had the same effective date and transition date of January 1, 2020. These standards require that credit losses be reported using an expected losses model rather than the incurred losses model that is currently used, and establish additional disclosures related to credit risks. For available-for-sale debt securities with unrealized losses, these standards now require allowances to be recorded instead of reducing the amortized cost of the investment. This standard limits the amount of credit losses to be recognized for available-for-sale debt securities to the amount by which carrying value exceeds fair value and requires the reversal of previously recognized credit losses if fair value increases.</w:t>
      </w:r>
    </w:p>
    <w:p>
      <w:pPr>
        <w:spacing w:after="0" w:line="168" w:lineRule="exact"/>
        <w:rPr>
          <w:sz w:val="20"/>
          <w:szCs w:val="20"/>
          <w:color w:val="auto"/>
        </w:rPr>
      </w:pPr>
    </w:p>
    <w:p>
      <w:pPr>
        <w:ind w:left="60" w:right="199" w:firstLine="648"/>
        <w:spacing w:after="0" w:line="241" w:lineRule="auto"/>
        <w:rPr>
          <w:sz w:val="20"/>
          <w:szCs w:val="20"/>
          <w:color w:val="auto"/>
        </w:rPr>
      </w:pPr>
      <w:r>
        <w:rPr>
          <w:rFonts w:ascii="Arial" w:cs="Arial" w:eastAsia="Arial" w:hAnsi="Arial"/>
          <w:sz w:val="18"/>
          <w:szCs w:val="18"/>
          <w:color w:val="auto"/>
        </w:rPr>
        <w:t>The Company adopted the new standard on a prospective basis on January 1, 2020 and has completed the assessment of the standard based on the composition of its accounts receivable, investment portfolio of financial instruments, current and forecasted economic conditions and historical credit loss activity as of January 1, 2020. The adoption of this standard did not have a significant impact on the Company’s condensed consolidated financial statements and related disclosures.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12"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 xml:space="preserve">In August 2018, the FASB issued </w:t>
      </w:r>
      <w:r>
        <w:rPr>
          <w:rFonts w:ascii="Arial" w:cs="Arial" w:eastAsia="Arial" w:hAnsi="Arial"/>
          <w:sz w:val="18"/>
          <w:szCs w:val="18"/>
          <w:i w:val="1"/>
          <w:iCs w:val="1"/>
          <w:color w:val="auto"/>
        </w:rPr>
        <w:t>ASU No. 2018-13, Fair Value Measurement (Topic 820): Disclosure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Changes to the Disclosure Requirements for Fair Value Measurement</w:t>
      </w:r>
      <w:r>
        <w:rPr>
          <w:rFonts w:ascii="Arial" w:cs="Arial" w:eastAsia="Arial" w:hAnsi="Arial"/>
          <w:sz w:val="18"/>
          <w:szCs w:val="18"/>
          <w:color w:val="auto"/>
        </w:rPr>
        <w:t>. This standard modifies certain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on fair value measurements. The Company adopted the new standard on January 1, 2020 and the adoption of this standard did not have a material impact on related disclosures.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Collaborative Arrangements</w:t>
      </w:r>
    </w:p>
    <w:p>
      <w:pPr>
        <w:spacing w:after="0" w:line="212" w:lineRule="exact"/>
        <w:rPr>
          <w:sz w:val="20"/>
          <w:szCs w:val="20"/>
          <w:color w:val="auto"/>
        </w:rPr>
      </w:pPr>
    </w:p>
    <w:p>
      <w:pPr>
        <w:jc w:val="both"/>
        <w:ind w:left="60" w:right="199" w:firstLine="648"/>
        <w:spacing w:after="0" w:line="248" w:lineRule="auto"/>
        <w:rPr>
          <w:sz w:val="20"/>
          <w:szCs w:val="20"/>
          <w:color w:val="auto"/>
        </w:rPr>
      </w:pPr>
      <w:r>
        <w:rPr>
          <w:rFonts w:ascii="Arial" w:cs="Arial" w:eastAsia="Arial" w:hAnsi="Arial"/>
          <w:sz w:val="18"/>
          <w:szCs w:val="18"/>
          <w:color w:val="auto"/>
        </w:rPr>
        <w:t xml:space="preserve">In November 2018, the </w:t>
      </w:r>
      <w:r>
        <w:rPr>
          <w:rFonts w:ascii="Arial" w:cs="Arial" w:eastAsia="Arial" w:hAnsi="Arial"/>
          <w:sz w:val="18"/>
          <w:szCs w:val="18"/>
          <w:i w:val="1"/>
          <w:iCs w:val="1"/>
          <w:color w:val="auto"/>
        </w:rPr>
        <w:t>FASB issued ASU No. 2018-18, Collaborative Arrangements (Topic 808): Clarifying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Interaction between Topic 808 and Topic 606. </w:t>
      </w:r>
      <w:r>
        <w:rPr>
          <w:rFonts w:ascii="Arial" w:cs="Arial" w:eastAsia="Arial" w:hAnsi="Arial"/>
          <w:sz w:val="18"/>
          <w:szCs w:val="18"/>
          <w:color w:val="auto"/>
        </w:rPr>
        <w:t>This standard makes targeted improvements for collaborative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follows:</w:t>
      </w:r>
    </w:p>
    <w:p>
      <w:pPr>
        <w:spacing w:after="0" w:line="182" w:lineRule="exact"/>
        <w:rPr>
          <w:sz w:val="20"/>
          <w:szCs w:val="20"/>
          <w:color w:val="auto"/>
        </w:rPr>
      </w:pPr>
    </w:p>
    <w:p>
      <w:pPr>
        <w:ind w:left="1380" w:right="299" w:hanging="331"/>
        <w:spacing w:after="0" w:line="241"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Clarifies that certain transactions between collaborative arrangement participants should be accounted for as revenue under </w:t>
      </w:r>
      <w:r>
        <w:rPr>
          <w:rFonts w:ascii="Arial" w:cs="Arial" w:eastAsia="Arial" w:hAnsi="Arial"/>
          <w:sz w:val="18"/>
          <w:szCs w:val="18"/>
          <w:i w:val="1"/>
          <w:iCs w:val="1"/>
          <w:color w:val="auto"/>
        </w:rPr>
        <w:t>ASC 606, Revenue from Contracts with Customers</w:t>
      </w:r>
      <w:r>
        <w:rPr>
          <w:rFonts w:ascii="Arial" w:cs="Arial" w:eastAsia="Arial" w:hAnsi="Arial"/>
          <w:sz w:val="18"/>
          <w:szCs w:val="18"/>
          <w:color w:val="auto"/>
        </w:rPr>
        <w:t>, when the collaborative arrangement participant is a customer in the context of a unit of account. In those situations, all the guidance in ASC 606 should be applied, including recognition, measurement, presentation and disclosure requirements;</w:t>
      </w:r>
    </w:p>
    <w:p>
      <w:pPr>
        <w:spacing w:after="0" w:line="189" w:lineRule="exact"/>
        <w:rPr>
          <w:rFonts w:ascii="Arial" w:cs="Arial" w:eastAsia="Arial" w:hAnsi="Arial"/>
          <w:sz w:val="18"/>
          <w:szCs w:val="18"/>
          <w:color w:val="auto"/>
        </w:rPr>
      </w:pPr>
    </w:p>
    <w:p>
      <w:pPr>
        <w:jc w:val="both"/>
        <w:ind w:left="1380" w:right="439" w:hanging="331"/>
        <w:spacing w:after="0" w:line="270" w:lineRule="auto"/>
        <w:tabs>
          <w:tab w:leader="none" w:pos="1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Adds unit-of-account guidance to </w:t>
      </w:r>
      <w:r>
        <w:rPr>
          <w:rFonts w:ascii="Arial" w:cs="Arial" w:eastAsia="Arial" w:hAnsi="Arial"/>
          <w:sz w:val="17"/>
          <w:szCs w:val="17"/>
          <w:i w:val="1"/>
          <w:iCs w:val="1"/>
          <w:color w:val="auto"/>
        </w:rPr>
        <w:t>ASC 808, Collaborative Arrangements</w:t>
      </w:r>
      <w:r>
        <w:rPr>
          <w:rFonts w:ascii="Arial" w:cs="Arial" w:eastAsia="Arial" w:hAnsi="Arial"/>
          <w:sz w:val="17"/>
          <w:szCs w:val="17"/>
          <w:color w:val="auto"/>
        </w:rPr>
        <w:t>, to align with the guidance in ASC 606 (that is, a distinct good or service) when an entity is assessing whether the collaborative arrangement or a part of the arrangement is within the scope of ASC 606; and</w:t>
      </w:r>
    </w:p>
    <w:p>
      <w:pPr>
        <w:spacing w:after="0" w:line="163" w:lineRule="exact"/>
        <w:rPr>
          <w:rFonts w:ascii="Arial" w:cs="Arial" w:eastAsia="Arial" w:hAnsi="Arial"/>
          <w:sz w:val="17"/>
          <w:szCs w:val="17"/>
          <w:color w:val="auto"/>
        </w:rPr>
      </w:pPr>
    </w:p>
    <w:p>
      <w:pPr>
        <w:ind w:left="1380" w:right="239" w:hanging="331"/>
        <w:spacing w:after="0" w:line="248" w:lineRule="auto"/>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w:t>
      </w:r>
    </w:p>
    <w:p>
      <w:pPr>
        <w:spacing w:after="0" w:line="182" w:lineRule="exact"/>
        <w:rPr>
          <w:sz w:val="20"/>
          <w:szCs w:val="20"/>
          <w:color w:val="auto"/>
        </w:rPr>
      </w:pPr>
    </w:p>
    <w:p>
      <w:pPr>
        <w:ind w:left="60" w:right="319" w:firstLine="648"/>
        <w:spacing w:after="0" w:line="324" w:lineRule="auto"/>
        <w:rPr>
          <w:sz w:val="20"/>
          <w:szCs w:val="20"/>
          <w:color w:val="auto"/>
        </w:rPr>
      </w:pPr>
      <w:r>
        <w:rPr>
          <w:rFonts w:ascii="Arial" w:cs="Arial" w:eastAsia="Arial" w:hAnsi="Arial"/>
          <w:sz w:val="16"/>
          <w:szCs w:val="16"/>
          <w:color w:val="auto"/>
        </w:rPr>
        <w:t>The Company adopted the new standard on January 1, 2020. A retrospective transition approach is required for either all contracts or only for contracts that are not completed at the date of initial application of ASC 606, with 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cumulative adjustment to opening retained earnings. The adoption of this standard did not have a material impact on its condensed consolidated financial position and results of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In August 2018, the FASB issued </w:t>
      </w:r>
      <w:r>
        <w:rPr>
          <w:rFonts w:ascii="Arial" w:cs="Arial" w:eastAsia="Arial" w:hAnsi="Arial"/>
          <w:sz w:val="18"/>
          <w:szCs w:val="18"/>
          <w:i w:val="1"/>
          <w:iCs w:val="1"/>
          <w:color w:val="auto"/>
        </w:rPr>
        <w:t>ASU No. 2018-15, Intangibles-Goodwill and Other-Internal-Use Software</w:t>
      </w:r>
      <w:r>
        <w:rPr>
          <w:rFonts w:ascii="Arial" w:cs="Arial" w:eastAsia="Arial" w:hAnsi="Arial"/>
          <w:sz w:val="18"/>
          <w:szCs w:val="18"/>
          <w:color w:val="auto"/>
        </w:rPr>
        <w:t xml:space="preserve"> </w:t>
      </w:r>
      <w:r>
        <w:rPr>
          <w:rFonts w:ascii="Arial" w:cs="Arial" w:eastAsia="Arial" w:hAnsi="Arial"/>
          <w:sz w:val="18"/>
          <w:szCs w:val="18"/>
          <w:i w:val="1"/>
          <w:iCs w:val="1"/>
          <w:color w:val="auto"/>
        </w:rPr>
        <w:t>(Subtopic 350-40): Customer’s Accounting for Implementation Costs Incurred in a Cloud Computing Arrangement That Is a Service Contract</w:t>
      </w:r>
      <w:r>
        <w:rPr>
          <w:rFonts w:ascii="Arial" w:cs="Arial" w:eastAsia="Arial" w:hAnsi="Arial"/>
          <w:sz w:val="18"/>
          <w:szCs w:val="18"/>
          <w:color w:val="auto"/>
        </w:rPr>
        <w:t>, which clarifies the accounting for implementation costs in cloud computing arrangements.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is effective for interim and annual periods beginning after December 15, 2019, with early adoption permitted, and can be adopted prospectively or retrospectively.</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adopted the new standard on January 1, 2020 on a prospective basis. The adoption of this standard did not have a significant impact on the Company’s condensed consolidated financial position and results of operations. However, the adoption of this standard will result in an increase in capitalized assets related to qualifying cloud computing arrangement implementation costs incurred after the adoption date.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 xml:space="preserve">In December 2019, the FASB issued </w:t>
      </w:r>
      <w:r>
        <w:rPr>
          <w:rFonts w:ascii="Arial" w:cs="Arial" w:eastAsia="Arial" w:hAnsi="Arial"/>
          <w:sz w:val="17"/>
          <w:szCs w:val="17"/>
          <w:i w:val="1"/>
          <w:iCs w:val="1"/>
          <w:color w:val="auto"/>
        </w:rPr>
        <w:t>ASU No. 2019-12, Income Taxes (Topic 740): 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as part of its initiative to reduce complexity in the accounting standards. The amendments in ASU 2019-12</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amendments in ASU 2019-12 are effective for the fiscal years beginning after December 15, 2020. Early adoption is permitted, including adoption in any interim period. The Company has early adopted this amendment as of January 1, 2020. The adoption of the standard did not have a material impact to the Company’s condensed consolidated financial position and results of operations as well as related income tax disclosures.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9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Cash Equivalents and Investments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Cash equivalents and investments, available-for-sale, consisted of the following at March 31, 2020 and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March 31, 2020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95"/>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46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Gain</w:t>
            </w: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Losses</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341,711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341,711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securities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100,996</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U.S. treasury obligations</w:t>
            </w: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272,174</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274,266</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7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743,997</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2,975</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746,972</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815"/>
              <w:spacing w:after="0"/>
              <w:rPr>
                <w:sz w:val="20"/>
                <w:szCs w:val="20"/>
                <w:color w:val="auto"/>
              </w:rPr>
            </w:pPr>
            <w:r>
              <w:rPr>
                <w:rFonts w:ascii="Arial" w:cs="Arial" w:eastAsia="Arial" w:hAnsi="Arial"/>
                <w:sz w:val="18"/>
                <w:szCs w:val="18"/>
                <w:color w:val="auto"/>
                <w:w w:val="89"/>
              </w:rPr>
              <w:t>12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5"/>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460" w:type="dxa"/>
            <w:vAlign w:val="bottom"/>
            <w:tcBorders>
              <w:bottom w:val="single" w:sz="8" w:color="CCEEFF"/>
            </w:tcBorders>
            <w:vMerge w:val="continue"/>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Gain</w:t>
            </w:r>
          </w:p>
        </w:tc>
        <w:tc>
          <w:tcPr>
            <w:tcW w:w="2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Losses</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98,946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98,946</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agency securities</w:t>
            </w: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128,312</w:t>
            </w:r>
          </w:p>
        </w:tc>
        <w:tc>
          <w:tcPr>
            <w:tcW w:w="0" w:type="dxa"/>
            <w:vAlign w:val="bottom"/>
          </w:tcPr>
          <w:p>
            <w:pPr>
              <w:spacing w:after="0"/>
              <w:rPr>
                <w:sz w:val="1"/>
                <w:szCs w:val="1"/>
                <w:color w:val="auto"/>
              </w:rPr>
            </w:pPr>
          </w:p>
        </w:tc>
      </w:tr>
      <w:tr>
        <w:trPr>
          <w:trHeight w:val="229"/>
        </w:trPr>
        <w:tc>
          <w:tcPr>
            <w:tcW w:w="3460" w:type="dxa"/>
            <w:vAlign w:val="bottom"/>
          </w:tcPr>
          <w:p>
            <w:pPr>
              <w:ind w:left="220"/>
              <w:spacing w:after="0"/>
              <w:rPr>
                <w:sz w:val="20"/>
                <w:szCs w:val="20"/>
                <w:color w:val="auto"/>
              </w:rPr>
            </w:pPr>
            <w:r>
              <w:rPr>
                <w:rFonts w:ascii="Arial" w:cs="Arial" w:eastAsia="Arial" w:hAnsi="Arial"/>
                <w:sz w:val="18"/>
                <w:szCs w:val="18"/>
                <w:color w:val="auto"/>
              </w:rPr>
              <w:t>U.S. treasury obligations</w:t>
            </w: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305,360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305,710</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top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547,454</w:t>
            </w:r>
          </w:p>
        </w:tc>
        <w:tc>
          <w:tcPr>
            <w:tcW w:w="280" w:type="dxa"/>
            <w:vAlign w:val="bottom"/>
            <w:tcBorders>
              <w:top w:val="single" w:sz="8" w:color="CCEEFF"/>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518</w:t>
            </w:r>
          </w:p>
        </w:tc>
        <w:tc>
          <w:tcPr>
            <w:tcW w:w="34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440" w:type="dxa"/>
            <w:vAlign w:val="bottom"/>
            <w:tcBorders>
              <w:top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547,960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7"/>
          <w:szCs w:val="17"/>
          <w:color w:val="auto"/>
        </w:rPr>
        <w:t>As of March 31, 2020, the Company has no investment in an unrealized loss position. As of December 31, 2019, the Company held 11 debt securities in an unrealized loss position with an aggregate fair value $82.1 million.</w:t>
      </w:r>
    </w:p>
    <w:p>
      <w:pPr>
        <w:spacing w:after="0" w:line="133" w:lineRule="exact"/>
        <w:rPr>
          <w:sz w:val="20"/>
          <w:szCs w:val="20"/>
          <w:color w:val="auto"/>
        </w:rPr>
      </w:pPr>
    </w:p>
    <w:p>
      <w:pPr>
        <w:ind w:left="60" w:right="559" w:firstLine="648"/>
        <w:spacing w:after="0" w:line="248" w:lineRule="auto"/>
        <w:rPr>
          <w:sz w:val="20"/>
          <w:szCs w:val="20"/>
          <w:color w:val="auto"/>
        </w:rPr>
      </w:pPr>
      <w:r>
        <w:rPr>
          <w:rFonts w:ascii="Arial" w:cs="Arial" w:eastAsia="Arial" w:hAnsi="Arial"/>
          <w:sz w:val="18"/>
          <w:szCs w:val="18"/>
          <w:color w:val="auto"/>
        </w:rPr>
        <w:t xml:space="preserve">As of March 31, 2020, 12 securities with an aggregate fair value of $83.7 million have remaining maturities greater than one year. As of December 31, 2019, nine </w:t>
      </w:r>
      <w:r>
        <w:rPr>
          <w:rFonts w:ascii="Arial" w:cs="Arial" w:eastAsia="Arial" w:hAnsi="Arial"/>
          <w:sz w:val="18"/>
          <w:szCs w:val="18"/>
          <w:color w:val="212529"/>
        </w:rPr>
        <w:t>securities with an aggregate fair value of $64.4 million had</w:t>
      </w:r>
      <w:r>
        <w:rPr>
          <w:rFonts w:ascii="Arial" w:cs="Arial" w:eastAsia="Arial" w:hAnsi="Arial"/>
          <w:sz w:val="18"/>
          <w:szCs w:val="18"/>
          <w:color w:val="auto"/>
        </w:rPr>
        <w:t xml:space="preserve"> </w:t>
      </w:r>
      <w:r>
        <w:rPr>
          <w:rFonts w:ascii="Arial" w:cs="Arial" w:eastAsia="Arial" w:hAnsi="Arial"/>
          <w:sz w:val="18"/>
          <w:szCs w:val="18"/>
          <w:color w:val="212529"/>
        </w:rPr>
        <w:t>remaining maturities greater than one year.</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4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March 31, 2020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55"/>
              <w:spacing w:after="0"/>
              <w:rPr>
                <w:sz w:val="20"/>
                <w:szCs w:val="20"/>
                <w:color w:val="auto"/>
              </w:rPr>
            </w:pPr>
            <w:r>
              <w:rPr>
                <w:rFonts w:ascii="Arial" w:cs="Arial" w:eastAsia="Arial" w:hAnsi="Arial"/>
                <w:sz w:val="14"/>
                <w:szCs w:val="14"/>
                <w:b w:val="1"/>
                <w:bCs w:val="1"/>
                <w:color w:val="auto"/>
                <w:w w:val="95"/>
              </w:rPr>
              <w:t>Inputs</w:t>
            </w:r>
          </w:p>
        </w:tc>
      </w:tr>
      <w:tr>
        <w:trPr>
          <w:trHeight w:val="185"/>
        </w:trPr>
        <w:tc>
          <w:tcPr>
            <w:tcW w:w="50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94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3)</w:t>
            </w:r>
          </w:p>
        </w:tc>
      </w:tr>
      <w:tr>
        <w:trPr>
          <w:trHeight w:val="155"/>
        </w:trPr>
        <w:tc>
          <w:tcPr>
            <w:tcW w:w="50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Financial Assets</w:t>
            </w:r>
          </w:p>
        </w:tc>
        <w:tc>
          <w:tcPr>
            <w:tcW w:w="1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$ 341,711</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$ 341,711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29,999</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29,999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available-for-sale: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502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100,996</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100,996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r>
      <w:tr>
        <w:trPr>
          <w:trHeight w:val="203"/>
        </w:trPr>
        <w:tc>
          <w:tcPr>
            <w:tcW w:w="5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274,266</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274,266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w:t>
            </w:r>
          </w:p>
        </w:tc>
      </w:tr>
      <w:tr>
        <w:trPr>
          <w:trHeight w:val="196"/>
        </w:trPr>
        <w:tc>
          <w:tcPr>
            <w:tcW w:w="50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$ 746,972</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$ 645,976</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100,996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ind w:left="500"/>
              <w:spacing w:after="0" w:line="196" w:lineRule="exact"/>
              <w:rPr>
                <w:sz w:val="20"/>
                <w:szCs w:val="20"/>
                <w:color w:val="auto"/>
              </w:rPr>
            </w:pPr>
            <w:r>
              <w:rPr>
                <w:rFonts w:ascii="Arial" w:cs="Arial" w:eastAsia="Arial" w:hAnsi="Arial"/>
                <w:sz w:val="18"/>
                <w:szCs w:val="18"/>
                <w:color w:val="auto"/>
              </w:rPr>
              <w:t>—</w:t>
            </w: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December 31, 2019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492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Inputs</w:t>
            </w:r>
          </w:p>
        </w:tc>
      </w:tr>
      <w:tr>
        <w:trPr>
          <w:trHeight w:val="185"/>
        </w:trPr>
        <w:tc>
          <w:tcPr>
            <w:tcW w:w="49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155"/>
        </w:trPr>
        <w:tc>
          <w:tcPr>
            <w:tcW w:w="49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3"/>
        </w:trPr>
        <w:tc>
          <w:tcPr>
            <w:tcW w:w="4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32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98,946</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98,946</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14,992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14,992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available-for-sale:</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128,312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128,312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305,710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305,710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196"/>
        </w:trPr>
        <w:tc>
          <w:tcPr>
            <w:tcW w:w="49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547,960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419,648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128,312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r>
      <w:tr>
        <w:trPr>
          <w:trHeight w:val="20"/>
        </w:trPr>
        <w:tc>
          <w:tcPr>
            <w:tcW w:w="4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Product Revenue Reserves and Allowances</w:t>
      </w:r>
    </w:p>
    <w:p>
      <w:pPr>
        <w:spacing w:after="0" w:line="216" w:lineRule="exact"/>
        <w:rPr>
          <w:sz w:val="20"/>
          <w:szCs w:val="20"/>
          <w:color w:val="auto"/>
        </w:rPr>
      </w:pPr>
    </w:p>
    <w:p>
      <w:pPr>
        <w:ind w:left="60" w:right="279" w:firstLine="648"/>
        <w:spacing w:after="0" w:line="291" w:lineRule="auto"/>
        <w:rPr>
          <w:sz w:val="20"/>
          <w:szCs w:val="20"/>
          <w:color w:val="auto"/>
        </w:rPr>
      </w:pPr>
      <w:r>
        <w:rPr>
          <w:rFonts w:ascii="Arial" w:cs="Arial" w:eastAsia="Arial" w:hAnsi="Arial"/>
          <w:sz w:val="17"/>
          <w:szCs w:val="17"/>
          <w:color w:val="auto"/>
        </w:rPr>
        <w:t xml:space="preserve">In January 2020, the FDA approved </w:t>
      </w:r>
      <w:r>
        <w:rPr>
          <w:rFonts w:ascii="Arial" w:cs="Arial" w:eastAsia="Arial" w:hAnsi="Arial"/>
          <w:sz w:val="17"/>
          <w:szCs w:val="17"/>
          <w:color w:val="0A0A0A"/>
          <w:highlight w:val="white"/>
        </w:rPr>
        <w:t>AYVAKIT</w:t>
      </w:r>
      <w:r>
        <w:rPr>
          <w:rFonts w:ascii="Arial" w:cs="Arial" w:eastAsia="Arial" w:hAnsi="Arial"/>
          <w:sz w:val="17"/>
          <w:szCs w:val="17"/>
          <w:color w:val="auto"/>
        </w:rPr>
        <w:t xml:space="preserve"> for the treatment of adults with unresectable or metastatic GIST harboring </w:t>
      </w:r>
      <w:r>
        <w:rPr>
          <w:rFonts w:ascii="Arial" w:cs="Arial" w:eastAsia="Arial" w:hAnsi="Arial"/>
          <w:sz w:val="17"/>
          <w:szCs w:val="17"/>
          <w:color w:val="0A0A0A"/>
          <w:highlight w:val="white"/>
        </w:rPr>
        <w:t>PDGFRA exon 18 mutation, including PDGFRA D842V mutations</w:t>
      </w:r>
      <w:r>
        <w:rPr>
          <w:rFonts w:ascii="Arial" w:cs="Arial" w:eastAsia="Arial" w:hAnsi="Arial"/>
          <w:sz w:val="17"/>
          <w:szCs w:val="17"/>
          <w:color w:val="auto"/>
        </w:rPr>
        <w:t>. To date, the Company’s only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Arial" w:cs="Arial" w:eastAsia="Arial" w:hAnsi="Arial"/>
          <w:sz w:val="18"/>
          <w:szCs w:val="18"/>
          <w:color w:val="auto"/>
        </w:rPr>
        <w:t xml:space="preserve">source of product revenue has been from the U.S. sales of </w:t>
      </w:r>
      <w:r>
        <w:rPr>
          <w:rFonts w:ascii="Arial" w:cs="Arial" w:eastAsia="Arial" w:hAnsi="Arial"/>
          <w:sz w:val="18"/>
          <w:szCs w:val="18"/>
          <w:color w:val="0A0A0A"/>
          <w:highlight w:val="white"/>
        </w:rPr>
        <w:t>AYVAKIT</w:t>
      </w:r>
      <w:r>
        <w:rPr>
          <w:rFonts w:ascii="Arial" w:cs="Arial" w:eastAsia="Arial" w:hAnsi="Arial"/>
          <w:sz w:val="18"/>
          <w:szCs w:val="18"/>
          <w:color w:val="auto"/>
        </w:rPr>
        <w:t>, and the total net product revenue was $3.5 million for the three months ended March 31, 2020.</w:t>
      </w:r>
    </w:p>
    <w:p>
      <w:pPr>
        <w:spacing w:after="0" w:line="171"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for the three months ended March 31,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0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at January 1, 2020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Provision related to sales in the current period</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related to prior periods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Credits and payments made</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196"/>
        </w:trPr>
        <w:tc>
          <w:tcPr>
            <w:tcW w:w="74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Ending balance at March 31, 2020</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w:t>
            </w: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color w:val="auto"/>
        </w:rPr>
        <w:t>The total reserves above, which are included in the Company’s condensed consolidated balance sheets, are summarized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accounts receivable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 of accrued expenses</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327</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revenue-related reserves</w:t>
            </w: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488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6. Inventory</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40" w:type="dxa"/>
            <w:vAlign w:val="bottom"/>
          </w:tcPr>
          <w:p>
            <w:pPr>
              <w:ind w:left="660"/>
              <w:spacing w:after="0"/>
              <w:rPr>
                <w:sz w:val="20"/>
                <w:szCs w:val="20"/>
                <w:color w:val="auto"/>
              </w:rPr>
            </w:pPr>
            <w:r>
              <w:rPr>
                <w:rFonts w:ascii="Arial" w:cs="Arial" w:eastAsia="Arial" w:hAnsi="Arial"/>
                <w:sz w:val="18"/>
                <w:szCs w:val="18"/>
                <w:color w:val="auto"/>
                <w:w w:val="95"/>
              </w:rPr>
              <w:t>Capitalized inventory consists of the following at March 31, 2020 (in thousands):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87"/>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24"/>
                <w:szCs w:val="2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6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Work in process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2,580</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2,665</w:t>
            </w:r>
          </w:p>
        </w:tc>
        <w:tc>
          <w:tcPr>
            <w:tcW w:w="2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Inventory amounts written down as a result of excess, obsolescence, unmarketability or other reasons are charged to cost of sales was zero for the three months ended March 31,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Restricted Cash</w:t>
      </w:r>
    </w:p>
    <w:p>
      <w:pPr>
        <w:spacing w:after="0" w:line="216"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color w:val="auto"/>
        </w:rPr>
        <w:t>At March 31, 2020 and December 31, 2019, $5.2 million and $5.7 million, respectively, of the Company’s cash is restricted by a bank primarily related to security deposits for the lease agreements for the Company’s current and former corporate headquarters.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For additional information on these security deposits, see Note 14, </w:t>
      </w:r>
      <w:r>
        <w:rPr>
          <w:rFonts w:ascii="Arial" w:cs="Arial" w:eastAsia="Arial" w:hAnsi="Arial"/>
          <w:sz w:val="18"/>
          <w:szCs w:val="18"/>
          <w:i w:val="1"/>
          <w:iCs w:val="1"/>
          <w:color w:val="auto"/>
        </w:rPr>
        <w:t>Leases.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Property and Equipment, Net</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and related accumulated depreciation are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9"/>
        </w:trPr>
        <w:tc>
          <w:tcPr>
            <w:tcW w:w="5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December 31,</w:t>
            </w:r>
          </w:p>
        </w:tc>
      </w:tr>
      <w:tr>
        <w:trPr>
          <w:trHeight w:val="201"/>
        </w:trPr>
        <w:tc>
          <w:tcPr>
            <w:tcW w:w="5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7"/>
                <w:szCs w:val="17"/>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r>
      <w:tr>
        <w:trPr>
          <w:trHeight w:val="196"/>
        </w:trPr>
        <w:tc>
          <w:tcPr>
            <w:tcW w:w="5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1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10,475</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8,975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3,580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3,512</w:t>
            </w: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1,558</w:t>
            </w: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32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9"/>
              </w:rPr>
              <w:t>Term of lease</w:t>
            </w: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35,975</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36,627</w:t>
            </w: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Construction-in-progress</w:t>
            </w:r>
          </w:p>
        </w:tc>
        <w:tc>
          <w:tcPr>
            <w:tcW w:w="1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tcPr>
          <w:p>
            <w:pPr>
              <w:spacing w:after="0"/>
              <w:rPr>
                <w:sz w:val="17"/>
                <w:szCs w:val="17"/>
                <w:color w:val="auto"/>
              </w:rPr>
            </w:pPr>
          </w:p>
        </w:tc>
      </w:tr>
      <w:tr>
        <w:trPr>
          <w:trHeight w:val="196"/>
        </w:trPr>
        <w:tc>
          <w:tcPr>
            <w:tcW w:w="5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53,077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52,045</w:t>
            </w: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(15,255)</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(13,684)</w:t>
            </w:r>
          </w:p>
        </w:tc>
      </w:tr>
      <w:tr>
        <w:trPr>
          <w:trHeight w:val="196"/>
        </w:trPr>
        <w:tc>
          <w:tcPr>
            <w:tcW w:w="5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37,822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38,361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Property, plant and equipment are recorded at historical cost, net of accumulated depreciation. For</w:t>
      </w:r>
    </w:p>
    <w:p>
      <w:pPr>
        <w:spacing w:after="0" w:line="12" w:lineRule="exact"/>
        <w:rPr>
          <w:sz w:val="20"/>
          <w:szCs w:val="20"/>
          <w:color w:val="auto"/>
        </w:rPr>
      </w:pPr>
    </w:p>
    <w:p>
      <w:pPr>
        <w:ind w:left="60" w:right="619"/>
        <w:spacing w:after="0" w:line="243" w:lineRule="auto"/>
        <w:rPr>
          <w:sz w:val="20"/>
          <w:szCs w:val="20"/>
          <w:color w:val="auto"/>
        </w:rPr>
      </w:pPr>
      <w:r>
        <w:rPr>
          <w:rFonts w:ascii="Arial" w:cs="Arial" w:eastAsia="Arial" w:hAnsi="Arial"/>
          <w:sz w:val="18"/>
          <w:szCs w:val="18"/>
          <w:color w:val="auto"/>
        </w:rPr>
        <w:t>the three months ended March 31, 2020, depreciation expense totaled $1.6 million, compared to $1.2 million for the three months ended March 31, 2019.</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development and commercial contract costs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51,823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59,420</w:t>
            </w:r>
          </w:p>
        </w:tc>
        <w:tc>
          <w:tcPr>
            <w:tcW w:w="100" w:type="dxa"/>
            <w:vAlign w:val="bottom"/>
            <w:shd w:val="clear" w:color="auto" w:fill="CCEEFF"/>
          </w:tcPr>
          <w:p>
            <w:pPr>
              <w:spacing w:after="0"/>
              <w:rPr>
                <w:sz w:val="17"/>
                <w:szCs w:val="17"/>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13,519</w:t>
            </w:r>
          </w:p>
        </w:tc>
        <w:tc>
          <w:tcPr>
            <w:tcW w:w="100" w:type="dxa"/>
            <w:vAlign w:val="bottom"/>
          </w:tcPr>
          <w:p>
            <w:pPr>
              <w:spacing w:after="0"/>
              <w:rPr>
                <w:sz w:val="19"/>
                <w:szCs w:val="19"/>
                <w:color w:val="auto"/>
              </w:rPr>
            </w:pPr>
          </w:p>
        </w:tc>
      </w:tr>
      <w:tr>
        <w:trPr>
          <w:trHeight w:val="203"/>
        </w:trPr>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12,042</w:t>
            </w:r>
          </w:p>
        </w:tc>
        <w:tc>
          <w:tcPr>
            <w:tcW w:w="100" w:type="dxa"/>
            <w:vAlign w:val="bottom"/>
            <w:shd w:val="clear" w:color="auto" w:fill="CCEEFF"/>
          </w:tcPr>
          <w:p>
            <w:pPr>
              <w:spacing w:after="0"/>
              <w:rPr>
                <w:sz w:val="17"/>
                <w:szCs w:val="17"/>
                <w:color w:val="auto"/>
              </w:rPr>
            </w:pP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costs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906</w:t>
            </w:r>
          </w:p>
        </w:tc>
        <w:tc>
          <w:tcPr>
            <w:tcW w:w="100" w:type="dxa"/>
            <w:vAlign w:val="bottom"/>
          </w:tcPr>
          <w:p>
            <w:pPr>
              <w:spacing w:after="0"/>
              <w:rPr>
                <w:sz w:val="17"/>
                <w:szCs w:val="17"/>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Revenue-related reserves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3"/>
        </w:trPr>
        <w:tc>
          <w:tcPr>
            <w:tcW w:w="67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2,228</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2,819</w:t>
            </w:r>
          </w:p>
        </w:tc>
        <w:tc>
          <w:tcPr>
            <w:tcW w:w="100" w:type="dxa"/>
            <w:vAlign w:val="bottom"/>
            <w:tcBorders>
              <w:bottom w:val="single" w:sz="8" w:color="CCEEFF"/>
            </w:tcBorders>
          </w:tcPr>
          <w:p>
            <w:pPr>
              <w:spacing w:after="0"/>
              <w:rPr>
                <w:sz w:val="17"/>
                <w:szCs w:val="17"/>
                <w:color w:val="auto"/>
              </w:rPr>
            </w:pPr>
          </w:p>
        </w:tc>
      </w:tr>
      <w:tr>
        <w:trPr>
          <w:trHeight w:val="196"/>
        </w:trPr>
        <w:tc>
          <w:tcPr>
            <w:tcW w:w="6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73,961</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88,706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10</w:t>
      </w:r>
      <w:r>
        <w:rPr>
          <w:rFonts w:ascii="Arial" w:cs="Arial" w:eastAsia="Arial" w:hAnsi="Arial"/>
          <w:sz w:val="17"/>
          <w:szCs w:val="17"/>
          <w:b w:val="1"/>
          <w:bCs w:val="1"/>
          <w:color w:val="auto"/>
        </w:rPr>
        <w:t>. Collaboration and License Agreements</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Clementia</w:t>
      </w:r>
    </w:p>
    <w:p>
      <w:pPr>
        <w:spacing w:after="0" w:line="21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59" w:lineRule="exact"/>
        <w:rPr>
          <w:sz w:val="20"/>
          <w:szCs w:val="20"/>
          <w:color w:val="auto"/>
        </w:rPr>
      </w:pPr>
    </w:p>
    <w:p>
      <w:pPr>
        <w:ind w:left="60" w:right="179" w:firstLine="648"/>
        <w:spacing w:after="0" w:line="274" w:lineRule="auto"/>
        <w:rPr>
          <w:sz w:val="20"/>
          <w:szCs w:val="20"/>
          <w:color w:val="auto"/>
        </w:rPr>
      </w:pPr>
      <w:r>
        <w:rPr>
          <w:rFonts w:ascii="Arial" w:cs="Arial" w:eastAsia="Arial" w:hAnsi="Arial"/>
          <w:sz w:val="16"/>
          <w:szCs w:val="16"/>
          <w:color w:val="auto"/>
        </w:rPr>
        <w:t>The Company received an upfront cash payment of $25.0 million, and subject to the terms of the Clementia agreement, the Company will be eligible to receive up to $510.0 million in milestone and other payments, including a $20.0 million cash milestone payment due in the third quarter of 2020 and up to $490.0 million in other payments and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to purchase specified manufacturing inventory from the Company for a total of $1.5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63"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84"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The Company determined that the transaction price as of the outset of the arrangement was $46.5 million, which consists of the upfront amount of $25.0 million, the $20.0 million cash milestone payment due in the third quarter of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 on a relative stand-alone selling price basis. The Company satisfies the performance obligations upon delivery of the license and completion of the technology transfer and inventory transfers.</w:t>
      </w:r>
    </w:p>
    <w:p>
      <w:pPr>
        <w:spacing w:after="0" w:line="163"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During 2019, the Company completed the delivery of the license, the technology transfer and the transfer of existing manufacturing inventory and recognized a total of $46.2 million as revenue, of which $20.0 million cash milestone payment due in the third quarter of 2020 was recorded as unbilled accounts receivable.</w:t>
      </w:r>
    </w:p>
    <w:p>
      <w:pPr>
        <w:spacing w:after="0" w:line="182" w:lineRule="exact"/>
        <w:rPr>
          <w:sz w:val="20"/>
          <w:szCs w:val="20"/>
          <w:color w:val="auto"/>
        </w:rPr>
      </w:pPr>
    </w:p>
    <w:p>
      <w:pPr>
        <w:ind w:left="60" w:right="439" w:firstLine="648"/>
        <w:spacing w:after="0" w:line="324" w:lineRule="auto"/>
        <w:rPr>
          <w:sz w:val="20"/>
          <w:szCs w:val="20"/>
          <w:color w:val="auto"/>
        </w:rPr>
      </w:pPr>
      <w:r>
        <w:rPr>
          <w:rFonts w:ascii="Arial" w:cs="Arial" w:eastAsia="Arial" w:hAnsi="Arial"/>
          <w:sz w:val="16"/>
          <w:szCs w:val="16"/>
          <w:color w:val="auto"/>
        </w:rPr>
        <w:t>No revenue was recognized during the three months ended March 31, 2020 and 2019. There was no revenue deferred as a contract liability associated with the Clementia agreement as of March 31, 2020 and December 31, 2019.</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On June 1, 2018, the Company entered into a collaboration and license agreement (the CStone agreement) with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 The Company retains exclusive rights to the licensed products outside the CStone territory.</w:t>
      </w:r>
    </w:p>
    <w:p>
      <w:pPr>
        <w:spacing w:after="0" w:line="18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The Company received an upfront cash payment of $40.0 million, and subject to the terms of the CStone agreement,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1" w:lineRule="exact"/>
        <w:rPr>
          <w:sz w:val="20"/>
          <w:szCs w:val="20"/>
          <w:color w:val="auto"/>
        </w:rPr>
      </w:pPr>
    </w:p>
    <w:p>
      <w:pPr>
        <w:ind w:left="60" w:right="219" w:firstLine="648"/>
        <w:spacing w:after="0" w:line="294" w:lineRule="auto"/>
        <w:rPr>
          <w:sz w:val="20"/>
          <w:szCs w:val="20"/>
          <w:color w:val="auto"/>
        </w:rPr>
      </w:pPr>
      <w:r>
        <w:rPr>
          <w:rFonts w:ascii="Arial" w:cs="Arial" w:eastAsia="Arial" w:hAnsi="Arial"/>
          <w:sz w:val="16"/>
          <w:szCs w:val="16"/>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fisogatinib in combination with CS1001, a clinical-stage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anti-programmed death ligand-1 immunotherapy being developed by CStone, as a first-line therapy for the treatment of patients with hepatocellular carcinoma.</w:t>
      </w:r>
    </w:p>
    <w:p>
      <w:pPr>
        <w:spacing w:after="0" w:line="171"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79"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80" w:lineRule="exact"/>
        <w:rPr>
          <w:sz w:val="20"/>
          <w:szCs w:val="20"/>
          <w:color w:val="auto"/>
        </w:rPr>
      </w:pPr>
    </w:p>
    <w:p>
      <w:pPr>
        <w:ind w:left="60" w:right="179" w:firstLine="648"/>
        <w:spacing w:after="0" w:line="261" w:lineRule="auto"/>
        <w:rPr>
          <w:sz w:val="20"/>
          <w:szCs w:val="20"/>
          <w:color w:val="auto"/>
        </w:rPr>
      </w:pPr>
      <w:r>
        <w:rPr>
          <w:rFonts w:ascii="Arial" w:cs="Arial" w:eastAsia="Arial" w:hAnsi="Arial"/>
          <w:sz w:val="18"/>
          <w:szCs w:val="18"/>
          <w:color w:val="auto"/>
        </w:rPr>
        <w:t>A summary of manufacturing and research and development services related to the global development activities during the three months ended March 31, 2020 and 2019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93"/>
              </w:rPr>
              <w:t>Three Months Ended</w:t>
            </w:r>
          </w:p>
        </w:tc>
      </w:tr>
      <w:tr>
        <w:trPr>
          <w:trHeight w:val="185"/>
        </w:trPr>
        <w:tc>
          <w:tcPr>
            <w:tcW w:w="6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64"/>
              <w:spacing w:after="0"/>
              <w:rPr>
                <w:sz w:val="20"/>
                <w:szCs w:val="20"/>
                <w:color w:val="auto"/>
              </w:rPr>
            </w:pPr>
            <w:r>
              <w:rPr>
                <w:rFonts w:ascii="Arial" w:cs="Arial" w:eastAsia="Arial" w:hAnsi="Arial"/>
                <w:sz w:val="14"/>
                <w:szCs w:val="14"/>
                <w:b w:val="1"/>
                <w:bCs w:val="1"/>
                <w:color w:val="auto"/>
                <w:w w:val="95"/>
              </w:rPr>
              <w:t>March 31,</w:t>
            </w:r>
          </w:p>
        </w:tc>
        <w:tc>
          <w:tcPr>
            <w:tcW w:w="680" w:type="dxa"/>
            <w:vAlign w:val="bottom"/>
            <w:tcBorders>
              <w:bottom w:val="single" w:sz="8" w:color="auto"/>
            </w:tcBorders>
          </w:tcPr>
          <w:p>
            <w:pPr>
              <w:spacing w:after="0"/>
              <w:rPr>
                <w:sz w:val="16"/>
                <w:szCs w:val="16"/>
                <w:color w:val="auto"/>
              </w:rPr>
            </w:pPr>
          </w:p>
        </w:tc>
      </w:tr>
      <w:tr>
        <w:trPr>
          <w:trHeight w:val="155"/>
        </w:trPr>
        <w:tc>
          <w:tcPr>
            <w:tcW w:w="67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2019</w:t>
            </w:r>
          </w:p>
        </w:tc>
      </w:tr>
      <w:tr>
        <w:trPr>
          <w:trHeight w:val="168"/>
        </w:trPr>
        <w:tc>
          <w:tcPr>
            <w:tcW w:w="67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9"/>
              </w:rPr>
              <w:t>Manufacturing and research and development services related to global development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r>
    </w:tbl>
    <w:p>
      <w:pPr>
        <w:spacing w:after="0" w:line="1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performance obligations. As such, the Company determined that these six material promises, described above, should be combined into one performance obligation for each of the three candidates.</w:t>
      </w:r>
    </w:p>
    <w:p>
      <w:pPr>
        <w:spacing w:after="0" w:line="17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74" w:lineRule="exact"/>
        <w:rPr>
          <w:sz w:val="20"/>
          <w:szCs w:val="20"/>
          <w:color w:val="auto"/>
        </w:rPr>
      </w:pPr>
    </w:p>
    <w:p>
      <w:pPr>
        <w:jc w:val="both"/>
        <w:ind w:left="60" w:right="319"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2" w:lineRule="exact"/>
        <w:rPr>
          <w:sz w:val="20"/>
          <w:szCs w:val="20"/>
          <w:color w:val="auto"/>
        </w:rPr>
      </w:pPr>
    </w:p>
    <w:p>
      <w:pPr>
        <w:ind w:left="60" w:right="299" w:firstLine="648"/>
        <w:spacing w:after="0" w:line="274"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63"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 During the three months ended March 31, 2020, one development and regulatory milestone was achieved and the associated aggregate cash consideration of $2.0 million for such milestone was added to the estimated transaction price for the CStone agreement.</w:t>
      </w:r>
    </w:p>
    <w:p>
      <w:pPr>
        <w:spacing w:after="0" w:line="175"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auto"/>
        </w:rPr>
        <w:t>A summary of revenue recognized under the CStone agreement during the three months ended March 31, 2020 and 2019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15"/>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6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r>
      <w:tr>
        <w:trPr>
          <w:trHeight w:val="155"/>
        </w:trPr>
        <w:tc>
          <w:tcPr>
            <w:tcW w:w="67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License milestone revenue</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Manufacturing services related to territory-specific activities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r>
      <w:tr>
        <w:trPr>
          <w:trHeight w:val="196"/>
        </w:trPr>
        <w:tc>
          <w:tcPr>
            <w:tcW w:w="6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CStone collaboration revenue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2,134</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contract assets associated with the CStone agreement as of March 31, 2020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7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Unbilled accounts receivables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2,749</w:t>
            </w:r>
          </w:p>
        </w:tc>
      </w:tr>
    </w:tbl>
    <w:p>
      <w:pPr>
        <w:spacing w:after="0" w:line="175" w:lineRule="exact"/>
        <w:rPr>
          <w:sz w:val="20"/>
          <w:szCs w:val="20"/>
          <w:color w:val="auto"/>
        </w:rPr>
      </w:pPr>
    </w:p>
    <w:p>
      <w:pPr>
        <w:ind w:left="60" w:right="179" w:firstLine="648"/>
        <w:spacing w:after="0" w:line="261" w:lineRule="auto"/>
        <w:rPr>
          <w:sz w:val="20"/>
          <w:szCs w:val="20"/>
          <w:color w:val="auto"/>
        </w:rPr>
      </w:pPr>
      <w:r>
        <w:rPr>
          <w:rFonts w:ascii="Arial" w:cs="Arial" w:eastAsia="Arial" w:hAnsi="Arial"/>
          <w:sz w:val="18"/>
          <w:szCs w:val="18"/>
          <w:color w:val="auto"/>
        </w:rPr>
        <w:t>There was no revenue deferred as a contract liability associated with the CStone agreement as of March 31, 2020 and December 31, 2019.</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w:t>
      </w:r>
    </w:p>
    <w:p>
      <w:pPr>
        <w:spacing w:after="0" w:line="212" w:lineRule="exact"/>
        <w:rPr>
          <w:sz w:val="20"/>
          <w:szCs w:val="20"/>
          <w:color w:val="auto"/>
        </w:rPr>
      </w:pPr>
    </w:p>
    <w:p>
      <w:pPr>
        <w:ind w:left="60" w:right="179" w:firstLine="648"/>
        <w:spacing w:after="0" w:line="324" w:lineRule="auto"/>
        <w:rPr>
          <w:sz w:val="20"/>
          <w:szCs w:val="20"/>
          <w:color w:val="auto"/>
        </w:rPr>
      </w:pPr>
      <w:r>
        <w:rPr>
          <w:rFonts w:ascii="Arial" w:cs="Arial" w:eastAsia="Arial" w:hAnsi="Arial"/>
          <w:sz w:val="16"/>
          <w:szCs w:val="16"/>
          <w:color w:val="auto"/>
        </w:rPr>
        <w:t>In March 2016, the Company entered into a collaboration and license agreement (as amended, Roche agreement) with Roche for the discovery, development and commercialization of up to five small molecule therapeutics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324" w:lineRule="auto"/>
        <w:rPr>
          <w:sz w:val="20"/>
          <w:szCs w:val="20"/>
          <w:color w:val="auto"/>
        </w:rPr>
      </w:pPr>
      <w:r>
        <w:rPr>
          <w:rFonts w:ascii="Arial" w:cs="Arial" w:eastAsia="Arial" w:hAnsi="Arial"/>
          <w:sz w:val="16"/>
          <w:szCs w:val="16"/>
          <w:color w:val="auto"/>
        </w:rPr>
        <w:t>targeting kinases believed to be important in cancer immunotherapy (including the kinase target MAP4K1, which is believed to play a role in T cell regulation), as single products or possibly in combination with other therapeutics.</w:t>
      </w:r>
    </w:p>
    <w:p>
      <w:pPr>
        <w:spacing w:after="0" w:line="124" w:lineRule="exact"/>
        <w:rPr>
          <w:sz w:val="20"/>
          <w:szCs w:val="20"/>
          <w:color w:val="auto"/>
        </w:rPr>
      </w:pPr>
    </w:p>
    <w:p>
      <w:pPr>
        <w:ind w:left="60" w:right="219" w:firstLine="693"/>
        <w:spacing w:after="0" w:line="253" w:lineRule="auto"/>
        <w:rPr>
          <w:sz w:val="20"/>
          <w:szCs w:val="20"/>
          <w:color w:val="auto"/>
        </w:rPr>
      </w:pPr>
      <w:r>
        <w:rPr>
          <w:rFonts w:ascii="Arial" w:cs="Arial" w:eastAsia="Arial" w:hAnsi="Arial"/>
          <w:sz w:val="17"/>
          <w:szCs w:val="17"/>
          <w:color w:val="auto"/>
        </w:rPr>
        <w:t>Under the Roche agreement, Roche was granted up to five option rights to obtain an exclusive license to exploit products derived from the collaboration programs in the field of cancer immunotherapy. Such option rights are triggered upon the achievement of Phase 1 proof-of-concept. As a result of an amendment to the Roche agreement in the fourth quarter of 2019, the parties are currently conducting activities for up to four programs under the collaboration. For up to two collaboration programs, if Roche exercises its option, Roche will receive worldwide, exclusive commercialization rights for the licensed products. For up to two collaboration programs, if Roche exercises its option, the Company will retain commercialization rights in the U.S. for the licensed products, and Roche will receive commercialization rights outside of the U.S. for the licensed products. The Company will also retain worldwide rights to any products for which Roche elects not to exercise its applicable option.</w:t>
      </w:r>
    </w:p>
    <w:p>
      <w:pPr>
        <w:spacing w:after="0" w:line="184"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81"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The Company received an upfront cash payment of $45.0 million in March 2016 upon execution of the Roche agreement, and subject to the terms of the Roche agreement, the Company will be eligible to receive up to approximately $940.0 million in contingent option fees and milestone payments related to specified research, pre-clinical, clinical, regulatory and sales-based milestones. Of the total contingent payments, up to approximately $190.0 million are for option fees and milestone payments for research, pre-clinical and clinical development events prior to licensing across all four potential collaboration programs</w:t>
      </w:r>
    </w:p>
    <w:p>
      <w:pPr>
        <w:spacing w:after="0" w:line="189" w:lineRule="exact"/>
        <w:rPr>
          <w:sz w:val="20"/>
          <w:szCs w:val="20"/>
          <w:color w:val="auto"/>
        </w:rPr>
      </w:pPr>
    </w:p>
    <w:p>
      <w:pPr>
        <w:jc w:val="both"/>
        <w:ind w:left="60" w:right="219" w:firstLine="648"/>
        <w:spacing w:after="0" w:line="276" w:lineRule="auto"/>
        <w:rPr>
          <w:sz w:val="20"/>
          <w:szCs w:val="20"/>
          <w:color w:val="auto"/>
        </w:rPr>
      </w:pPr>
      <w:r>
        <w:rPr>
          <w:rFonts w:ascii="Arial" w:cs="Arial" w:eastAsia="Arial" w:hAnsi="Arial"/>
          <w:sz w:val="16"/>
          <w:szCs w:val="16"/>
          <w:color w:val="auto"/>
        </w:rPr>
        <w:t>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1"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86"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1" w:lineRule="exact"/>
        <w:rPr>
          <w:sz w:val="20"/>
          <w:szCs w:val="20"/>
          <w:color w:val="auto"/>
        </w:rPr>
      </w:pPr>
    </w:p>
    <w:p>
      <w:pPr>
        <w:ind w:left="60" w:right="99" w:hanging="10"/>
        <w:spacing w:after="0" w:line="243"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five option rights for licenses to develop, manufacture, and commercialize the collaboration targets; (4) participation on a joint research committee (JRC) and joint development committee (JDC); and (5) regulatory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4" w:lineRule="auto"/>
        <w:rPr>
          <w:sz w:val="20"/>
          <w:szCs w:val="20"/>
          <w:color w:val="auto"/>
        </w:rPr>
      </w:pPr>
      <w:r>
        <w:rPr>
          <w:rFonts w:ascii="Arial" w:cs="Arial" w:eastAsia="Arial" w:hAnsi="Arial"/>
          <w:sz w:val="16"/>
          <w:szCs w:val="16"/>
          <w:color w:val="auto"/>
        </w:rPr>
        <w:t>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3" w:lineRule="exact"/>
        <w:rPr>
          <w:sz w:val="20"/>
          <w:szCs w:val="20"/>
          <w:color w:val="auto"/>
        </w:rPr>
      </w:pPr>
    </w:p>
    <w:p>
      <w:pPr>
        <w:ind w:left="60" w:right="379" w:firstLine="648"/>
        <w:spacing w:after="0" w:line="262" w:lineRule="auto"/>
        <w:rPr>
          <w:sz w:val="20"/>
          <w:szCs w:val="20"/>
          <w:color w:val="auto"/>
        </w:rPr>
      </w:pPr>
      <w:r>
        <w:rPr>
          <w:rFonts w:ascii="Arial" w:cs="Arial" w:eastAsia="Arial" w:hAnsi="Arial"/>
          <w:sz w:val="17"/>
          <w:szCs w:val="17"/>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72" w:lineRule="exact"/>
        <w:rPr>
          <w:sz w:val="20"/>
          <w:szCs w:val="20"/>
          <w:color w:val="auto"/>
        </w:rPr>
      </w:pPr>
    </w:p>
    <w:p>
      <w:pPr>
        <w:ind w:left="60" w:right="279"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8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Under the Roche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84" w:lineRule="exact"/>
        <w:rPr>
          <w:sz w:val="20"/>
          <w:szCs w:val="20"/>
          <w:color w:val="auto"/>
        </w:rPr>
      </w:pPr>
    </w:p>
    <w:p>
      <w:pPr>
        <w:ind w:left="60" w:right="159" w:firstLine="648"/>
        <w:spacing w:after="0" w:line="262" w:lineRule="auto"/>
        <w:rPr>
          <w:sz w:val="20"/>
          <w:szCs w:val="20"/>
          <w:color w:val="auto"/>
        </w:rPr>
      </w:pPr>
      <w:r>
        <w:rPr>
          <w:rFonts w:ascii="Arial" w:cs="Arial" w:eastAsia="Arial" w:hAnsi="Arial"/>
          <w:sz w:val="17"/>
          <w:szCs w:val="17"/>
          <w:color w:val="auto"/>
        </w:rPr>
        <w:t>In June 2018 and October 2019, the Company achieved and received a $10.0 million research milestone payment and an $8.0 million research milestone payment related to the Roche agreement.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7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20" w:lineRule="exact"/>
        <w:rPr>
          <w:sz w:val="20"/>
          <w:szCs w:val="20"/>
          <w:color w:val="auto"/>
        </w:rPr>
      </w:pPr>
    </w:p>
    <w:p>
      <w:pPr>
        <w:ind w:left="60" w:right="79" w:firstLine="648"/>
        <w:spacing w:after="0" w:line="261" w:lineRule="auto"/>
        <w:rPr>
          <w:sz w:val="20"/>
          <w:szCs w:val="20"/>
          <w:color w:val="auto"/>
        </w:rPr>
      </w:pPr>
      <w:r>
        <w:rPr>
          <w:rFonts w:ascii="Arial" w:cs="Arial" w:eastAsia="Arial" w:hAnsi="Arial"/>
          <w:sz w:val="18"/>
          <w:szCs w:val="18"/>
          <w:color w:val="auto"/>
        </w:rPr>
        <w:t>A summary of revenue recognized under the Roche agreement during the three months ended March 31, 2020 and 2019 is as follows (in thousands):</w:t>
      </w:r>
    </w:p>
    <w:p>
      <w:pPr>
        <w:spacing w:after="0" w:line="216"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5080</wp:posOffset>
            </wp:positionV>
            <wp:extent cx="1174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ind w:left="7360"/>
        <w:spacing w:after="0"/>
        <w:tabs>
          <w:tab w:leader="none" w:pos="8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tabs>
          <w:tab w:leader="none" w:pos="7080" w:val="left"/>
          <w:tab w:leader="none" w:pos="7580" w:val="left"/>
          <w:tab w:leader="none" w:pos="8100" w:val="left"/>
          <w:tab w:leader="none" w:pos="8600" w:val="left"/>
        </w:tabs>
        <w:rPr>
          <w:sz w:val="20"/>
          <w:szCs w:val="20"/>
          <w:color w:val="auto"/>
        </w:rPr>
      </w:pPr>
      <w:r>
        <w:rPr>
          <w:rFonts w:ascii="Arial" w:cs="Arial" w:eastAsia="Arial" w:hAnsi="Arial"/>
          <w:sz w:val="18"/>
          <w:szCs w:val="18"/>
          <w:color w:val="auto"/>
        </w:rPr>
        <w:t>Roche collaboration research and development services 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575</w:t>
        <w:tab/>
        <w:t>$</w:t>
      </w:r>
      <w:r>
        <w:rPr>
          <w:sz w:val="20"/>
          <w:szCs w:val="20"/>
          <w:color w:val="auto"/>
        </w:rPr>
        <w:tab/>
      </w:r>
      <w:r>
        <w:rPr>
          <w:rFonts w:ascii="Arial" w:cs="Arial" w:eastAsia="Arial" w:hAnsi="Arial"/>
          <w:sz w:val="16"/>
          <w:szCs w:val="16"/>
          <w:color w:val="auto"/>
        </w:rPr>
        <w:t>730</w:t>
      </w:r>
    </w:p>
    <w:p>
      <w:pPr>
        <w:spacing w:after="0" w:line="236"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During the three months ended March 31, 2020 and 2019, the Company recognized the following revenue due to the changes in the contract liability balances (in thousands):</w:t>
      </w:r>
    </w:p>
    <w:p>
      <w:pPr>
        <w:spacing w:after="0" w:line="216"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5080</wp:posOffset>
            </wp:positionV>
            <wp:extent cx="1174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ind w:left="7360"/>
        <w:spacing w:after="0"/>
        <w:tabs>
          <w:tab w:leader="none" w:pos="8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56489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tabs>
          <w:tab w:leader="none" w:pos="7080" w:val="left"/>
          <w:tab w:leader="none" w:pos="7580" w:val="left"/>
          <w:tab w:leader="none" w:pos="8100" w:val="left"/>
          <w:tab w:leader="none" w:pos="8600" w:val="left"/>
        </w:tabs>
        <w:rPr>
          <w:sz w:val="20"/>
          <w:szCs w:val="20"/>
          <w:color w:val="auto"/>
        </w:rPr>
      </w:pPr>
      <w:r>
        <w:rPr>
          <w:rFonts w:ascii="Arial" w:cs="Arial" w:eastAsia="Arial" w:hAnsi="Arial"/>
          <w:sz w:val="18"/>
          <w:szCs w:val="18"/>
          <w:color w:val="auto"/>
        </w:rPr>
        <w:t>Amounts included in the contract liability at the beginning of the period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989</w:t>
        <w:tab/>
        <w:t>$</w:t>
      </w:r>
      <w:r>
        <w:rPr>
          <w:sz w:val="20"/>
          <w:szCs w:val="20"/>
          <w:color w:val="auto"/>
        </w:rPr>
        <w:tab/>
      </w:r>
      <w:r>
        <w:rPr>
          <w:rFonts w:ascii="Arial" w:cs="Arial" w:eastAsia="Arial" w:hAnsi="Arial"/>
          <w:sz w:val="16"/>
          <w:szCs w:val="16"/>
          <w:color w:val="auto"/>
        </w:rPr>
        <w:t>987</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94" w:lineRule="auto"/>
        <w:rPr>
          <w:sz w:val="20"/>
          <w:szCs w:val="20"/>
          <w:color w:val="auto"/>
        </w:rPr>
      </w:pPr>
      <w:r>
        <w:rPr>
          <w:rFonts w:ascii="Arial" w:cs="Arial" w:eastAsia="Arial" w:hAnsi="Arial"/>
          <w:sz w:val="16"/>
          <w:szCs w:val="16"/>
          <w:color w:val="auto"/>
        </w:rPr>
        <w:t>As of March 31, 2020, the Company had revenue deferred as a contract liability related to the Roche agreement of $45.5 million, of which $8.7 million was included in current liabilities, and the research and development services related to the performance obligation are expected to be performed over a remaining period of approximately 5 years.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2020, the number of shares reserved for issuance under the 2015 Plan was increased by 1,970,888 shares. In addition, the total number of shares reserved for issuance is subject to adjustment in the event of a stock split, stock dividend or other change in the Company’s capitalization. At March 31, 2020, there were 1,623,278 shares available for future grant under the 2015 Plan.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2020:</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634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2019</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5,795,710</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58.82</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4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1,087,783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(127,220)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12.67</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Canceled</w:t>
            </w: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(112,822)</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78.82</w:t>
            </w:r>
          </w:p>
        </w:tc>
        <w:tc>
          <w:tcPr>
            <w:tcW w:w="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March 31, 2020</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6,643,451</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59.10</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Exercisable at March 31, 2020</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97"/>
              </w:rPr>
              <w:t>2,863,027</w:t>
            </w:r>
          </w:p>
        </w:tc>
        <w:tc>
          <w:tcPr>
            <w:tcW w:w="16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jc w:val="right"/>
              <w:ind w:right="44"/>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43.21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379" w:firstLine="648"/>
        <w:spacing w:after="0" w:line="324" w:lineRule="auto"/>
        <w:rPr>
          <w:sz w:val="20"/>
          <w:szCs w:val="20"/>
          <w:color w:val="auto"/>
        </w:rPr>
      </w:pPr>
      <w:r>
        <w:rPr>
          <w:rFonts w:ascii="Arial" w:cs="Arial" w:eastAsia="Arial" w:hAnsi="Arial"/>
          <w:sz w:val="16"/>
          <w:szCs w:val="16"/>
          <w:color w:val="auto"/>
        </w:rPr>
        <w:t>At March 31, 2020, the total unrecognized compensation expense related to unvested stock option awards was $149.5 million, which is expected to be recognized over a weighted-average period of approximately 2.97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restricted stock units activity for the three months ended March 31, 2020:</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Weighted-Average</w:t>
            </w:r>
          </w:p>
        </w:tc>
      </w:tr>
      <w:tr>
        <w:trPr>
          <w:trHeight w:val="203"/>
        </w:trPr>
        <w:tc>
          <w:tcPr>
            <w:tcW w:w="6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5"/>
              </w:rPr>
              <w:t>Grant Date</w:t>
            </w:r>
          </w:p>
        </w:tc>
      </w:tr>
      <w:tr>
        <w:trPr>
          <w:trHeight w:val="221"/>
        </w:trPr>
        <w:tc>
          <w:tcPr>
            <w:tcW w:w="62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r>
      <w:tr>
        <w:trPr>
          <w:trHeight w:val="196"/>
        </w:trPr>
        <w:tc>
          <w:tcPr>
            <w:tcW w:w="62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December 31, 2019</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419,755</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24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751,946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55.33</w:t>
            </w:r>
          </w:p>
        </w:tc>
        <w:tc>
          <w:tcPr>
            <w:tcW w:w="60" w:type="dxa"/>
            <w:vAlign w:val="bottom"/>
          </w:tcPr>
          <w:p>
            <w:pPr>
              <w:spacing w:after="0"/>
              <w:rPr>
                <w:sz w:val="17"/>
                <w:szCs w:val="17"/>
                <w:color w:val="auto"/>
              </w:rPr>
            </w:pPr>
          </w:p>
        </w:tc>
      </w:tr>
      <w:tr>
        <w:trPr>
          <w:trHeight w:val="203"/>
        </w:trPr>
        <w:tc>
          <w:tcPr>
            <w:tcW w:w="6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(58,946)</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85.29</w:t>
            </w:r>
          </w:p>
        </w:tc>
        <w:tc>
          <w:tcPr>
            <w:tcW w:w="60" w:type="dxa"/>
            <w:vAlign w:val="bottom"/>
            <w:shd w:val="clear" w:color="auto" w:fill="CCEEFF"/>
          </w:tcPr>
          <w:p>
            <w:pPr>
              <w:spacing w:after="0"/>
              <w:rPr>
                <w:sz w:val="17"/>
                <w:szCs w:val="17"/>
                <w:color w:val="auto"/>
              </w:rPr>
            </w:pPr>
          </w:p>
        </w:tc>
      </w:tr>
      <w:tr>
        <w:trPr>
          <w:trHeight w:val="203"/>
        </w:trPr>
        <w:tc>
          <w:tcPr>
            <w:tcW w:w="624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(14,919)</w:t>
            </w:r>
          </w:p>
        </w:tc>
        <w:tc>
          <w:tcPr>
            <w:tcW w:w="2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82.07</w:t>
            </w:r>
          </w:p>
        </w:tc>
        <w:tc>
          <w:tcPr>
            <w:tcW w:w="60" w:type="dxa"/>
            <w:vAlign w:val="bottom"/>
          </w:tcPr>
          <w:p>
            <w:pPr>
              <w:spacing w:after="0"/>
              <w:rPr>
                <w:sz w:val="17"/>
                <w:szCs w:val="17"/>
                <w:color w:val="auto"/>
              </w:rPr>
            </w:pPr>
          </w:p>
        </w:tc>
      </w:tr>
      <w:tr>
        <w:trPr>
          <w:trHeight w:val="196"/>
        </w:trPr>
        <w:tc>
          <w:tcPr>
            <w:tcW w:w="62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March 31, 2020</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1,097,836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9"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6"/>
          <w:szCs w:val="16"/>
          <w:color w:val="auto"/>
        </w:rPr>
        <w:t>At March 31, 2020, the total unrecognized compensation expense related to unvested restricted stock units was $65.8 million, which is expected to be recognize over a weighted-average period of approximately 3.62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Inducement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March 31, 2020, no awards were issued under the Inducement Plan.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2020, the number of shares reserved for issuance under the 2015 ESPP was increased by 492,722 shares.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The Company recognized stock-based compensation expense totaling $16.9 million and $10.3 million for the three months ended March 31, 2020 and 2019, respectively. Stock-based compensation expense by award type included within the unaudited condensed consolidated statements of operations and comprehensive loss was as follows (in thousands):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w:t>
            </w:r>
          </w:p>
        </w:tc>
      </w:tr>
      <w:tr>
        <w:trPr>
          <w:trHeight w:val="228"/>
        </w:trPr>
        <w:tc>
          <w:tcPr>
            <w:tcW w:w="6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9"/>
                <w:szCs w:val="19"/>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r>
      <w:tr>
        <w:trPr>
          <w:trHeight w:val="196"/>
        </w:trPr>
        <w:tc>
          <w:tcPr>
            <w:tcW w:w="6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13,716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9,579</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68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10,295</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costs</w:t>
            </w: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3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6820" w:type="dxa"/>
            <w:vAlign w:val="bottom"/>
          </w:tcPr>
          <w:p>
            <w:pPr>
              <w:ind w:left="20"/>
              <w:spacing w:after="0" w:line="196" w:lineRule="exact"/>
              <w:rPr>
                <w:sz w:val="20"/>
                <w:szCs w:val="20"/>
                <w:color w:val="auto"/>
              </w:rPr>
            </w:pPr>
            <w:r>
              <w:rPr>
                <w:rFonts w:ascii="Arial" w:cs="Arial" w:eastAsia="Arial" w:hAnsi="Arial"/>
                <w:sz w:val="18"/>
                <w:szCs w:val="18"/>
                <w:color w:val="auto"/>
              </w:rPr>
              <w:t>Stock-based compensation expense included in total cost and operating expenses</w:t>
            </w: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16,859</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10,295</w:t>
            </w:r>
          </w:p>
        </w:tc>
      </w:tr>
      <w:tr>
        <w:trPr>
          <w:trHeight w:val="20"/>
        </w:trPr>
        <w:tc>
          <w:tcPr>
            <w:tcW w:w="6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279" w:firstLine="648"/>
        <w:spacing w:after="0" w:line="261" w:lineRule="auto"/>
        <w:rPr>
          <w:sz w:val="20"/>
          <w:szCs w:val="20"/>
          <w:color w:val="auto"/>
        </w:rPr>
      </w:pPr>
      <w:r>
        <w:rPr>
          <w:rFonts w:ascii="Arial" w:cs="Arial" w:eastAsia="Arial" w:hAnsi="Arial"/>
          <w:sz w:val="18"/>
          <w:szCs w:val="18"/>
          <w:color w:val="auto"/>
        </w:rPr>
        <w:t>Stock-based compensation expense by classification within the unaudited condensed consolidated statements of operations and comprehensive loss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9"/>
              </w:rPr>
              <w:t>Three Months Ended</w:t>
            </w:r>
          </w:p>
        </w:tc>
      </w:tr>
      <w:tr>
        <w:trPr>
          <w:trHeight w:val="185"/>
        </w:trPr>
        <w:tc>
          <w:tcPr>
            <w:tcW w:w="7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r>
      <w:tr>
        <w:trPr>
          <w:trHeight w:val="155"/>
        </w:trPr>
        <w:tc>
          <w:tcPr>
            <w:tcW w:w="70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96"/>
              </w:rPr>
              <w:t>2019</w:t>
            </w:r>
          </w:p>
        </w:tc>
      </w:tr>
      <w:tr>
        <w:trPr>
          <w:trHeight w:val="196"/>
        </w:trPr>
        <w:tc>
          <w:tcPr>
            <w:tcW w:w="7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7,798</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5,790</w:t>
            </w:r>
          </w:p>
        </w:tc>
      </w:tr>
      <w:tr>
        <w:trPr>
          <w:trHeight w:val="203"/>
        </w:trPr>
        <w:tc>
          <w:tcPr>
            <w:tcW w:w="70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9,061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4,505</w:t>
            </w:r>
          </w:p>
        </w:tc>
      </w:tr>
      <w:tr>
        <w:trPr>
          <w:trHeight w:val="196"/>
        </w:trPr>
        <w:tc>
          <w:tcPr>
            <w:tcW w:w="70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16,859</w:t>
            </w:r>
          </w:p>
        </w:tc>
        <w:tc>
          <w:tcPr>
            <w:tcW w:w="1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10,295</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Loss per Share</w:t>
      </w:r>
    </w:p>
    <w:p>
      <w:pPr>
        <w:spacing w:after="0" w:line="216"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color w:val="auto"/>
        </w:rPr>
        <w:t>effect would be anti-dilutive; therefore, basic and diluted net loss per share were the same for all periods presented as a result of the Company’s net loss.</w:t>
      </w:r>
    </w:p>
    <w:p>
      <w:pPr>
        <w:spacing w:after="0" w:line="171"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90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700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70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r>
      <w:tr>
        <w:trPr>
          <w:trHeight w:val="196"/>
        </w:trPr>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6,643,451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5,460,882</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Restricted stock units</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7"/>
              </w:rPr>
              <w:t>1,097,836</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291,992</w:t>
            </w: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ESPP shares</w:t>
            </w: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13,621</w:t>
            </w:r>
          </w:p>
        </w:tc>
        <w:tc>
          <w:tcPr>
            <w:tcW w:w="1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10,275</w:t>
            </w:r>
          </w:p>
        </w:tc>
      </w:tr>
      <w:tr>
        <w:trPr>
          <w:trHeight w:val="196"/>
        </w:trPr>
        <w:tc>
          <w:tcPr>
            <w:tcW w:w="70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7,754,908</w:t>
            </w:r>
          </w:p>
        </w:tc>
        <w:tc>
          <w:tcPr>
            <w:tcW w:w="1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5,763,149</w:t>
            </w: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Coronavirus Aid, Relief and Economic Security Act</w:t>
      </w:r>
    </w:p>
    <w:p>
      <w:pPr>
        <w:spacing w:after="0" w:line="198"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In response to the COVID-19 pandemic, the Coronavirus Aid, Relief and Economic Security Act (CARES Act) was signed into law in March 2020. The CARES Act lifts certain deduction limitations originally imposed by the Tax Cuts and Jobs Act of 2017 (2017 Tax Act). Corporate taxpayers may carryback net operating losses (NOLs) originating during 2018 through 2020 for up to five years, which was not previously allowed under the 2017 Tax Act. The CARES Act also eliminates the 80% of taxable income limitations by allowing corporate entities to fully utilize NOL carryforwards to offset taxable income in 2018, 2019 or 2020. Taxpayers may generally deduct interest up to the sum of 50% of adjusted taxable income plus business interest income (30% limit under the 2017 Tax Act) for tax years beginning January 1, 2019 and 2020. The CARES Act allows taxpayers with alternative minimum tax credits to claim a refund in 2020 for the entire amount of the credits instead of recovering the credits through refunds over a period of years, as originally enacted by the 2017 Tax Act.</w:t>
      </w:r>
    </w:p>
    <w:p>
      <w:pPr>
        <w:spacing w:after="0" w:line="180" w:lineRule="exact"/>
        <w:rPr>
          <w:sz w:val="20"/>
          <w:szCs w:val="20"/>
          <w:color w:val="auto"/>
        </w:rPr>
      </w:pPr>
    </w:p>
    <w:p>
      <w:pPr>
        <w:jc w:val="both"/>
        <w:ind w:left="60" w:right="159" w:firstLine="648"/>
        <w:spacing w:after="0" w:line="284" w:lineRule="auto"/>
        <w:rPr>
          <w:sz w:val="20"/>
          <w:szCs w:val="20"/>
          <w:color w:val="auto"/>
        </w:rPr>
      </w:pPr>
      <w:r>
        <w:rPr>
          <w:rFonts w:ascii="Arial" w:cs="Arial" w:eastAsia="Arial" w:hAnsi="Arial"/>
          <w:sz w:val="16"/>
          <w:szCs w:val="16"/>
          <w:color w:val="auto"/>
        </w:rPr>
        <w:t>In addition, the CARES Act raises the corporate charitable deduction limit to 25% of taxable income and makes qualified improvement property generally eligible for 15-year cost-recovery and 100% bonus depreciation. The enactment of the CARES Act did not result in any material adjustments to the Company’s income tax provision for the three months ended March 31, 2020, or to its net deferred tax assets and related allowances as of March 31, 2020.</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Leases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38 Sidney Street</w:t>
      </w:r>
    </w:p>
    <w:p>
      <w:pPr>
        <w:spacing w:after="0" w:line="212"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 total commitment of $17.8 million over the initial seven-year term. The Company has agreed to pay an initial annual base rent of approximately $2.3 million, which rises periodically until it reaches approximately $2.8 million. The lease provided the Company with an allowance for leasehold improvements of $4.3 million. The associated security deposit of $0.9 million is recorded in restricted cash on the Company’s condensed consolidated balance sheet as of March 31, 2020.</w:t>
      </w:r>
    </w:p>
    <w:p>
      <w:pPr>
        <w:spacing w:after="0" w:line="168"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7"/>
          <w:szCs w:val="17"/>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32-month term of the sublease agreement. During the 32-month term, the Company will be responsible for total rental payments of $6.9 million and an additional $0.7 million in total payments related to the Company’s profit on the sublease income which are payable by the Company to the landlord. As of March 31, 2020, the remaining minimum sublease rental commitment by the sublessee was $1.9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45 Sidney Street</w:t>
      </w:r>
    </w:p>
    <w:p>
      <w:pPr>
        <w:spacing w:after="0" w:line="212"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7"/>
          <w:szCs w:val="17"/>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74"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7"/>
          <w:szCs w:val="17"/>
          <w:color w:val="auto"/>
        </w:rPr>
        <w:t>During the initial term of the lease agreement, the Company has agreed to pay an initial annual base rent of approximately $7.7 million, which increases annually until it reaches approximately $10.6 million in the last year of the initial term. The lease provided the Company with a tenant improvement allowance of approximately $14.2 million for improvements to be made to the premises. The associated security deposit of $3.0 million is recorded in restricted cash on the Company’s condensed consolidated balance sheet as of March 31, 2020.</w:t>
      </w:r>
    </w:p>
    <w:p>
      <w:pPr>
        <w:spacing w:after="0" w:line="174"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6"/>
          <w:szCs w:val="16"/>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commenced on March 1, 2019 and will expire on November 30, 2029, unless terminated sooner. Pursuant to the lease amendment, the rent commencement date for the expansion premises was July 1, 2019.</w:t>
      </w:r>
    </w:p>
    <w:p>
      <w:pPr>
        <w:spacing w:after="0" w:line="159" w:lineRule="exact"/>
        <w:rPr>
          <w:sz w:val="20"/>
          <w:szCs w:val="20"/>
          <w:color w:val="auto"/>
        </w:rPr>
      </w:pPr>
    </w:p>
    <w:p>
      <w:pPr>
        <w:ind w:left="60" w:right="179" w:firstLine="648"/>
        <w:spacing w:after="0" w:line="239" w:lineRule="auto"/>
        <w:rPr>
          <w:sz w:val="20"/>
          <w:szCs w:val="20"/>
          <w:color w:val="auto"/>
        </w:rPr>
      </w:pPr>
      <w:r>
        <w:rPr>
          <w:rFonts w:ascii="Arial" w:cs="Arial" w:eastAsia="Arial" w:hAnsi="Arial"/>
          <w:sz w:val="18"/>
          <w:szCs w:val="18"/>
          <w:color w:val="auto"/>
        </w:rPr>
        <w:t>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condensed consolidated balance sheet as of March 31, 2020.</w:t>
      </w:r>
    </w:p>
    <w:p>
      <w:pPr>
        <w:spacing w:after="0" w:line="191" w:lineRule="exact"/>
        <w:rPr>
          <w:sz w:val="20"/>
          <w:szCs w:val="20"/>
          <w:color w:val="auto"/>
        </w:rPr>
      </w:pPr>
    </w:p>
    <w:p>
      <w:pPr>
        <w:ind w:left="60" w:right="459" w:firstLine="690"/>
        <w:spacing w:after="0" w:line="261" w:lineRule="auto"/>
        <w:rPr>
          <w:sz w:val="20"/>
          <w:szCs w:val="20"/>
          <w:color w:val="auto"/>
        </w:rPr>
      </w:pPr>
      <w:r>
        <w:rPr>
          <w:rFonts w:ascii="Arial" w:cs="Arial" w:eastAsia="Arial" w:hAnsi="Arial"/>
          <w:sz w:val="18"/>
          <w:szCs w:val="18"/>
          <w:color w:val="auto"/>
        </w:rPr>
        <w:t>The lease agreements do not contain residual value guarantees and the components of lease cost for the three months ended March 31, 2020 and 2019 were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6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cost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4,381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(722)</w:t>
            </w: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has not entered into any material short-term leases or financing leases as of March 31, 2020.</w:t>
      </w:r>
    </w:p>
    <w:p>
      <w:pPr>
        <w:spacing w:after="0" w:line="223"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Supplemental cash flow information related to leases for the three months ended March 31, 2020 was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66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7"/>
                <w:szCs w:val="17"/>
                <w:color w:val="auto"/>
              </w:rPr>
            </w:pPr>
          </w:p>
        </w:tc>
      </w:tr>
      <w:tr>
        <w:trPr>
          <w:trHeight w:val="196"/>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3,581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2,621</w:t>
            </w:r>
          </w:p>
        </w:tc>
        <w:tc>
          <w:tcPr>
            <w:tcW w:w="20" w:type="dxa"/>
            <w:vAlign w:val="bottom"/>
          </w:tcPr>
          <w:p>
            <w:pPr>
              <w:spacing w:after="0"/>
              <w:rPr>
                <w:sz w:val="17"/>
                <w:szCs w:val="17"/>
                <w:color w:val="auto"/>
              </w:rPr>
            </w:pPr>
          </w:p>
        </w:tc>
      </w:tr>
      <w:tr>
        <w:trPr>
          <w:trHeight w:val="203"/>
        </w:trPr>
        <w:tc>
          <w:tcPr>
            <w:tcW w:w="6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23,300</w:t>
            </w:r>
          </w:p>
        </w:tc>
        <w:tc>
          <w:tcPr>
            <w:tcW w:w="20" w:type="dxa"/>
            <w:vAlign w:val="bottom"/>
          </w:tcPr>
          <w:p>
            <w:pPr>
              <w:spacing w:after="0"/>
              <w:rPr>
                <w:sz w:val="20"/>
                <w:szCs w:val="20"/>
                <w:color w:val="auto"/>
              </w:rPr>
            </w:pPr>
          </w:p>
        </w:tc>
      </w:tr>
      <w:tr>
        <w:trPr>
          <w:trHeight w:val="823"/>
        </w:trPr>
        <w:tc>
          <w:tcPr>
            <w:tcW w:w="6660" w:type="dxa"/>
            <w:vAlign w:val="bottom"/>
          </w:tcPr>
          <w:p>
            <w:pPr>
              <w:jc w:val="right"/>
              <w:ind w:right="203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weighted average remaining lease term and weighted average discount rate of the operating leases are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6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Operating leases</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212"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212529"/>
        </w:rPr>
        <w:t>In connection with the FDA approval of the Company’s first commercial product AYVAKIT in January 2020, the Company has negotiated manufacturing agreements with certain vendors that require the Company to meet minimum purchase obligations on an annual basis. The aggregate amount of future minimum purchase obligations under these manufacturing agreements is approximately $16.2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16. Subsequent Events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with Roche</w:t>
      </w:r>
    </w:p>
    <w:p>
      <w:pPr>
        <w:spacing w:after="0" w:line="252" w:lineRule="exact"/>
        <w:rPr>
          <w:sz w:val="20"/>
          <w:szCs w:val="20"/>
          <w:color w:val="auto"/>
        </w:rPr>
      </w:pPr>
    </w:p>
    <w:p>
      <w:pPr>
        <w:jc w:val="both"/>
        <w:ind w:left="60" w:right="319" w:firstLine="648"/>
        <w:spacing w:after="0" w:line="294" w:lineRule="auto"/>
        <w:rPr>
          <w:sz w:val="20"/>
          <w:szCs w:val="20"/>
          <w:color w:val="auto"/>
        </w:rPr>
      </w:pPr>
      <w:r>
        <w:rPr>
          <w:rFonts w:ascii="Arial" w:cs="Arial" w:eastAsia="Arial" w:hAnsi="Arial"/>
          <w:sz w:val="16"/>
          <w:szCs w:val="16"/>
          <w:color w:val="212529"/>
        </w:rPr>
        <w:t>On April 30, 2020, the Company entered into an eighth amendment to the Roche agreement, pursuant to which the Company and Roche agreed to, among other things, modify certain time periods related to Roche’s option rights for one of the collaboration programs and certain mechanics for deeming such collaboration program as a terminated target.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2019, filed with the Securities and Exchange Commission, or the SEC, on February 13, 2020.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We have one precision therapy approved by the U.S. Food and Drug Administration, or FDA, and are currently advancing multiple investigational medicines in clinical development, along with multiple research programs.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Avapritinib and BLU-263 — Systemic Mastocytosis and other Mast Cell Disorders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Avapritinib</w:t>
      </w:r>
    </w:p>
    <w:p>
      <w:pPr>
        <w:spacing w:after="0" w:line="252"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We are developing avapritinib for the treatment of systemic mastocytosis, or SM, a rare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15" w:lineRule="exact"/>
        <w:rPr>
          <w:sz w:val="20"/>
          <w:szCs w:val="20"/>
          <w:color w:val="auto"/>
        </w:rPr>
      </w:pPr>
    </w:p>
    <w:p>
      <w:pPr>
        <w:ind w:left="60" w:right="99" w:firstLine="648"/>
        <w:spacing w:after="0" w:line="242" w:lineRule="auto"/>
        <w:rPr>
          <w:sz w:val="20"/>
          <w:szCs w:val="20"/>
          <w:color w:val="auto"/>
        </w:rPr>
      </w:pPr>
      <w:r>
        <w:rPr>
          <w:rFonts w:ascii="Arial" w:cs="Arial" w:eastAsia="Arial" w:hAnsi="Arial"/>
          <w:sz w:val="17"/>
          <w:szCs w:val="17"/>
          <w:color w:val="auto"/>
        </w:rPr>
        <w:t>We are currently evaluating avapritinib in an ongoing registration-enabling Phase 1 clinical trial in advanced SM, which we refer to as our EXPLORER trial, and an ongoing registration-enabling Phase 2 clinical trial in advanced SM, which we refer to as our PATHFINDER trial. We plan to present updated data from the EXPLORER trial in June 2020 at the European Hematology Association 25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Annual Congress. In addition, we plan to report top-line data from the EXPLORER trial and the PATHFINDER trial in the third quarter of 2020. We are also evaluating avapritinib in an ongoing registration-enabling Phase 2 clinical trial in indolent SM, which we refer to as our PIONEER trial. In March 2020, we reported updated data from the dose-finding portion (Part 1) of the PIONEER trial at an investor conference call and on a virtual forum established by the American Academy of Allergy, Asthma &amp; Immunology. We also plan to present additional data from the Part 1 of PIONEER trial at the European Academy of Allergy and Clinical Immunology 2020 Congress. We plan to initiate patient screening for the registration-enabling Part 2 of the PIONEER trial in June 2020, and our goal is to complete enrollment in Part 2 of the PIONEER trial as early as the end of 2020. However, this timing could be impacted depending on the duration, scope and severity of the COVID-19 pandemic.</w:t>
      </w:r>
    </w:p>
    <w:p>
      <w:pPr>
        <w:spacing w:after="0" w:line="229"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We plan to submit a supplemental new drug application, or NDA, to the FDA for avapritinib for the treatment of advanced SM in the second half of 2020, which we anticipate will be focused on data from patients in the EXPLORER and PATHFINDER trials who were treated with avapritinib at a starting dose of 200 mg once daily, or QD, supported by pooled data from all doses.</w:t>
      </w:r>
    </w:p>
    <w:p>
      <w:pPr>
        <w:spacing w:after="0" w:line="269" w:lineRule="exact"/>
        <w:rPr>
          <w:sz w:val="20"/>
          <w:szCs w:val="20"/>
          <w:color w:val="auto"/>
        </w:rPr>
      </w:pPr>
    </w:p>
    <w:p>
      <w:pPr>
        <w:ind w:left="60" w:right="79" w:firstLine="648"/>
        <w:spacing w:after="0" w:line="278" w:lineRule="auto"/>
        <w:rPr>
          <w:sz w:val="20"/>
          <w:szCs w:val="20"/>
          <w:color w:val="auto"/>
        </w:rPr>
      </w:pPr>
      <w:r>
        <w:rPr>
          <w:rFonts w:ascii="Arial" w:cs="Arial" w:eastAsia="Arial" w:hAnsi="Arial"/>
          <w:sz w:val="17"/>
          <w:szCs w:val="17"/>
          <w:color w:val="auto"/>
        </w:rPr>
        <w:t>The FDA has granted orphan drug designation to avapritinib for the treatment of mastocytosis, and the European Commission has granted orphan medicinal product designation to avapritinib for the treatment of mastocytosis. In addition, the FDA has granted breakthrough therapy designation to avapritinib for the treatment of</w:t>
      </w:r>
    </w:p>
    <w:p>
      <w:pPr>
        <w:sectPr>
          <w:pgSz w:w="11900" w:h="16838" w:orient="portrait"/>
          <w:cols w:equalWidth="0" w:num="1">
            <w:col w:w="9019"/>
          </w:cols>
          <w:pgMar w:left="1440" w:top="517" w:right="1440"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9"/>
        <w:spacing w:after="0" w:line="261" w:lineRule="auto"/>
        <w:rPr>
          <w:sz w:val="20"/>
          <w:szCs w:val="20"/>
          <w:color w:val="auto"/>
        </w:rPr>
      </w:pPr>
      <w:r>
        <w:rPr>
          <w:rFonts w:ascii="Arial" w:cs="Arial" w:eastAsia="Arial" w:hAnsi="Arial"/>
          <w:sz w:val="18"/>
          <w:szCs w:val="18"/>
          <w:color w:val="auto"/>
        </w:rPr>
        <w:t>advanced SM, including the subtypes of aggressive SM, SM with an associated hematologic neoplasm and mast cell leukemia.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BLU-263</w:t>
      </w:r>
    </w:p>
    <w:p>
      <w:pPr>
        <w:spacing w:after="0" w:line="25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We are developing BLU-263 for the treatment of indolent SM and other mast cell disorders. BLU-263 is an investigational, orally available, potent and highly selective KIT inhibitor. BLU-263 is designed to have equivalent potency as avapritinib, improved selectivity for KIT, with low off-target activity, and lower penetration of the central nervous system relative to avapritinib based on preclinical data, which we believe will enable development of BLU-263 in a broad population of patients with indolent SM, including patients with lower disease burden requiring potentially life-long chronic therapy, as well as patients with other KIT-driven mast cell disorders. The FDA accepted our investigational new drug, or IND, application for BLU-263 for indolent SM and recently notified us that we are permitted to proceed with clinical development under the IND. We currently plan to initiate a Phase 1 trial in healthy volunteers in June 2020. However, this timing could be impacted depending on the duration, scope and severity of the COVID-19 pandemic.</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Pralsetinib — RET-altered Cancers</w:t>
      </w:r>
    </w:p>
    <w:p>
      <w:pPr>
        <w:spacing w:after="0" w:line="25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are developing pralsetinib for the treatment of RET-altered non-small cell lung cancer, or NSCLC, thyroid carcinoma, including medullary thyroid carcinoma, or MTC, and other solid tumors. Pralsetinib is an investigational, orally available, potent and highly selective inhibitor that targets RET, a receptor tyrosine kinase. Pralsetinib is designed to inhibit the activating RET fusions and mutations that drive cancer growth and remain active in the presence of resistance mutations that we predict will arise from treatment with first generation therapies. RET activating fusions and mutations drive disease in subsets of patients with NSCLC, and cancers of the thyroid, including MTC and papillary thyroid cancer, or PTC, and our research suggests that RET may drive disease in subsets of patients with colon cancer, breast cancer, pancreatic cancer and other cancers.</w:t>
      </w:r>
    </w:p>
    <w:p>
      <w:pPr>
        <w:spacing w:after="0" w:line="221"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We are currently evaluating pralsetinib in an ongoing registration-enabling Phase 1/2 clinical trial in patients with RET-altered NSCLC, MTC and other advanced solid tumors, which we refer to as our ARROW trial. In January 2020, we reported top-line data from the ARROW trial in RET fusion-positive NSCLC patients treated with pralsetinib at 400 mg QD, and in April 2020, we reported top-line data from the ARROW trial in RET-mutant MTC patients treated with pralsetinib at 400 mg QD. We also plan to present updated data from the ARROW trial of pralsetinib in RET fusion-positive NSCLC and other RET-altered solid tumors at the American Society of Clinical Oncology Annual Meeting in June 2020. We plan to present updated data from the ARROW trial of pralsetinib in RET-mutant MTC in the second half of</w:t>
      </w:r>
    </w:p>
    <w:p>
      <w:pPr>
        <w:spacing w:after="0" w:line="1" w:lineRule="exact"/>
        <w:rPr>
          <w:sz w:val="20"/>
          <w:szCs w:val="20"/>
          <w:color w:val="auto"/>
        </w:rPr>
      </w:pPr>
    </w:p>
    <w:p>
      <w:pPr>
        <w:ind w:left="60" w:right="239"/>
        <w:spacing w:after="0" w:line="260" w:lineRule="auto"/>
        <w:rPr>
          <w:sz w:val="20"/>
          <w:szCs w:val="20"/>
          <w:color w:val="auto"/>
        </w:rPr>
      </w:pPr>
      <w:r>
        <w:rPr>
          <w:rFonts w:ascii="Arial" w:cs="Arial" w:eastAsia="Arial" w:hAnsi="Arial"/>
          <w:sz w:val="17"/>
          <w:szCs w:val="17"/>
          <w:color w:val="auto"/>
        </w:rPr>
        <w:t>2020. In the first quarter of 2020, we activated the first trial site for our Phase 3 clinical trial evaluating pralsetinib in patients with first-line RET fusion-positive NSCLC, which we refer to as our AcceleRET Lung trial. In addition, we plan to initiate a Phase 3 clinical trial of pralsetinib in first-line RET-mutant MTC in the second half of 2020.</w:t>
      </w:r>
    </w:p>
    <w:p>
      <w:pPr>
        <w:spacing w:after="0" w:line="199" w:lineRule="exact"/>
        <w:rPr>
          <w:sz w:val="20"/>
          <w:szCs w:val="20"/>
          <w:color w:val="auto"/>
        </w:rPr>
      </w:pPr>
    </w:p>
    <w:p>
      <w:pPr>
        <w:ind w:left="60" w:right="239" w:firstLine="648"/>
        <w:spacing w:after="0" w:line="270" w:lineRule="auto"/>
        <w:rPr>
          <w:sz w:val="20"/>
          <w:szCs w:val="20"/>
          <w:color w:val="auto"/>
        </w:rPr>
      </w:pPr>
      <w:r>
        <w:rPr>
          <w:rFonts w:ascii="Arial" w:cs="Arial" w:eastAsia="Arial" w:hAnsi="Arial"/>
          <w:sz w:val="16"/>
          <w:szCs w:val="16"/>
          <w:color w:val="auto"/>
        </w:rPr>
        <w:t>In the first quarter of 2020, we completed the submission of a rolling NDA to the FDA for the treatment of patients with RET fusion-positive NSCLC. In addition, we recently submitted a marketing authorization application, or MAA, to the European Medicines Agency, or EMA, for pralsetinib for RET fusion-positive NSCLC. We plan to submit additional marketing applications for pralsetinib for RET fusion-positive NSCLC through the FDA’s Project Orbis initiative, which provides a framework for concurrent submission and review of marketing applications for oncology products among international health authorities. In addition, we plan to submit an NDA to the FDA for pralsetinib for the treatment of patients with MTC previously treated with an approved multi-kinase inhibitor in the second quarter of 2020 under the FDA’s Oncology Center of Excellence Real-Time Oncology Review pilot program, or RTOR program. The FDA’s RTOR program aims to explore a more efficient review process to ensure that safe and effective treatments are available to patients as early as possible, while maintaining and improving review quality by the FDA.</w:t>
      </w:r>
    </w:p>
    <w:p>
      <w:pPr>
        <w:spacing w:after="0" w:line="212" w:lineRule="exact"/>
        <w:rPr>
          <w:sz w:val="20"/>
          <w:szCs w:val="20"/>
          <w:color w:val="auto"/>
        </w:rPr>
      </w:pPr>
    </w:p>
    <w:p>
      <w:pPr>
        <w:ind w:left="60" w:right="339" w:firstLine="648"/>
        <w:spacing w:after="0" w:line="241" w:lineRule="auto"/>
        <w:rPr>
          <w:sz w:val="20"/>
          <w:szCs w:val="20"/>
          <w:color w:val="auto"/>
        </w:rPr>
      </w:pPr>
      <w:r>
        <w:rPr>
          <w:rFonts w:ascii="Arial" w:cs="Arial" w:eastAsia="Arial" w:hAnsi="Arial"/>
          <w:sz w:val="18"/>
          <w:szCs w:val="18"/>
          <w:color w:val="auto"/>
        </w:rPr>
        <w:t>The FDA has granted orphan drug designation to pralsetinib for the treatment of RET-rearranged NSCLC, JAK1/2-positive NSCLC or TRKC-positive NSCLC, and the FDA has granted breakthrough therapy designation to pralsetinib for the treatment of patients with RET fusion-positive NSCLC that has progressed following platinum-based chemotherapy and to pralsetinib for the treatment of patients with RET mutation-positive MTC that requires systemic treatment and for which there are no acceptable alternative treatments.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Avapritinib — Gastrointestinal Stromal Tumors</w:t>
      </w:r>
    </w:p>
    <w:p>
      <w:pPr>
        <w:spacing w:after="0" w:line="252" w:lineRule="exact"/>
        <w:rPr>
          <w:sz w:val="20"/>
          <w:szCs w:val="20"/>
          <w:color w:val="auto"/>
        </w:rPr>
      </w:pPr>
    </w:p>
    <w:p>
      <w:pPr>
        <w:jc w:val="both"/>
        <w:ind w:left="60" w:right="199" w:firstLine="648"/>
        <w:spacing w:after="0" w:line="248" w:lineRule="auto"/>
        <w:rPr>
          <w:sz w:val="20"/>
          <w:szCs w:val="20"/>
          <w:color w:val="auto"/>
        </w:rPr>
      </w:pPr>
      <w:r>
        <w:rPr>
          <w:rFonts w:ascii="Arial" w:cs="Arial" w:eastAsia="Arial" w:hAnsi="Arial"/>
          <w:sz w:val="18"/>
          <w:szCs w:val="18"/>
          <w:color w:val="auto"/>
        </w:rPr>
        <w:t>We are also developing and, in the U.S., commercializing avapritinib for the treatment of patients with PDGFRA exon 18 mutant gastrointestinal stromal tumors, or GIST, a rare disease that is a sarcoma, or tumor of bone or connective tissue, of the gastrointestinal tract.</w:t>
      </w:r>
    </w:p>
    <w:p>
      <w:pPr>
        <w:spacing w:after="0" w:line="22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In January 2020, the FDA granted approval of avapritinib under the brand name AYVAKIT for the treatment of adults with unresectable or metastatic GIST harboring a PDGFRA exon 18 mutation, including PDGFRA D842V mutations. The EMA is currently reviewing our MAA for avapritinib for the treatment of adult patients with PDGFRA D842V mutant GIST, regardless of prior therapy, and we anticipate a decision from the European Commission in the third quarter of 2020. In addition, the China National Medical Products Administration recently accepted an NDA submitted by CStone Pharmaceuticals, or CStone, for avapritinib for the treatment of adults with unresectable or metastatic PDGFRA exon 18 mutant GIST and fourth-line GIST. CStone also submitted an NDA to the Taiwan Food and Drug Administration, or the TFDA, for avapritinib for the indication of adult patients with unresectable or metastatic GIST harboring a PDGFRA exon 18 mutation, including PDGFRA D842V mutations, and received priority review designation from the TFDA.</w:t>
      </w:r>
    </w:p>
    <w:p>
      <w:pPr>
        <w:spacing w:after="0" w:line="196"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We recently announced top-line data from our Phase 3 clinical trial comparing avapritinib to regorafenib in third-line GIST, which we refer to as our VOYAGER trial. As previously reported, the VOYAGER trial did not meet the primary endpoint of an improvement in progression-free survival for avapritinib versus regorafenib. Based on the results of the VOYAGER trial, we plan to discontinue further development of avapritinib for all GIST indications beyond PDGFRA exon 18 mutant GIST. We plan to continue to commercialize AYVAKIT in the U.S. for the treatment of adults with unresectable or metastatic GIST harboring a PDGFRA exon 18 mutation, including PDGFRA D842V mutations, and seek marketing approval for avapritinib for the treatment of this patient population in additional geographies, including the European Union.</w:t>
      </w:r>
    </w:p>
    <w:p>
      <w:pPr>
        <w:spacing w:after="0" w:line="194"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As previously reported, the FDA requested the top-line data from our VOYAGER trial as part of its review of our NDA for avapritinib for the treatment of fourth-line GIST. We recently submitted the top-line data to the FDA and anticipate a decision from the FDA by May 14, 2020, which is the Prescription Drug User Fee Act action date.</w:t>
      </w:r>
    </w:p>
    <w:p>
      <w:pPr>
        <w:spacing w:after="0" w:line="204"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The FDA has granted breakthrough therapy designation to avapritinib for the treatment of patients with unresectable or metastatic GIST harboring the PDGFRA D842V mutation. The FDA has also granted orphan drug designation to avapritinib for the treatment of GIST and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In addition, the European Commission has granted orphan medicinal product designation to avapritinib for the treatment of GIST.</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Fisogatinib — Hepatocellular Carcinoma</w:t>
      </w:r>
    </w:p>
    <w:p>
      <w:pPr>
        <w:spacing w:after="0" w:line="239" w:lineRule="exact"/>
        <w:rPr>
          <w:sz w:val="20"/>
          <w:szCs w:val="20"/>
          <w:color w:val="auto"/>
        </w:rPr>
      </w:pPr>
    </w:p>
    <w:p>
      <w:pPr>
        <w:ind w:left="60" w:right="139" w:firstLine="648"/>
        <w:spacing w:after="0" w:line="274" w:lineRule="auto"/>
        <w:rPr>
          <w:sz w:val="20"/>
          <w:szCs w:val="20"/>
          <w:color w:val="auto"/>
        </w:rPr>
      </w:pPr>
      <w:r>
        <w:rPr>
          <w:rFonts w:ascii="Arial" w:cs="Arial" w:eastAsia="Arial" w:hAnsi="Arial"/>
          <w:sz w:val="16"/>
          <w:szCs w:val="16"/>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We are currently evaluating fisogatinib in an ongoing Phase 1 clinical trial in patients with advanced HCC. As part of our collaboration with CStone, we are also evaluating fisogatinib in combination with CS1001, a clinical-stage anti-PDL1 immunotherapy being developed by CStone, for the treatment of locally advanced or metastatic HCC in an ongoing Phase 1b/2 trial conducted in multiple clinical sites in China. The FDA has granted orphan drug designation to fisogatinib for the treatment of HCC.</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5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the first quarter of 2020, we announced the nomination of BLU-945, our development candidate for the treatment of EGFR Exon 19/L858R+T790M+C797S, which we refer to as resistant EGFR-positive triple mutant NSCLC. We currently have five wholly-owned discovery programs (including two programs with development</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candidates), consisting of the following: BLU-263; BLU-945; a pre-development candidate program targeting EGFR Exon 19/L858R+C797S, which we refer to as resistant EGFR-positive double mutant NSCLC; and two pre-development candidate programs for undisclosed kinase targets. BLU-945 and EGFR Exon 19/L858R+C797S are acquired resistance mutations in NSCLC patients following treatment with osimertinib. In addition to BLU-945, we plan to nominate up to two additional development candidates by the end of 2020.</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and Commercialization Rights</w:t>
      </w:r>
    </w:p>
    <w:p>
      <w:pPr>
        <w:spacing w:after="0" w:line="252"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6"/>
          <w:szCs w:val="16"/>
          <w:color w:val="auto"/>
        </w:rPr>
        <w:t>We currently have worldwide development and commercialization rights to avapritinib, pralsetinib and fisogatinib, other than the rights licensed to CStone for these drug candidates in Mainland China, Hong Kong, Macau and Taiwan, or the CStone territory. We currently have worldwide development and commercialization rights to all of our discovery programs, other than the discovery-stage cancer immunotherapy programs under collaboration with F.</w:t>
      </w:r>
    </w:p>
    <w:p>
      <w:pPr>
        <w:spacing w:after="0" w:line="1"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Hoffmann-La Roche Ltd and Hoffmann-La Roche Inc., which we collectively refer to as Roche, and BLU-782, which is licensed to Clementia Pharmaceuticals, Inc., or Clementia, a wholly-owned subsidiary of Ipsen S.A .</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52" w:lineRule="exact"/>
        <w:rPr>
          <w:sz w:val="20"/>
          <w:szCs w:val="20"/>
          <w:color w:val="auto"/>
        </w:rPr>
      </w:pPr>
    </w:p>
    <w:p>
      <w:pPr>
        <w:ind w:left="60" w:right="119" w:firstLine="648"/>
        <w:spacing w:after="0" w:line="243" w:lineRule="auto"/>
        <w:rPr>
          <w:sz w:val="20"/>
          <w:szCs w:val="20"/>
          <w:color w:val="auto"/>
        </w:rPr>
      </w:pPr>
      <w:r>
        <w:rPr>
          <w:rFonts w:ascii="Arial" w:cs="Arial" w:eastAsia="Arial" w:hAnsi="Arial"/>
          <w:sz w:val="18"/>
          <w:szCs w:val="18"/>
          <w:i w:val="1"/>
          <w:iCs w:val="1"/>
          <w:color w:val="auto"/>
        </w:rPr>
        <w:t xml:space="preserve">Roche. </w:t>
      </w:r>
      <w:r>
        <w:rPr>
          <w:rFonts w:ascii="Arial" w:cs="Arial" w:eastAsia="Arial" w:hAnsi="Arial"/>
          <w:sz w:val="18"/>
          <w:szCs w:val="18"/>
          <w:color w:val="auto"/>
        </w:rPr>
        <w:t>In March 2016, we entered into a collaboration with Roche to discover, develop and commercialize up to</w:t>
      </w:r>
      <w:r>
        <w:rPr>
          <w:rFonts w:ascii="Arial" w:cs="Arial" w:eastAsia="Arial" w:hAnsi="Arial"/>
          <w:sz w:val="18"/>
          <w:szCs w:val="18"/>
          <w:i w:val="1"/>
          <w:iCs w:val="1"/>
          <w:color w:val="auto"/>
        </w:rPr>
        <w:t xml:space="preserve"> </w:t>
      </w:r>
      <w:r>
        <w:rPr>
          <w:rFonts w:ascii="Arial" w:cs="Arial" w:eastAsia="Arial" w:hAnsi="Arial"/>
          <w:sz w:val="18"/>
          <w:szCs w:val="18"/>
          <w:color w:val="auto"/>
        </w:rPr>
        <w:t>four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228" w:lineRule="exact"/>
        <w:rPr>
          <w:sz w:val="20"/>
          <w:szCs w:val="20"/>
          <w:color w:val="auto"/>
        </w:rPr>
      </w:pPr>
    </w:p>
    <w:p>
      <w:pPr>
        <w:ind w:left="60" w:right="439" w:firstLine="648"/>
        <w:spacing w:after="0" w:line="248" w:lineRule="auto"/>
        <w:rPr>
          <w:sz w:val="20"/>
          <w:szCs w:val="20"/>
          <w:color w:val="auto"/>
        </w:rPr>
      </w:pPr>
      <w:r>
        <w:rPr>
          <w:rFonts w:ascii="Arial" w:cs="Arial" w:eastAsia="Arial" w:hAnsi="Arial"/>
          <w:sz w:val="18"/>
          <w:szCs w:val="18"/>
          <w:i w:val="1"/>
          <w:iCs w:val="1"/>
          <w:color w:val="auto"/>
        </w:rPr>
        <w:t xml:space="preserve">CStone. </w:t>
      </w:r>
      <w:r>
        <w:rPr>
          <w:rFonts w:ascii="Arial" w:cs="Arial" w:eastAsia="Arial" w:hAnsi="Arial"/>
          <w:sz w:val="18"/>
          <w:szCs w:val="18"/>
          <w:color w:val="auto"/>
        </w:rPr>
        <w:t>In June 2018, we entered into a collaboration with CStone to develop and commercialize avapritinib,</w:t>
      </w:r>
      <w:r>
        <w:rPr>
          <w:rFonts w:ascii="Arial" w:cs="Arial" w:eastAsia="Arial" w:hAnsi="Arial"/>
          <w:sz w:val="18"/>
          <w:szCs w:val="18"/>
          <w:i w:val="1"/>
          <w:iCs w:val="1"/>
          <w:color w:val="auto"/>
        </w:rPr>
        <w:t xml:space="preserve"> </w:t>
      </w:r>
      <w:r>
        <w:rPr>
          <w:rFonts w:ascii="Arial" w:cs="Arial" w:eastAsia="Arial" w:hAnsi="Arial"/>
          <w:sz w:val="18"/>
          <w:szCs w:val="18"/>
          <w:color w:val="auto"/>
        </w:rPr>
        <w:t>pralsetinib and fisogatinib, including back-up forms and certain other forms, in the CStone territory either as a monotherapy or as part of a combination therapy.</w:t>
      </w:r>
    </w:p>
    <w:p>
      <w:pPr>
        <w:spacing w:after="0" w:line="209"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i w:val="1"/>
          <w:iCs w:val="1"/>
          <w:color w:val="auto"/>
        </w:rPr>
        <w:t xml:space="preserve">Clementia. </w:t>
      </w:r>
      <w:r>
        <w:rPr>
          <w:rFonts w:ascii="Arial" w:cs="Arial" w:eastAsia="Arial" w:hAnsi="Arial"/>
          <w:sz w:val="16"/>
          <w:szCs w:val="16"/>
          <w:color w:val="auto"/>
        </w:rPr>
        <w:t>In October 2019, we entered into a license agreement with Clementia, a wholly-owned subsidiary of</w:t>
      </w:r>
      <w:r>
        <w:rPr>
          <w:rFonts w:ascii="Arial" w:cs="Arial" w:eastAsia="Arial" w:hAnsi="Arial"/>
          <w:sz w:val="16"/>
          <w:szCs w:val="16"/>
          <w:i w:val="1"/>
          <w:iCs w:val="1"/>
          <w:color w:val="auto"/>
        </w:rPr>
        <w:t xml:space="preserve"> </w:t>
      </w:r>
      <w:r>
        <w:rPr>
          <w:rFonts w:ascii="Arial" w:cs="Arial" w:eastAsia="Arial" w:hAnsi="Arial"/>
          <w:sz w:val="16"/>
          <w:szCs w:val="16"/>
          <w:color w:val="auto"/>
        </w:rPr>
        <w:t>Ipsen S.A., and granted an exclusive, worldwide, royalty-bearing license to Clementia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w:t>
      </w:r>
    </w:p>
    <w:p>
      <w:pPr>
        <w:spacing w:after="0" w:line="20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on the COVID-19 Pandemic</w:t>
      </w:r>
    </w:p>
    <w:p>
      <w:pPr>
        <w:spacing w:after="0" w:line="239" w:lineRule="exact"/>
        <w:rPr>
          <w:sz w:val="20"/>
          <w:szCs w:val="20"/>
          <w:color w:val="auto"/>
        </w:rPr>
      </w:pPr>
    </w:p>
    <w:p>
      <w:pPr>
        <w:ind w:left="60" w:right="99" w:firstLine="661"/>
        <w:spacing w:after="0" w:line="268" w:lineRule="auto"/>
        <w:rPr>
          <w:sz w:val="20"/>
          <w:szCs w:val="20"/>
          <w:color w:val="auto"/>
        </w:rPr>
      </w:pPr>
      <w:r>
        <w:rPr>
          <w:rFonts w:ascii="Arial" w:cs="Arial" w:eastAsia="Arial" w:hAnsi="Arial"/>
          <w:sz w:val="16"/>
          <w:szCs w:val="16"/>
          <w:color w:val="auto"/>
        </w:rPr>
        <w:t>Due to the evolving and uncertain global impacts of the COVID-19 pandemic, we cannot precisely determine or quantify the impact this pandemic will have on our business, operations and financial performance for the remainder of our fiscal year ending December 31, 2020 and beyond. We have established a work-from-home policy for all employees, other than those performing or supporting business-critical activities, such as certain members of our laboratory and facilities staff, and we will continue to evaluate this policy for each of our locations based on guidance from federal, state and local government authorities. For our ongoing and planned clinical trials, while we anticipate and have experienced some temporary delays or disruptions due to the COVID-19 pandemic, we are working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In addition, we currently have sufficient supply to meet our anticipated global commercial and clinical development needs for avapritinib, pralsetinib, fisogatinib and BLU-263 through 2021. However, the COVID-19 pandemic could adversely impact our suppliers and result in delays or disruptions in our current or future supply chain. For our commercial activities for AYVAKIT and planned commercial activities for pralsetinib, we have shifted commercial and medical affairs field activities across our portfolio toward</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Arial" w:cs="Arial" w:eastAsia="Arial" w:hAnsi="Arial"/>
          <w:sz w:val="17"/>
          <w:szCs w:val="17"/>
          <w:color w:val="auto"/>
        </w:rPr>
        <w:t>virtual formats where possible in order to allow us to continue to serve the needs of healthcare providers, patients and other stakeholders during this critical time. We will continue to assess the duration, scope and severity of the COVID-19 pandemic and its potential impacts on our business, operations and financial performance, and we will continue to work closely with our third-party vendors, collaborators and other parties in order to seek to advance our pipeline of targeted therapies as quickly as possible, while making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 debt financing and limited product revenue. Through March 31, 2020, we have received an aggregate of $1.8 billion from such transactions, including $1.5 billion in aggregate gross proceeds from the sale of common stock in our May 2015 initial public offering, or IPO, and follow-on public offerings, $115.1 million in gross proceeds from the issuance of convertible preferred stock, $18.8 million in upfront and milestone payments under our former collaboration with Alexion Pharma Holding, or Alexion, $63.0 million in upfront and milestone payments under our collaboration with Roche, $52.0 million upfront and milestone payments under our collaboration with CStone, a $25.0 million upfront payment under our license agreement with Clementia and $10.0 million in gross proceeds from a debt financing.</w:t>
      </w:r>
    </w:p>
    <w:p>
      <w:pPr>
        <w:spacing w:after="0" w:line="211" w:lineRule="exact"/>
        <w:rPr>
          <w:sz w:val="20"/>
          <w:szCs w:val="20"/>
          <w:color w:val="auto"/>
        </w:rPr>
      </w:pPr>
    </w:p>
    <w:p>
      <w:pPr>
        <w:ind w:left="60" w:right="299" w:firstLine="648"/>
        <w:spacing w:after="0" w:line="258" w:lineRule="auto"/>
        <w:rPr>
          <w:sz w:val="20"/>
          <w:szCs w:val="20"/>
          <w:color w:val="auto"/>
        </w:rPr>
      </w:pPr>
      <w:r>
        <w:rPr>
          <w:rFonts w:ascii="Arial" w:cs="Arial" w:eastAsia="Arial" w:hAnsi="Arial"/>
          <w:sz w:val="17"/>
          <w:szCs w:val="17"/>
          <w:color w:val="auto"/>
        </w:rPr>
        <w:t>Since inception, we have incurred significant operating losses. Our net losses were $111.0 million for the three-month ended March 31, 2020 and $347.7 million, $236.6 million and $148.1 million for the years ended</w:t>
      </w:r>
    </w:p>
    <w:p>
      <w:pPr>
        <w:spacing w:after="0" w:line="1" w:lineRule="exact"/>
        <w:rPr>
          <w:sz w:val="20"/>
          <w:szCs w:val="20"/>
          <w:color w:val="auto"/>
        </w:rPr>
      </w:pPr>
    </w:p>
    <w:p>
      <w:pPr>
        <w:ind w:left="60" w:right="119"/>
        <w:spacing w:after="0" w:line="260" w:lineRule="auto"/>
        <w:rPr>
          <w:sz w:val="20"/>
          <w:szCs w:val="20"/>
          <w:color w:val="auto"/>
        </w:rPr>
      </w:pPr>
      <w:r>
        <w:rPr>
          <w:rFonts w:ascii="Arial" w:cs="Arial" w:eastAsia="Arial" w:hAnsi="Arial"/>
          <w:sz w:val="17"/>
          <w:szCs w:val="17"/>
          <w:color w:val="auto"/>
        </w:rPr>
        <w:t>December 31, 2019, 2018 and 2017, respectively. As of March 31, 2020, we had an accumulated deficit of $1,056.2 million. We expect to continue to incur significant expenses and operating losses over the next several years. We anticipate that our expenses will increase significantly in connection with our ongoing activities, particularly as we:</w:t>
      </w:r>
    </w:p>
    <w:p>
      <w:pPr>
        <w:spacing w:after="0" w:line="213" w:lineRule="exact"/>
        <w:rPr>
          <w:sz w:val="20"/>
          <w:szCs w:val="20"/>
          <w:color w:val="auto"/>
        </w:rPr>
      </w:pPr>
    </w:p>
    <w:p>
      <w:pPr>
        <w:ind w:left="1380" w:right="31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advance and initiate clinical development activities for avapritinib, pralsetinib, fisogatinib and BLU-263;</w:t>
      </w:r>
    </w:p>
    <w:p>
      <w:pPr>
        <w:spacing w:after="0" w:line="170"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marketing approval for avapritinib for additional indications and in additional geographies and marketing approvals for other drug candidates;</w:t>
      </w:r>
    </w:p>
    <w:p>
      <w:pPr>
        <w:spacing w:after="0" w:line="170" w:lineRule="exact"/>
        <w:rPr>
          <w:rFonts w:ascii="Arial" w:cs="Arial" w:eastAsia="Arial" w:hAnsi="Arial"/>
          <w:sz w:val="18"/>
          <w:szCs w:val="18"/>
          <w:color w:val="auto"/>
        </w:rPr>
      </w:pPr>
    </w:p>
    <w:p>
      <w:pPr>
        <w:ind w:left="1380" w:right="139" w:hanging="331"/>
        <w:spacing w:after="0" w:line="248"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and expand our sales, marketing and distribution infrastructure to continue to commercialize AYVAKIT and commercialize any current or future drug candidates for which we may obtain marketing approval;</w:t>
      </w:r>
    </w:p>
    <w:p>
      <w:pPr>
        <w:spacing w:after="0" w:line="18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commercialization;</w:t>
      </w:r>
    </w:p>
    <w:p>
      <w:pPr>
        <w:spacing w:after="0" w:line="170"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or development candidates, including BLU-945;</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21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AYVAKIT and any current or future drug candidates;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other approved drugs, drug candidates or technologies;</w:t>
      </w:r>
    </w:p>
    <w:p>
      <w:pPr>
        <w:spacing w:after="0" w:line="211" w:lineRule="exact"/>
        <w:rPr>
          <w:rFonts w:ascii="Arial" w:cs="Arial" w:eastAsia="Arial" w:hAnsi="Arial"/>
          <w:sz w:val="18"/>
          <w:szCs w:val="18"/>
          <w:color w:val="auto"/>
        </w:rPr>
      </w:pPr>
    </w:p>
    <w:p>
      <w:pPr>
        <w:ind w:left="1380" w:right="679" w:hanging="331"/>
        <w:spacing w:after="0" w:line="261" w:lineRule="auto"/>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jc w:val="both"/>
        <w:ind w:left="60" w:right="99" w:firstLine="648"/>
        <w:spacing w:after="0" w:line="294" w:lineRule="auto"/>
        <w:rPr>
          <w:sz w:val="20"/>
          <w:szCs w:val="20"/>
          <w:color w:val="auto"/>
        </w:rPr>
      </w:pPr>
      <w:r>
        <w:rPr>
          <w:rFonts w:ascii="Arial" w:cs="Arial" w:eastAsia="Arial" w:hAnsi="Arial"/>
          <w:sz w:val="16"/>
          <w:szCs w:val="16"/>
          <w:color w:val="auto"/>
        </w:rPr>
        <w:t>Through December 31, 2019, our revenue consisted of collaboration revenue under our collaborations with Roche and CStone, including amounts that were recognized related to upfront payments, milestone payments and amounts due to us for research and development services, and license revenue under our license agreement with Clementia.</w:t>
      </w:r>
    </w:p>
    <w:p>
      <w:pPr>
        <w:spacing w:after="0" w:line="188"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In January 2020, the FDA granted approval of avapritinib under the brand name AYVAKIT for the treatment of adults with unresectable or metastatic GIST harboring a PDGFRA exon 18 mutation, including PDGFRA D842V mutations, and we have commenced the sale of AYVAKIT in the U.S. As a result, we started generating revenue from sales of AYVAKIT in the first quarter of 2020.</w:t>
      </w:r>
    </w:p>
    <w:p>
      <w:pPr>
        <w:spacing w:after="0" w:line="21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In the future, we expect to generate revenue from a combination of sales of AYVAKIT and any current or future drug candidates for which we receive marketing approval, royalties on drug sales and cost reimbursements, as well as upfront, milestone, royalty and other payments, if any, under any current or future collaborations and licenses, including revenues related to the supply of our drug candidates or approved drugs to CStone for development and commercialization activities in the CStone territory. We expect that any revenue we generate will fluctuate from quarter to quarter as a result of the timing and amount of product sales, license fees, research and development services and related reimbursements, payments for manufacturing services, and option fees, milestone payments or other payments under our collaboration or license agreements, if any.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52"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Our cost of sales includes the cost of producing and distributing inventories that are related to product revenue during the respective period, including salary related and stock-based compensation expense for employees involved with production and distribution, freight, and indirect overhead costs. In addition, shipping and handling costs for product shipments are recorded in cost of sales as incurred. Cost of sales for newly launched products will not be significant until the initial pre-launch inventory is depleted, and additional inventory is manufactured. As a result, the gross margin of AYVAKIT sales for the three months ended March 31, 2020 was enhanced by the use of active pharmaceutical ingredients and components that were previously expensed as research and development expense in prior years.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ind w:left="60" w:right="719"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drug discovery efforts, and the development of our drug candidates, which include:</w:t>
      </w:r>
    </w:p>
    <w:p>
      <w:pPr>
        <w:spacing w:after="0" w:line="151" w:lineRule="exact"/>
        <w:rPr>
          <w:sz w:val="20"/>
          <w:szCs w:val="20"/>
          <w:color w:val="auto"/>
        </w:rPr>
      </w:pPr>
    </w:p>
    <w:p>
      <w:pPr>
        <w:ind w:left="1380" w:hanging="331"/>
        <w:spacing w:after="0"/>
        <w:tabs>
          <w:tab w:leader="none" w:pos="1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80" w:right="519" w:hanging="331"/>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70" w:lineRule="exact"/>
        <w:rPr>
          <w:rFonts w:ascii="Arial" w:cs="Arial" w:eastAsia="Arial" w:hAnsi="Arial"/>
          <w:sz w:val="18"/>
          <w:szCs w:val="18"/>
          <w:color w:val="auto"/>
        </w:rPr>
      </w:pPr>
    </w:p>
    <w:p>
      <w:pPr>
        <w:ind w:left="1380" w:right="379" w:hanging="331"/>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1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319" w:hanging="331"/>
        <w:spacing w:after="0" w:line="248"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22"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13" w:lineRule="exact"/>
        <w:rPr>
          <w:sz w:val="20"/>
          <w:szCs w:val="20"/>
          <w:color w:val="auto"/>
        </w:rPr>
      </w:pPr>
    </w:p>
    <w:p>
      <w:pPr>
        <w:ind w:left="60" w:right="419" w:firstLine="648"/>
        <w:spacing w:after="0" w:line="241"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216" w:lineRule="exact"/>
        <w:rPr>
          <w:sz w:val="20"/>
          <w:szCs w:val="20"/>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initiation, enrollment in, and completion of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80" w:right="95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70" w:lineRule="exact"/>
        <w:rPr>
          <w:rFonts w:ascii="Arial" w:cs="Arial" w:eastAsia="Arial" w:hAnsi="Arial"/>
          <w:sz w:val="18"/>
          <w:szCs w:val="18"/>
          <w:color w:val="auto"/>
        </w:rPr>
      </w:pPr>
    </w:p>
    <w:p>
      <w:pPr>
        <w:ind w:left="1380" w:right="31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AYVAKIT and our drug candidates;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commercializing AYVAKIT and our drug candidates, if and when approved, whether alone or in collaboration with others;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AYVAKIT and any future drug we may commercialize;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5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87"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11"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The following table summarizes our external research and development expenses by program for the three months ended March 31, 2020 and 2019. Other development and pre-development candidate expenses, unallocated expenses and internal research and development expenses have been classified separately.</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56"/>
        </w:trPr>
        <w:tc>
          <w:tcPr>
            <w:tcW w:w="4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56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21,053</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24,677</w:t>
            </w:r>
          </w:p>
        </w:tc>
        <w:tc>
          <w:tcPr>
            <w:tcW w:w="28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22,698</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16,059</w:t>
            </w:r>
          </w:p>
        </w:tc>
        <w:tc>
          <w:tcPr>
            <w:tcW w:w="280" w:type="dxa"/>
            <w:vAlign w:val="bottom"/>
          </w:tcPr>
          <w:p>
            <w:pPr>
              <w:spacing w:after="0"/>
              <w:rPr>
                <w:sz w:val="17"/>
                <w:szCs w:val="17"/>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Fisogatinib external expenses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2,156</w:t>
            </w: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1,262</w:t>
            </w:r>
          </w:p>
        </w:tc>
        <w:tc>
          <w:tcPr>
            <w:tcW w:w="28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BLU-263 external expenses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2,565</w:t>
            </w: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r>
      <w:tr>
        <w:trPr>
          <w:trHeight w:val="188"/>
        </w:trPr>
        <w:tc>
          <w:tcPr>
            <w:tcW w:w="46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Other development and pre-development candidate expenses</w:t>
            </w: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r>
      <w:tr>
        <w:trPr>
          <w:trHeight w:val="217"/>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and unallocated expenses*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16,194</w:t>
            </w:r>
          </w:p>
        </w:tc>
        <w:tc>
          <w:tcPr>
            <w:tcW w:w="280" w:type="dxa"/>
            <w:vAlign w:val="bottom"/>
            <w:shd w:val="clear" w:color="auto" w:fill="CCEEFF"/>
          </w:tcPr>
          <w:p>
            <w:pPr>
              <w:spacing w:after="0"/>
              <w:rPr>
                <w:sz w:val="18"/>
                <w:szCs w:val="18"/>
                <w:color w:val="auto"/>
              </w:rPr>
            </w:pPr>
          </w:p>
        </w:tc>
      </w:tr>
      <w:tr>
        <w:trPr>
          <w:trHeight w:val="203"/>
        </w:trPr>
        <w:tc>
          <w:tcPr>
            <w:tcW w:w="4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3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22,726</w:t>
            </w:r>
          </w:p>
        </w:tc>
        <w:tc>
          <w:tcPr>
            <w:tcW w:w="4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16,058</w:t>
            </w:r>
          </w:p>
        </w:tc>
        <w:tc>
          <w:tcPr>
            <w:tcW w:w="280" w:type="dxa"/>
            <w:vAlign w:val="bottom"/>
            <w:tcBorders>
              <w:bottom w:val="single" w:sz="8" w:color="CCEEFF"/>
            </w:tcBorders>
          </w:tcPr>
          <w:p>
            <w:pPr>
              <w:spacing w:after="0"/>
              <w:rPr>
                <w:sz w:val="17"/>
                <w:szCs w:val="17"/>
                <w:color w:val="auto"/>
              </w:rPr>
            </w:pPr>
          </w:p>
        </w:tc>
      </w:tr>
      <w:tr>
        <w:trPr>
          <w:trHeight w:val="196"/>
        </w:trPr>
        <w:tc>
          <w:tcPr>
            <w:tcW w:w="46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84,146</w:t>
            </w:r>
          </w:p>
        </w:tc>
        <w:tc>
          <w:tcPr>
            <w:tcW w:w="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74,250</w:t>
            </w:r>
          </w:p>
        </w:tc>
        <w:tc>
          <w:tcPr>
            <w:tcW w:w="280" w:type="dxa"/>
            <w:vAlign w:val="bottom"/>
            <w:tcBorders>
              <w:bottom w:val="single" w:sz="8" w:color="CCEEFF"/>
            </w:tcBorders>
            <w:shd w:val="clear" w:color="auto" w:fill="CCEEFF"/>
          </w:tcPr>
          <w:p>
            <w:pPr>
              <w:spacing w:after="0"/>
              <w:rPr>
                <w:sz w:val="17"/>
                <w:szCs w:val="17"/>
                <w:color w:val="auto"/>
              </w:rPr>
            </w:pPr>
          </w:p>
        </w:tc>
      </w:tr>
      <w:tr>
        <w:trPr>
          <w:trHeight w:val="20"/>
        </w:trPr>
        <w:tc>
          <w:tcPr>
            <w:tcW w:w="4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right="219" w:hanging="322"/>
        <w:spacing w:after="0" w:line="26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development and pre-development candidate expenses also includes reimbursable expenses under our collaboration agreements.</w:t>
      </w:r>
    </w:p>
    <w:p>
      <w:pPr>
        <w:spacing w:after="0" w:line="211"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collaboration with Roche, development activities under our collaboration with CStone and development activities for companion diagnostic tests for AYVAKIT and any current and future drug candidates.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Selling, general and administrative expenses consist primarily of salaries and other related costs, including stock-based compensation, for pre-launch and post-launch commercial operations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30"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in the U.S. and outside the U.S.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39"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6"/>
          <w:szCs w:val="16"/>
          <w:color w:val="auto"/>
        </w:rPr>
        <w:t>Interest income (expense), net consists primarily of income earned on cash equivalents and investments. The increase was primarily related to higher average investment balances partially offset by a lower rate of return on investments. Due to the COVID-19 pandemic, in March 2020, there was a severe liquidity crisis in the capital markets, particularly with respect to securities with maturities of less than one year. This issue impacted pricing of certain securities in our investment portfolio, and we expect our interest income (expense), net will decrease in future periods.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(expense), net consists primarily of foreign currency transaction gains or losses.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39"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stock-based compensation and leases.</w:t>
      </w:r>
    </w:p>
    <w:p>
      <w:pPr>
        <w:spacing w:after="0" w:line="228" w:lineRule="exact"/>
        <w:rPr>
          <w:sz w:val="20"/>
          <w:szCs w:val="20"/>
          <w:color w:val="auto"/>
        </w:rPr>
      </w:pPr>
    </w:p>
    <w:p>
      <w:pPr>
        <w:ind w:left="60" w:right="419" w:firstLine="648"/>
        <w:spacing w:after="0" w:line="284" w:lineRule="auto"/>
        <w:rPr>
          <w:sz w:val="20"/>
          <w:szCs w:val="20"/>
          <w:color w:val="auto"/>
        </w:rPr>
      </w:pPr>
      <w:r>
        <w:rPr>
          <w:rFonts w:ascii="Arial" w:cs="Arial" w:eastAsia="Arial" w:hAnsi="Arial"/>
          <w:sz w:val="16"/>
          <w:szCs w:val="16"/>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2019. Other than as described below, there have been no significant changes to our critical accounting policies since December 31, 2019.</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w:t>
      </w:r>
    </w:p>
    <w:p>
      <w:pPr>
        <w:spacing w:after="0" w:line="212" w:lineRule="exact"/>
        <w:rPr>
          <w:sz w:val="20"/>
          <w:szCs w:val="20"/>
          <w:color w:val="auto"/>
        </w:rPr>
      </w:pPr>
    </w:p>
    <w:p>
      <w:pPr>
        <w:ind w:left="60" w:right="259" w:firstLine="648"/>
        <w:spacing w:after="0" w:line="294" w:lineRule="auto"/>
        <w:rPr>
          <w:sz w:val="20"/>
          <w:szCs w:val="20"/>
          <w:color w:val="auto"/>
        </w:rPr>
      </w:pPr>
      <w:r>
        <w:rPr>
          <w:rFonts w:ascii="Arial" w:cs="Arial" w:eastAsia="Arial" w:hAnsi="Arial"/>
          <w:sz w:val="16"/>
          <w:szCs w:val="16"/>
          <w:color w:val="auto"/>
        </w:rPr>
        <w:t xml:space="preserve">We generate product revenue from sales of </w:t>
      </w:r>
      <w:r>
        <w:rPr>
          <w:rFonts w:ascii="Arial" w:cs="Arial" w:eastAsia="Arial" w:hAnsi="Arial"/>
          <w:sz w:val="16"/>
          <w:szCs w:val="16"/>
          <w:color w:val="0A0A0A"/>
          <w:highlight w:val="white"/>
        </w:rPr>
        <w:t>AYVAKIT</w:t>
      </w:r>
      <w:r>
        <w:rPr>
          <w:rFonts w:ascii="Arial" w:cs="Arial" w:eastAsia="Arial" w:hAnsi="Arial"/>
          <w:sz w:val="16"/>
          <w:szCs w:val="16"/>
          <w:color w:val="auto"/>
        </w:rPr>
        <w:t xml:space="preserve"> to specialty pharmacy providers in the U.S. These customers subsequently dispense the product directly to patients. In addition, we entered into arrangements with payors that provide for government mandated rebates and discounts and allowances with respect to the utilization of </w:t>
      </w:r>
      <w:r>
        <w:rPr>
          <w:rFonts w:ascii="Arial" w:cs="Arial" w:eastAsia="Arial" w:hAnsi="Arial"/>
          <w:sz w:val="16"/>
          <w:szCs w:val="16"/>
          <w:color w:val="0A0A0A"/>
          <w:highlight w:val="white"/>
        </w:rPr>
        <w:t>AYVAKIT</w:t>
      </w:r>
      <w:r>
        <w:rPr>
          <w:rFonts w:ascii="Arial" w:cs="Arial" w:eastAsia="Arial" w:hAnsi="Arial"/>
          <w:sz w:val="16"/>
          <w:szCs w:val="16"/>
          <w:color w:val="auto"/>
        </w:rPr>
        <w:t>.</w:t>
      </w:r>
    </w:p>
    <w:p>
      <w:pPr>
        <w:spacing w:after="0" w:line="147" w:lineRule="exact"/>
        <w:rPr>
          <w:sz w:val="20"/>
          <w:szCs w:val="20"/>
          <w:color w:val="auto"/>
        </w:rPr>
      </w:pPr>
    </w:p>
    <w:p>
      <w:pPr>
        <w:ind w:left="60" w:right="179" w:firstLine="648"/>
        <w:spacing w:after="0" w:line="252" w:lineRule="auto"/>
        <w:rPr>
          <w:sz w:val="20"/>
          <w:szCs w:val="20"/>
          <w:color w:val="auto"/>
        </w:rPr>
      </w:pPr>
      <w:r>
        <w:rPr>
          <w:rFonts w:ascii="Arial" w:cs="Arial" w:eastAsia="Arial" w:hAnsi="Arial"/>
          <w:sz w:val="17"/>
          <w:szCs w:val="17"/>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our product. Reserves are established based on the amounts earned or to be claimed on the related sales. Where appropriate, we utilize the expected value method to determine the appropriate amount for estimates of variable consideration based on factors such as our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167" w:lineRule="exact"/>
        <w:rPr>
          <w:sz w:val="20"/>
          <w:szCs w:val="20"/>
          <w:color w:val="auto"/>
        </w:rPr>
      </w:pPr>
    </w:p>
    <w:p>
      <w:pPr>
        <w:ind w:left="60" w:right="179" w:firstLine="648"/>
        <w:spacing w:after="0" w:line="239"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for fees and discounts represent the estimated obligations resulting from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to sell product to qualified healthcare providers and government agencies at prices lower than the list prices charged to the customers who directly purchase the product from us. The customers charge us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91" w:lineRule="exact"/>
        <w:rPr>
          <w:sz w:val="20"/>
          <w:szCs w:val="20"/>
          <w:color w:val="auto"/>
        </w:rPr>
      </w:pPr>
    </w:p>
    <w:p>
      <w:pPr>
        <w:ind w:left="60" w:right="159" w:firstLine="648"/>
        <w:spacing w:after="0" w:line="241"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Government rebates consist of Medicare, Tricare and Medicaid rebates, which were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we also estimate the number of patients in the prescription drug coverage gap for whom we will owe a rebate under the Medicare Part D program.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94"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We provide the customers with discounts that are explicitly stated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and recorded as a reduction of revenue in the period the related product revenue is recognized. In addition, the Company also receives sales order management, inventory management and data services from the customers.</w:t>
      </w:r>
    </w:p>
    <w:p>
      <w:pPr>
        <w:spacing w:after="0" w:line="147"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i w:val="1"/>
          <w:iCs w:val="1"/>
          <w:color w:val="auto"/>
        </w:rPr>
        <w:t xml:space="preserve">Product returns: </w:t>
      </w:r>
      <w:r>
        <w:rPr>
          <w:rFonts w:ascii="Arial" w:cs="Arial" w:eastAsia="Arial" w:hAnsi="Arial"/>
          <w:sz w:val="18"/>
          <w:szCs w:val="18"/>
          <w:color w:val="auto"/>
        </w:rPr>
        <w:t>We estimate the amount of product sales that may be returned by our customers and records this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as a reduction of revenue in the period the related product revenue is recognized. We currently estimate product return liabilities using expected value method based on available industry data and our visibility into the inventory remaining in the distribution channel.</w:t>
      </w:r>
    </w:p>
    <w:p>
      <w:pPr>
        <w:spacing w:after="0" w:line="174" w:lineRule="exact"/>
        <w:rPr>
          <w:sz w:val="20"/>
          <w:szCs w:val="20"/>
          <w:color w:val="auto"/>
        </w:rPr>
      </w:pPr>
    </w:p>
    <w:p>
      <w:pPr>
        <w:jc w:val="both"/>
        <w:ind w:left="60" w:right="59" w:firstLine="648"/>
        <w:spacing w:after="0" w:line="294" w:lineRule="auto"/>
        <w:rPr>
          <w:sz w:val="20"/>
          <w:szCs w:val="20"/>
          <w:color w:val="auto"/>
        </w:rPr>
      </w:pPr>
      <w:r>
        <w:rPr>
          <w:rFonts w:ascii="Arial" w:cs="Arial" w:eastAsia="Arial" w:hAnsi="Arial"/>
          <w:sz w:val="16"/>
          <w:szCs w:val="16"/>
          <w:i w:val="1"/>
          <w:iCs w:val="1"/>
          <w:color w:val="auto"/>
        </w:rPr>
        <w:t xml:space="preserve">Other deductions: </w:t>
      </w:r>
      <w:r>
        <w:rPr>
          <w:rFonts w:ascii="Arial" w:cs="Arial" w:eastAsia="Arial" w:hAnsi="Arial"/>
          <w:sz w:val="16"/>
          <w:szCs w:val="16"/>
          <w:color w:val="auto"/>
        </w:rPr>
        <w:t>Co-pay assistance relates to financial assistance provided to qualified patients, whereby we may</w:t>
      </w:r>
      <w:r>
        <w:rPr>
          <w:rFonts w:ascii="Arial" w:cs="Arial" w:eastAsia="Arial" w:hAnsi="Arial"/>
          <w:sz w:val="16"/>
          <w:szCs w:val="16"/>
          <w:i w:val="1"/>
          <w:iCs w:val="1"/>
          <w:color w:val="auto"/>
        </w:rPr>
        <w:t xml:space="preserve"> </w:t>
      </w:r>
      <w:r>
        <w:rPr>
          <w:rFonts w:ascii="Arial" w:cs="Arial" w:eastAsia="Arial" w:hAnsi="Arial"/>
          <w:sz w:val="16"/>
          <w:szCs w:val="16"/>
          <w:color w:val="auto"/>
        </w:rPr>
        <w:t>assist them with prescription drug co-payments required by the patient’s insurance provider. Reserves for co-pay assistance are recorded in the same period the related revenue is recognized, resulting in a reduction of product revenue.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Accounts Receivable</w:t>
      </w:r>
    </w:p>
    <w:p>
      <w:pPr>
        <w:spacing w:after="0" w:line="212"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7"/>
          <w:szCs w:val="17"/>
          <w:color w:val="auto"/>
        </w:rPr>
        <w:t>Accounts receivables arise from product sales and amounts due from our collaboration partners. The amount from product sales represents amounts due from specialty pharmacy providers in the U.S. We monitor economic conditions to identify facts or circumstances that may indicate that our receivables are at risk of collection. We provide reserves against accounts receivable for estimated losses that may result from a customer’s inability to pay based on the composition of our accounts receivable, current economic conditions and historical credit loss activity. Amounts determined to be uncollectible are charged or written-off against the reserve.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w:t>
      </w:r>
    </w:p>
    <w:p>
      <w:pPr>
        <w:spacing w:after="0" w:line="212" w:lineRule="exact"/>
        <w:rPr>
          <w:sz w:val="20"/>
          <w:szCs w:val="20"/>
          <w:color w:val="auto"/>
        </w:rPr>
      </w:pPr>
    </w:p>
    <w:p>
      <w:pPr>
        <w:jc w:val="both"/>
        <w:ind w:left="60" w:right="159" w:firstLine="648"/>
        <w:spacing w:after="0" w:line="248" w:lineRule="auto"/>
        <w:rPr>
          <w:sz w:val="20"/>
          <w:szCs w:val="20"/>
          <w:color w:val="auto"/>
        </w:rPr>
      </w:pPr>
      <w:r>
        <w:rPr>
          <w:rFonts w:ascii="Arial" w:cs="Arial" w:eastAsia="Arial" w:hAnsi="Arial"/>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w:t>
      </w:r>
    </w:p>
    <w:p>
      <w:pPr>
        <w:spacing w:after="0" w:line="182" w:lineRule="exact"/>
        <w:rPr>
          <w:sz w:val="20"/>
          <w:szCs w:val="20"/>
          <w:color w:val="auto"/>
        </w:rPr>
      </w:pPr>
    </w:p>
    <w:p>
      <w:pPr>
        <w:ind w:left="60" w:right="359" w:firstLine="648"/>
        <w:spacing w:after="0" w:line="243" w:lineRule="auto"/>
        <w:rPr>
          <w:sz w:val="20"/>
          <w:szCs w:val="20"/>
          <w:color w:val="auto"/>
        </w:rPr>
      </w:pPr>
      <w:r>
        <w:rPr>
          <w:rFonts w:ascii="Arial" w:cs="Arial" w:eastAsia="Arial" w:hAnsi="Arial"/>
          <w:sz w:val="18"/>
          <w:szCs w:val="18"/>
          <w:color w:val="auto"/>
        </w:rPr>
        <w:t>Prior to the regulatory approval of our drug candidates, we incur expenses for the manufacture of drug product supplies to support clinical development that could potentially be available to support the commercial launch of those drugs. Until the date at which regulatory approval has been received or is otherwise considered probable, we record all such costs as research and development expenses.</w:t>
      </w:r>
    </w:p>
    <w:p>
      <w:pPr>
        <w:spacing w:after="0" w:line="188"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7"/>
          <w:szCs w:val="17"/>
          <w:color w:val="auto"/>
        </w:rPr>
        <w:t>We perform an assessment of the recoverability of capitalized inventories during each reporting period and write down any excess and obsolete inventory to its net realizable value in the period in which the impairment is first identified. Such impairment charges, should they occur, are recorded as a component of cost of product sales in the condensed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Three Months Ended March 31, 2020 and 2019</w:t>
      </w:r>
    </w:p>
    <w:p>
      <w:pPr>
        <w:spacing w:after="0" w:line="212" w:lineRule="exact"/>
        <w:rPr>
          <w:sz w:val="20"/>
          <w:szCs w:val="20"/>
          <w:color w:val="auto"/>
        </w:rPr>
      </w:pPr>
    </w:p>
    <w:p>
      <w:pPr>
        <w:ind w:left="60" w:right="29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three months ended March 31, 2020 and 2019, together with the changes in those items in dollars and as a percentage: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9"/>
              </w:rPr>
              <w:t>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8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800" w:type="dxa"/>
            <w:vAlign w:val="bottom"/>
          </w:tcPr>
          <w:p>
            <w:pPr>
              <w:ind w:left="220"/>
              <w:spacing w:after="0"/>
              <w:rPr>
                <w:sz w:val="20"/>
                <w:szCs w:val="20"/>
                <w:color w:val="auto"/>
              </w:rPr>
            </w:pPr>
            <w:r>
              <w:rPr>
                <w:rFonts w:ascii="Arial" w:cs="Arial" w:eastAsia="Arial" w:hAnsi="Arial"/>
                <w:sz w:val="18"/>
                <w:szCs w:val="18"/>
                <w:color w:val="auto"/>
              </w:rPr>
              <w:t>Product revenue, net</w:t>
            </w:r>
          </w:p>
        </w:tc>
        <w:tc>
          <w:tcPr>
            <w:tcW w:w="1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3,458</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3,458</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2,709</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1,979</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6,167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730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5,437</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84,146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74,250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9,896</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35,655</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16,553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19,102</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119,825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90,803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29,022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(expense), net</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2,904</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2,666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(110,955)</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(87,407)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23,548</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 Net</w:t>
      </w:r>
    </w:p>
    <w:p>
      <w:pPr>
        <w:spacing w:after="0" w:line="212"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We started generating revenue from sales of AYVAKIT in the first quarter of 2020 following FDA approval of AYVAKIT for the treatment of adults with unresectable or metastatic GIST harboring a PDGFRA exon 18 mutation, including PDGFRA D842V mutations. For the three months ended March 31, 2020, we recorded net product revenue of $3.5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Collaboration revenue increased by $2.0 million from $0.7 million for the three months ended March 31, 2019 to $2.7 million for the three months ended March 31, 2020. Collaboration revenue for the three months ended March 31, 2020 and 2019 was related to CStone and Roche agreements. We recorded collaboration revenue of $2.1 million under the CStone agreement that was primarily related to the milestone achieved for the three months ended March 31, 2020. We recorded collaboration revenue of $0.6 million and $0.7 million under the Roche agreement for the three months ended March 31, 2020 and 2019, respectively, related to amortization of the total $63.0 million of upfront and milestone payments received as of such periods.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12" w:lineRule="exact"/>
        <w:rPr>
          <w:sz w:val="20"/>
          <w:szCs w:val="20"/>
          <w:color w:val="auto"/>
        </w:rPr>
      </w:pPr>
    </w:p>
    <w:p>
      <w:pPr>
        <w:jc w:val="both"/>
        <w:ind w:left="60" w:right="299" w:firstLine="648"/>
        <w:spacing w:after="0" w:line="294" w:lineRule="auto"/>
        <w:rPr>
          <w:sz w:val="20"/>
          <w:szCs w:val="20"/>
          <w:color w:val="auto"/>
        </w:rPr>
      </w:pPr>
      <w:r>
        <w:rPr>
          <w:rFonts w:ascii="Arial" w:cs="Arial" w:eastAsia="Arial" w:hAnsi="Arial"/>
          <w:sz w:val="16"/>
          <w:szCs w:val="16"/>
          <w:color w:val="auto"/>
        </w:rPr>
        <w:t>Cost of product sales was less than $0.1 million for the three months ended March 31, 2020 and was related to manufacturing costs associated with AYVAKIT sales. Costs associated with the manufacture of AYVAKIT prior to FDA approval were expensed and, therefore, are not included in cost of sales during the current period.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Research and development expense increased by $9.9 million from $74.3 million for the three months ended March 31, 2019 to $84.1 million for the three months ended March 31, 2020. The increase in research and development expense was primarily related to the following:</w:t>
      </w:r>
    </w:p>
    <w:p>
      <w:pPr>
        <w:spacing w:after="0" w:line="182" w:lineRule="exact"/>
        <w:rPr>
          <w:sz w:val="20"/>
          <w:szCs w:val="20"/>
          <w:color w:val="auto"/>
        </w:rPr>
      </w:pPr>
    </w:p>
    <w:p>
      <w:pPr>
        <w:ind w:left="1380" w:right="299" w:hanging="331"/>
        <w:spacing w:after="0" w:line="248"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$6.9 million in increased personnel expense, primarily due to an increase in headcount, which was driven by growth in the clinical and manufacturing organizations, and an increase of $2.0 million in stock-based compensation expense;</w:t>
      </w:r>
    </w:p>
    <w:p>
      <w:pPr>
        <w:spacing w:after="0" w:line="181" w:lineRule="exact"/>
        <w:rPr>
          <w:rFonts w:ascii="Arial" w:cs="Arial" w:eastAsia="Arial" w:hAnsi="Arial"/>
          <w:sz w:val="18"/>
          <w:szCs w:val="18"/>
          <w:color w:val="auto"/>
        </w:rPr>
      </w:pPr>
    </w:p>
    <w:p>
      <w:pPr>
        <w:ind w:left="1380" w:right="499" w:hanging="331"/>
        <w:spacing w:after="0" w:line="261"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$3.7 million in increased expenses for external clinical activities primarily related to pralsetinib clinical trials;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approximately $0.7 million in increased expenses associated with clinical manufacturing activities.</w:t>
      </w:r>
    </w:p>
    <w:p>
      <w:pPr>
        <w:spacing w:after="0" w:line="223" w:lineRule="exact"/>
        <w:rPr>
          <w:sz w:val="20"/>
          <w:szCs w:val="20"/>
          <w:color w:val="auto"/>
        </w:rPr>
      </w:pPr>
    </w:p>
    <w:p>
      <w:pPr>
        <w:ind w:left="60" w:right="199" w:firstLine="648"/>
        <w:spacing w:after="0" w:line="248" w:lineRule="auto"/>
        <w:rPr>
          <w:sz w:val="20"/>
          <w:szCs w:val="20"/>
          <w:color w:val="auto"/>
        </w:rPr>
      </w:pPr>
      <w:r>
        <w:rPr>
          <w:rFonts w:ascii="Arial" w:cs="Arial" w:eastAsia="Arial" w:hAnsi="Arial"/>
          <w:sz w:val="18"/>
          <w:szCs w:val="18"/>
          <w:color w:val="auto"/>
        </w:rPr>
        <w:t>These increased expenses were partially offset by approximately $1.4 million in decreased expenses associated with our early research programs, primarily driven by the BLU-782 program, which we exclusively licensed to Clementia during the fourth quarter of 2019.</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2"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7"/>
          <w:szCs w:val="17"/>
          <w:color w:val="auto"/>
        </w:rPr>
        <w:t>Selling, general and administrative expense increased by $19.1 million from $16.6 million for the three months ended March 31, 2019 to $35.7 million for the three months ended March 31, 2020. The increase in general and administrative expense was primarily related to increased costs and personnel expenses, including an increase of $4.6 million in stock-based compensation expense, associated with building our commercial infrastructure for commercialization of AYVAKIT and to support the overall growth of our business.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(Expense), Net</w:t>
      </w:r>
    </w:p>
    <w:p>
      <w:pPr>
        <w:spacing w:after="0" w:line="212" w:lineRule="exact"/>
        <w:rPr>
          <w:sz w:val="20"/>
          <w:szCs w:val="20"/>
          <w:color w:val="auto"/>
        </w:rPr>
      </w:pPr>
    </w:p>
    <w:p>
      <w:pPr>
        <w:ind w:left="60" w:right="159" w:firstLine="648"/>
        <w:spacing w:after="0" w:line="248" w:lineRule="auto"/>
        <w:rPr>
          <w:sz w:val="20"/>
          <w:szCs w:val="20"/>
          <w:color w:val="auto"/>
        </w:rPr>
      </w:pPr>
      <w:r>
        <w:rPr>
          <w:rFonts w:ascii="Arial" w:cs="Arial" w:eastAsia="Arial" w:hAnsi="Arial"/>
          <w:sz w:val="18"/>
          <w:szCs w:val="18"/>
          <w:color w:val="auto"/>
        </w:rPr>
        <w:t>Interest income (expense), net, increased by $0.2 million from $2.7 million for the three months ended March 31, 2019 to $2.9 million for the three months ended March 31, 2020. The increase was primarily related to higher average investment balances partially offset by a lower rate of return on investments.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(Expense), Net</w:t>
      </w:r>
    </w:p>
    <w:p>
      <w:pPr>
        <w:spacing w:after="0" w:line="212" w:lineRule="exact"/>
        <w:rPr>
          <w:sz w:val="20"/>
          <w:szCs w:val="20"/>
          <w:color w:val="auto"/>
        </w:rPr>
      </w:pPr>
    </w:p>
    <w:p>
      <w:pPr>
        <w:ind w:left="60" w:right="119" w:firstLine="648"/>
        <w:spacing w:after="0" w:line="324" w:lineRule="auto"/>
        <w:rPr>
          <w:sz w:val="20"/>
          <w:szCs w:val="20"/>
          <w:color w:val="auto"/>
        </w:rPr>
      </w:pPr>
      <w:r>
        <w:rPr>
          <w:rFonts w:ascii="Arial" w:cs="Arial" w:eastAsia="Arial" w:hAnsi="Arial"/>
          <w:sz w:val="16"/>
          <w:szCs w:val="16"/>
          <w:color w:val="auto"/>
        </w:rPr>
        <w:t>Other income (expense), net, decreased by $0.2 million for the three months ended March 31, 2020 compared to the three months ended March 31, 2019. The decrease was primarily related to changes in foreign currency exchange rates.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52" w:lineRule="exact"/>
        <w:rPr>
          <w:sz w:val="20"/>
          <w:szCs w:val="20"/>
          <w:color w:val="auto"/>
        </w:rPr>
      </w:pPr>
    </w:p>
    <w:p>
      <w:pPr>
        <w:ind w:left="60" w:right="379" w:firstLine="648"/>
        <w:spacing w:after="0" w:line="248"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 license agreement, a debt financing and limited product revenue.</w:t>
      </w:r>
    </w:p>
    <w:p>
      <w:pPr>
        <w:spacing w:after="0" w:line="222" w:lineRule="exact"/>
        <w:rPr>
          <w:sz w:val="20"/>
          <w:szCs w:val="20"/>
          <w:color w:val="auto"/>
        </w:rPr>
      </w:pPr>
    </w:p>
    <w:p>
      <w:pPr>
        <w:jc w:val="both"/>
        <w:ind w:left="60" w:right="259" w:firstLine="648"/>
        <w:spacing w:after="0" w:line="294" w:lineRule="auto"/>
        <w:rPr>
          <w:sz w:val="20"/>
          <w:szCs w:val="20"/>
          <w:color w:val="auto"/>
        </w:rPr>
      </w:pPr>
      <w:r>
        <w:rPr>
          <w:rFonts w:ascii="Arial" w:cs="Arial" w:eastAsia="Arial" w:hAnsi="Arial"/>
          <w:sz w:val="16"/>
          <w:szCs w:val="16"/>
          <w:color w:val="auto"/>
        </w:rPr>
        <w:t>Through March 31, 2020, we have received an aggregate of $1.8 billion from such transactions, including $1.5 billion in aggregate gross proceeds from the sale of common stock in our May 2015 IPO and follow-on public offerings, $115.1 million in gross proceeds from the issuance of convertible preferred stock, $18.8 million in upfront and milestone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8" w:lineRule="auto"/>
        <w:rPr>
          <w:sz w:val="20"/>
          <w:szCs w:val="20"/>
          <w:color w:val="auto"/>
        </w:rPr>
      </w:pPr>
      <w:r>
        <w:rPr>
          <w:rFonts w:ascii="Arial" w:cs="Arial" w:eastAsia="Arial" w:hAnsi="Arial"/>
          <w:sz w:val="18"/>
          <w:szCs w:val="18"/>
          <w:color w:val="auto"/>
        </w:rPr>
        <w:t>payments from Alexion, $63.0 million in upfront and milestone payments from Roche, $52.0 million in upfront and milestone payments from CStone, a $25.0 million in upfront payment from Clementia and $10.0 million in gross proceeds from a debt financing.</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2020, we had cash, cash equivalents and investments of $750.4 million.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left="60" w:right="359" w:firstLine="648"/>
        <w:spacing w:after="0" w:line="261" w:lineRule="auto"/>
        <w:rPr>
          <w:sz w:val="20"/>
          <w:szCs w:val="20"/>
          <w:color w:val="auto"/>
        </w:rPr>
      </w:pPr>
      <w:r>
        <w:rPr>
          <w:rFonts w:ascii="Arial" w:cs="Arial" w:eastAsia="Arial" w:hAnsi="Arial"/>
          <w:sz w:val="18"/>
          <w:szCs w:val="18"/>
          <w:color w:val="auto"/>
        </w:rPr>
        <w:t>The following table provides information regarding our cash flows for the three months ended March 31, 2020 and 2019:</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900" w:type="dxa"/>
            <w:vAlign w:val="bottom"/>
            <w:tcBorders>
              <w:bottom w:val="single" w:sz="8" w:color="CCEEFF"/>
            </w:tcBorders>
            <w:vMerge w:val="continue"/>
          </w:tcPr>
          <w:p>
            <w:pPr>
              <w:spacing w:after="0"/>
              <w:rPr>
                <w:sz w:val="13"/>
                <w:szCs w:val="13"/>
                <w:color w:val="auto"/>
              </w:rPr>
            </w:pPr>
          </w:p>
        </w:tc>
        <w:tc>
          <w:tcPr>
            <w:tcW w:w="19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9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(109,328)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(80,188)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59,860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89,314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9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310,150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9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260,682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For the three months ended March 31, 2020,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2019, the $29.1 million increase in net cash used in operating was primarily due to the decreased net loss during this period of $23.5 million, which was driven by increased headcount and headcount-related expenses and spending on pre-clinical, clinical, manufacturing and commercial activities.</w:t>
      </w:r>
    </w:p>
    <w:p>
      <w:pPr>
        <w:spacing w:after="0" w:line="134" w:lineRule="exact"/>
        <w:rPr>
          <w:sz w:val="20"/>
          <w:szCs w:val="20"/>
          <w:color w:val="auto"/>
        </w:rPr>
      </w:pPr>
    </w:p>
    <w:p>
      <w:pPr>
        <w:ind w:left="60" w:right="299" w:firstLine="648"/>
        <w:spacing w:after="0" w:line="248" w:lineRule="auto"/>
        <w:rPr>
          <w:sz w:val="20"/>
          <w:szCs w:val="20"/>
          <w:color w:val="auto"/>
        </w:rPr>
      </w:pPr>
      <w:r>
        <w:rPr>
          <w:rFonts w:ascii="Arial" w:cs="Arial" w:eastAsia="Arial" w:hAnsi="Arial"/>
          <w:sz w:val="18"/>
          <w:szCs w:val="18"/>
          <w:i w:val="1"/>
          <w:iCs w:val="1"/>
          <w:color w:val="auto"/>
        </w:rPr>
        <w:t xml:space="preserve">Net Cash Provided by Investing Activities. </w:t>
      </w:r>
      <w:r>
        <w:rPr>
          <w:rFonts w:ascii="Arial" w:cs="Arial" w:eastAsia="Arial" w:hAnsi="Arial"/>
          <w:sz w:val="18"/>
          <w:szCs w:val="18"/>
          <w:color w:val="auto"/>
        </w:rPr>
        <w:t>For the three months ended March 31,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2019, the $29.5 million decrease in net cash provided by investing activities was primarily due to a decrease in net purchases of available-for-sale investments.</w:t>
      </w:r>
    </w:p>
    <w:p>
      <w:pPr>
        <w:spacing w:after="0" w:line="182"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three months ended March 31, 2020,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2019, the $308.1 million increase in net cash provided by financing activities was primarily due to $308.4 million estimated net proceeds received from our January 2020 follow-on public offering, net of underwriting discounts and commissions and offering expenses payable by us.</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Funding Requirements</w:t>
      </w:r>
    </w:p>
    <w:p>
      <w:pPr>
        <w:spacing w:after="0" w:line="252"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AYVAKIT for additional indications or in additional geographies. In addition, we expect to incur additional significant commercialization expenses for AYVAKIT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226"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6"/>
          <w:szCs w:val="16"/>
          <w:color w:val="auto"/>
        </w:rPr>
        <w:t>As of March 31, 2020, we had cash, cash equivalents and investments of $750.4 million. Based on our current plans, we believe that our existing cash, cash equivalents and investments, together with anticipated product revenues but excluding any potential option fees, milestone payments or other payments under our collaboration or license agreements, will be sufficient to enable us to fund our operating expenses and capital expenditure requirements into the second half of</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 Our future capital requirements will depend on many factors, including:</w:t>
      </w:r>
    </w:p>
    <w:p>
      <w:pPr>
        <w:spacing w:after="0" w:line="196" w:lineRule="exact"/>
        <w:rPr>
          <w:sz w:val="20"/>
          <w:szCs w:val="20"/>
          <w:color w:val="auto"/>
        </w:rPr>
      </w:pPr>
    </w:p>
    <w:p>
      <w:pPr>
        <w:ind w:left="1380" w:right="159" w:hanging="331"/>
        <w:spacing w:after="0" w:line="261"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79" w:hanging="331"/>
        <w:spacing w:after="0" w:line="294"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80" w:right="33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avapritinib for additional indications or in additional geographies;</w:t>
      </w:r>
    </w:p>
    <w:p>
      <w:pPr>
        <w:spacing w:after="0" w:line="170" w:lineRule="exact"/>
        <w:rPr>
          <w:rFonts w:ascii="Arial" w:cs="Arial" w:eastAsia="Arial" w:hAnsi="Arial"/>
          <w:sz w:val="18"/>
          <w:szCs w:val="18"/>
          <w:color w:val="auto"/>
        </w:rPr>
      </w:pPr>
    </w:p>
    <w:p>
      <w:pPr>
        <w:jc w:val="both"/>
        <w:ind w:left="1380" w:right="3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80" w:right="239" w:hanging="331"/>
        <w:spacing w:after="0" w:line="248"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80" w:right="459" w:hanging="331"/>
        <w:spacing w:after="0" w:line="294"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agreements with Roche and CStone or license agreement with Clementia, or any collaboration, partnership or license agreements that we may enter into in the future;</w:t>
      </w:r>
    </w:p>
    <w:p>
      <w:pPr>
        <w:spacing w:after="0" w:line="147" w:lineRule="exact"/>
        <w:rPr>
          <w:rFonts w:ascii="Arial" w:cs="Arial" w:eastAsia="Arial" w:hAnsi="Arial"/>
          <w:sz w:val="16"/>
          <w:szCs w:val="16"/>
          <w:color w:val="auto"/>
        </w:rPr>
      </w:pPr>
    </w:p>
    <w:p>
      <w:pPr>
        <w:ind w:left="1380" w:right="759" w:hanging="331"/>
        <w:spacing w:after="0" w:line="291"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80" w:right="25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80" w:right="179" w:hanging="331"/>
        <w:spacing w:after="0" w:line="261"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our commercialization efforts and market acceptance for AYVAKIT or any of our current or future drug candidates for which we receive marketing approval;</w:t>
      </w:r>
    </w:p>
    <w:p>
      <w:pPr>
        <w:spacing w:after="0" w:line="170"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continuing to expand our operations outside the U.S.</w:t>
      </w:r>
    </w:p>
    <w:p>
      <w:pPr>
        <w:spacing w:after="0" w:line="25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for additional indications or in additional geographies, and achieve substantial revenues for any of our drugs that receive marketing approval, including for AYVAKIT in the U.S. In addition, AYVAKIT and any current or future drug candidates that receive marketing approvals, including AYVAKIT for additional indications or in additional geographies, may not achieve commercial success. Accordingly, we will need to continue to rely on additional financing to achieve our business objectives. Adequate additional financing may not be available to us on acceptable terms, or at all.</w:t>
      </w:r>
    </w:p>
    <w:p>
      <w:pPr>
        <w:spacing w:after="0" w:line="224"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324" w:lineRule="auto"/>
        <w:rPr>
          <w:sz w:val="20"/>
          <w:szCs w:val="20"/>
          <w:color w:val="auto"/>
        </w:rPr>
      </w:pPr>
      <w:r>
        <w:rPr>
          <w:rFonts w:ascii="Arial" w:cs="Arial" w:eastAsia="Arial" w:hAnsi="Arial"/>
          <w:sz w:val="16"/>
          <w:szCs w:val="16"/>
          <w:color w:val="auto"/>
        </w:rPr>
        <w:t>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5"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Contractual Obligations</w:t>
      </w:r>
    </w:p>
    <w:p>
      <w:pPr>
        <w:spacing w:after="0" w:line="243" w:lineRule="exact"/>
        <w:rPr>
          <w:sz w:val="20"/>
          <w:szCs w:val="20"/>
          <w:color w:val="auto"/>
        </w:rPr>
      </w:pPr>
    </w:p>
    <w:p>
      <w:pPr>
        <w:ind w:left="60" w:right="619" w:firstLine="648"/>
        <w:spacing w:after="0" w:line="261"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and unconditional purchase obligations.</w:t>
      </w:r>
    </w:p>
    <w:p>
      <w:pPr>
        <w:spacing w:after="0" w:line="21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 xml:space="preserve">As of March 31, 2020, except for minimum purchase obligations associated with certain commercial manufacturing agreements of </w:t>
      </w:r>
      <w:r>
        <w:rPr>
          <w:rFonts w:ascii="Arial" w:cs="Arial" w:eastAsia="Arial" w:hAnsi="Arial"/>
          <w:sz w:val="16"/>
          <w:szCs w:val="16"/>
          <w:color w:val="212529"/>
        </w:rPr>
        <w:t>approximately $16.2 million,</w:t>
      </w:r>
      <w:r>
        <w:rPr>
          <w:rFonts w:ascii="Arial" w:cs="Arial" w:eastAsia="Arial" w:hAnsi="Arial"/>
          <w:sz w:val="16"/>
          <w:szCs w:val="16"/>
          <w:color w:val="auto"/>
        </w:rPr>
        <w:t xml:space="preserve"> there have been no other material changes to our contractual obligations and commitments from those described under “Management’s Discussion and Analysis of Financial Condition and Results of Operations” included in the Annual Report on Form 10-K for the year ended December 31, 2019.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jc w:val="both"/>
        <w:ind w:left="60" w:right="179" w:firstLine="648"/>
        <w:spacing w:after="0" w:line="248" w:lineRule="auto"/>
        <w:rPr>
          <w:sz w:val="20"/>
          <w:szCs w:val="20"/>
          <w:color w:val="auto"/>
        </w:rPr>
      </w:pPr>
      <w:r>
        <w:rPr>
          <w:rFonts w:ascii="Arial" w:cs="Arial" w:eastAsia="Arial" w:hAnsi="Arial"/>
          <w:sz w:val="18"/>
          <w:szCs w:val="18"/>
          <w:color w:val="auto"/>
        </w:rPr>
        <w:t>As of March 31, 2020, and December 31, 2019, we had cash, cash equivalents and investments of $750.4 million and $548.0 million, respectively, consisting primarily of money market funds and investments in U.S. government agency and treasury obligations.</w:t>
      </w:r>
    </w:p>
    <w:p>
      <w:pPr>
        <w:spacing w:after="0" w:line="141"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including recent changes resulting from the impact of the COVID-19 pandemic.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2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We are also exposed to market risk related to changes in foreign currency exchange rates, including recent changes resulting from the impact of the COVID-19 pandemic.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March 31, 2020 and December 31, 2019, we had minimal or no liabilities denominated in foreign currencies.</w:t>
      </w:r>
    </w:p>
    <w:p>
      <w:pPr>
        <w:spacing w:after="0" w:line="132" w:lineRule="exact"/>
        <w:rPr>
          <w:sz w:val="20"/>
          <w:szCs w:val="20"/>
          <w:color w:val="auto"/>
        </w:rPr>
      </w:pPr>
    </w:p>
    <w:p>
      <w:pPr>
        <w:jc w:val="both"/>
        <w:ind w:left="60" w:right="43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had a material effect on our business, financial condition or results of operations during the three months ended March 31, 2020 and December 31, 2019.</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2" w:lineRule="exact"/>
        <w:rPr>
          <w:sz w:val="20"/>
          <w:szCs w:val="20"/>
          <w:color w:val="auto"/>
        </w:rPr>
      </w:pPr>
    </w:p>
    <w:p>
      <w:pPr>
        <w:ind w:left="60" w:right="239" w:firstLine="648"/>
        <w:spacing w:after="0" w:line="294"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91"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2020. Based upon such evaluation, our Chief Executive Officer and Chief Financial Officer have concluded that, as of March 31, 2020, our disclosure controls and procedures were effective at the reasonable assurance level.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ind w:left="60" w:right="539" w:firstLine="648"/>
        <w:spacing w:after="0" w:line="248"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56" w:lineRule="exact"/>
        <w:rPr>
          <w:sz w:val="20"/>
          <w:szCs w:val="20"/>
          <w:color w:val="auto"/>
        </w:rPr>
      </w:pPr>
    </w:p>
    <w:p>
      <w:pPr>
        <w:ind w:left="60" w:right="459"/>
        <w:spacing w:after="0" w:line="324" w:lineRule="auto"/>
        <w:rPr>
          <w:sz w:val="20"/>
          <w:szCs w:val="20"/>
          <w:color w:val="auto"/>
        </w:rPr>
      </w:pPr>
      <w:r>
        <w:rPr>
          <w:rFonts w:ascii="Arial" w:cs="Arial" w:eastAsia="Arial" w:hAnsi="Arial"/>
          <w:sz w:val="16"/>
          <w:szCs w:val="16"/>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65"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We are a precision therapy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undertaking pre-clinical studies and conducting clinical trials for our drug candidates and establishing a commercial infrastructure. In January 2020, the U.S. Food and Drug Administration, or FDA, granted approval of avapritinib under the brand name AYVAKIT for the treatment of adults with unresectable or metastatic gastrointestinal stromal tumors, or GIST, harboring a PDGFRA exon 18 mutation, including PDGFRA D842V mutations. With the exception of AYVAKIT in the U.S., all of our drug candidates are still in preclinical and clinical development. We are in the early stages of transitioning from a company with a research focus to a company capable of supporting commercial activities and we have not yet demonstrated our ability to conduct large-scale sales and marketing activities necessary for successful commercialization. We may not be successful in such a transition.</w:t>
      </w:r>
    </w:p>
    <w:p>
      <w:pPr>
        <w:spacing w:after="0" w:line="210"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Since inception, we have focused substantially all of our efforts and financial resources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the active pharmaceutical ingredient, or API, drug substance and drug product material for use in pre-clinical studies and clinical trials, conducting pre-clinical studies and commencing clinical development, pre-commercial activities for AYVAKIT and pralsetinib and the commercial launch of AYVAKIT. To date, we have financed our operations primarily through public offerings of our common stock, private placements of our convertible preferred stock, collaborations, a license agreement, a debt financing and limited product revenue. Through March 31, 2020, we have received an aggregate of $1.8 billion from such transactions, including $1.5 billion in aggregate gross proceeds from the sale of common stock in our May 2015 initial public offering and follow-on public offerings, $115.1 million in gross proceeds from the issuance of convertible preferred stock, $18.8 million in upfront and milestone payments under our former collaboration with Alexion Pharma Holding, or Alexion, $63.0 million in upfront and milestone payments under our collaboration with F. Hoffmann-La Roche Ltd and Hoffmann-La Roche Inc., which we refer to collectively as Roche, $52.0 million in upfront and milestone payments under our collaboration with CStone Pharmaceuticals, or CStone, a $25.0 million in upfront payment under our license agreement with Clementia Pharmaceuticals, Inc., or Clementia, and $10.0 million in gross proceeds from a debt financing.</w:t>
      </w:r>
    </w:p>
    <w:p>
      <w:pPr>
        <w:spacing w:after="0" w:line="185"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Since inception, we have incurred significant operating losses. Our net losses were $111.0 million for the three months ended March 31, 2020 and $347.7 million, $236.6 million, and $148.1 million for the years ended December 31, 2019, 2018 and 2017, respectively. As of March 31, 2020, we had an accumulated deficit of $1,056.2 million. Substantially all of our operating losses have resulted from costs incurred in connection with our research and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0" w:lineRule="auto"/>
        <w:rPr>
          <w:sz w:val="20"/>
          <w:szCs w:val="20"/>
          <w:color w:val="auto"/>
        </w:rPr>
      </w:pPr>
      <w:r>
        <w:rPr>
          <w:rFonts w:ascii="Arial" w:cs="Arial" w:eastAsia="Arial" w:hAnsi="Arial"/>
          <w:sz w:val="16"/>
          <w:szCs w:val="16"/>
          <w:color w:val="auto"/>
        </w:rPr>
        <w:t>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outsourced-manufacturing expenses in connection with the commercialization of any of our approved drugs.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20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To date, we have not generated substantial revenue from sales of AYVAKIT. We also have not obtained marketing approval for AYVAKIT outside of the U.S. or for any other indications, and we have not obtained marketing approval for any of our other drug candidates, which are in preclinical or clinical development stages. We do not expect to generate significant revenue from our drug candidates unless and until we obtain marketing approval of, and begin to sell, such drug candidates. Our ability to generate revenue depends on a number of factors, including, but not limited to, our ability to:</w:t>
      </w:r>
    </w:p>
    <w:p>
      <w:pPr>
        <w:spacing w:after="0" w:line="200" w:lineRule="exact"/>
        <w:rPr>
          <w:sz w:val="20"/>
          <w:szCs w:val="20"/>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1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70" w:lineRule="exact"/>
        <w:rPr>
          <w:rFonts w:ascii="Arial" w:cs="Arial" w:eastAsia="Arial" w:hAnsi="Arial"/>
          <w:sz w:val="18"/>
          <w:szCs w:val="18"/>
          <w:color w:val="auto"/>
        </w:rPr>
      </w:pPr>
    </w:p>
    <w:p>
      <w:pPr>
        <w:ind w:left="1380" w:right="439" w:hanging="331"/>
        <w:spacing w:after="0" w:line="291"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 to maintain and expand commercial manufacturing capabilities or make arrangements with third-party manufacturers for clinical supply and commercial manufacturing;</w:t>
      </w:r>
    </w:p>
    <w:p>
      <w:pPr>
        <w:spacing w:after="0" w:line="146" w:lineRule="exact"/>
        <w:rPr>
          <w:rFonts w:ascii="Arial" w:cs="Arial" w:eastAsia="Arial" w:hAnsi="Arial"/>
          <w:sz w:val="17"/>
          <w:szCs w:val="17"/>
          <w:color w:val="auto"/>
        </w:rPr>
      </w:pPr>
    </w:p>
    <w:p>
      <w:pPr>
        <w:ind w:left="1380" w:right="79" w:hanging="331"/>
        <w:spacing w:after="0" w:line="291"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 and maintain a sales, marketing and distribution infrastructure to commercialize AYVAKIT and any current or future drug candidates for which we obtain marketing approval; and</w:t>
      </w:r>
    </w:p>
    <w:p>
      <w:pPr>
        <w:spacing w:after="0" w:line="146" w:lineRule="exact"/>
        <w:rPr>
          <w:rFonts w:ascii="Arial" w:cs="Arial" w:eastAsia="Arial" w:hAnsi="Arial"/>
          <w:sz w:val="17"/>
          <w:szCs w:val="17"/>
          <w:color w:val="auto"/>
        </w:rPr>
      </w:pPr>
    </w:p>
    <w:p>
      <w:pPr>
        <w:ind w:left="1380" w:right="9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achieve market acceptance in the medical community and with third-party payors for AYVAKIT and any current or future drug candidates for which we receive marketing approval.</w:t>
      </w:r>
    </w:p>
    <w:p>
      <w:pPr>
        <w:spacing w:after="0" w:line="171"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7"/>
          <w:szCs w:val="17"/>
          <w:color w:val="auto"/>
        </w:rPr>
        <w:t>We expect to incur significant sales and marketing costs as we commercialize AYVAKIT for PDGFRA exon 18 mutant GIST in the U.S. and, if approved, commercialize avapritinib for PDGFRA mutant GIST outside the U.S., avapritinib for systemic mastocytosis globally and pralsetinib globally.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207" w:lineRule="exact"/>
        <w:rPr>
          <w:sz w:val="20"/>
          <w:szCs w:val="20"/>
          <w:color w:val="auto"/>
        </w:rPr>
      </w:pPr>
    </w:p>
    <w:p>
      <w:pPr>
        <w:ind w:left="60" w:right="359"/>
        <w:spacing w:after="0" w:line="324" w:lineRule="auto"/>
        <w:rPr>
          <w:sz w:val="20"/>
          <w:szCs w:val="20"/>
          <w:color w:val="auto"/>
        </w:rPr>
      </w:pPr>
      <w:r>
        <w:rPr>
          <w:rFonts w:ascii="Arial" w:cs="Arial" w:eastAsia="Arial" w:hAnsi="Arial"/>
          <w:sz w:val="16"/>
          <w:szCs w:val="16"/>
          <w:b w:val="1"/>
          <w:bCs w:val="1"/>
          <w:i w:val="1"/>
          <w:iCs w:val="1"/>
          <w:color w:val="auto"/>
        </w:rPr>
        <w:t>We may need to raise additional funding. If we are unable to raise capital when needed, we would be forced to delay, reduce or eliminate some of our drug development programs or commercialization efforts.</w:t>
      </w:r>
    </w:p>
    <w:p>
      <w:pPr>
        <w:spacing w:after="0" w:line="165"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development of pharmaceuticals is capital-intensive. We are currently advancing avapritinib, pralsetinib and fisogatinib through clinical development. In addition, the FDA accepted our investigational new drug, or IND, application for BLU-263 for indolent SM and recently notified us that we are permitted to proceed with clinical development under the IND.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In addition, we expect to incur additional significant commercialization expenses for AYVAKIT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43" w:lineRule="auto"/>
        <w:rPr>
          <w:sz w:val="20"/>
          <w:szCs w:val="20"/>
          <w:color w:val="auto"/>
        </w:rPr>
      </w:pPr>
      <w:r>
        <w:rPr>
          <w:rFonts w:ascii="Arial" w:cs="Arial" w:eastAsia="Arial" w:hAnsi="Arial"/>
          <w:sz w:val="18"/>
          <w:szCs w:val="18"/>
          <w:color w:val="auto"/>
        </w:rPr>
        <w:t>or drug candidates or otherwise expand more rapidly than we presently anticipate. Accordingly, we may need to obtain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228"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As of March 31, 2020, we had cash, cash equivalents and investments of $750.4 million. Based on our current operating plans, we believe that our existing cash, cash equivalents and investments, together with anticipated product revenues but excluding any potential option fees, milestone payments or other payments under our collaboration or license agreements, will be sufficient to enable us to fund our operating expenses and capital expenditure requirements into the second half of 2022. Our future capital requirements will depend on and could increase significantly as a result of many factors, including:</w:t>
      </w:r>
    </w:p>
    <w:p>
      <w:pPr>
        <w:spacing w:after="0" w:line="230" w:lineRule="exact"/>
        <w:rPr>
          <w:sz w:val="20"/>
          <w:szCs w:val="20"/>
          <w:color w:val="auto"/>
        </w:rPr>
      </w:pPr>
    </w:p>
    <w:p>
      <w:pPr>
        <w:ind w:left="1380" w:right="15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80" w:right="33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avapritinib for additional indications or in additional geographies;</w:t>
      </w:r>
    </w:p>
    <w:p>
      <w:pPr>
        <w:spacing w:after="0" w:line="170" w:lineRule="exact"/>
        <w:rPr>
          <w:rFonts w:ascii="Arial" w:cs="Arial" w:eastAsia="Arial" w:hAnsi="Arial"/>
          <w:sz w:val="18"/>
          <w:szCs w:val="18"/>
          <w:color w:val="auto"/>
        </w:rPr>
      </w:pPr>
    </w:p>
    <w:p>
      <w:pPr>
        <w:jc w:val="both"/>
        <w:ind w:left="1380" w:right="33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80" w:right="23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80" w:right="459" w:hanging="331"/>
        <w:spacing w:after="0" w:line="29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our collaboration agreements with Roche and CStone or license agreement with Clementia, or any collaboration, partnership or license agreements that we may enter into in the future;</w:t>
      </w:r>
    </w:p>
    <w:p>
      <w:pPr>
        <w:spacing w:after="0" w:line="147" w:lineRule="exact"/>
        <w:rPr>
          <w:rFonts w:ascii="Arial" w:cs="Arial" w:eastAsia="Arial" w:hAnsi="Arial"/>
          <w:sz w:val="16"/>
          <w:szCs w:val="16"/>
          <w:color w:val="auto"/>
        </w:rPr>
      </w:pPr>
    </w:p>
    <w:p>
      <w:pPr>
        <w:ind w:left="1380" w:right="759" w:hanging="331"/>
        <w:spacing w:after="0" w:line="291" w:lineRule="auto"/>
        <w:tabs>
          <w:tab w:leader="none" w:pos="1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80" w:right="25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80" w:right="17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commercialization efforts and market acceptance for AYVAKIT or any of our current or future drug candidates for which we receive marketing approval;</w:t>
      </w:r>
    </w:p>
    <w:p>
      <w:pPr>
        <w:spacing w:after="0" w:line="170"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continuing to expand our operations outside the U.S.</w:t>
      </w:r>
    </w:p>
    <w:p>
      <w:pPr>
        <w:spacing w:after="0" w:line="239" w:lineRule="exact"/>
        <w:rPr>
          <w:sz w:val="20"/>
          <w:szCs w:val="20"/>
          <w:color w:val="auto"/>
        </w:rPr>
      </w:pPr>
    </w:p>
    <w:p>
      <w:pPr>
        <w:jc w:val="both"/>
        <w:ind w:left="60" w:right="279" w:firstLine="648"/>
        <w:spacing w:after="0" w:line="322" w:lineRule="auto"/>
        <w:rPr>
          <w:sz w:val="20"/>
          <w:szCs w:val="20"/>
          <w:color w:val="auto"/>
        </w:rPr>
      </w:pPr>
      <w:r>
        <w:rPr>
          <w:rFonts w:ascii="Arial" w:cs="Arial" w:eastAsia="Arial" w:hAnsi="Arial"/>
          <w:sz w:val="15"/>
          <w:szCs w:val="15"/>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additional marketing approvals, including for avapritinib for additional indications or in</w:t>
      </w:r>
    </w:p>
    <w:p>
      <w:pPr>
        <w:sectPr>
          <w:pgSz w:w="11900" w:h="16838" w:orient="portrait"/>
          <w:cols w:equalWidth="0" w:num="1">
            <w:col w:w="9019"/>
          </w:cols>
          <w:pgMar w:left="1440" w:top="517" w:right="1440" w:bottom="1440" w:gutter="0" w:footer="0" w:header="0"/>
        </w:sect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additional geographies, and achieve sales for any of our drug candidates that receive marketing approval. In addition, our approved drugs and drug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22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any of our approved drugs or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215" w:lineRule="exact"/>
        <w:rPr>
          <w:sz w:val="20"/>
          <w:szCs w:val="20"/>
          <w:color w:val="auto"/>
        </w:rPr>
      </w:pPr>
    </w:p>
    <w:p>
      <w:pPr>
        <w:ind w:left="60" w:right="219" w:firstLine="648"/>
        <w:spacing w:after="0" w:line="243"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215"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211"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1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202"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b w:val="1"/>
          <w:bCs w:val="1"/>
          <w:i w:val="1"/>
          <w:iCs w:val="1"/>
          <w:color w:val="auto"/>
        </w:rPr>
        <w:t>Our business, results of operations and future growth prospects could be materially and adversely affected by the COVID-19 pandemic.</w:t>
      </w:r>
    </w:p>
    <w:p>
      <w:pPr>
        <w:spacing w:after="0" w:line="211"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Due to the evolving and uncertain global impacts of the COVID-19 pandemic, we cannot precisely determine or quantify the impact this pandemic will have on our business operations for the remainder of our fiscal year ending December 31, 2020 or beyond. The extent to which COVID-19 may impact our business, results of operations and future growth prospects will depend on a variety of factors and future developments, which are highly uncertain and cannot be predicted with confidence, including the ultimate geographic spread of the disease, the duration, scope and severity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79"/>
        <w:spacing w:after="0" w:line="263" w:lineRule="auto"/>
        <w:rPr>
          <w:sz w:val="20"/>
          <w:szCs w:val="20"/>
          <w:color w:val="auto"/>
        </w:rPr>
      </w:pPr>
      <w:r>
        <w:rPr>
          <w:rFonts w:ascii="Arial" w:cs="Arial" w:eastAsia="Arial" w:hAnsi="Arial"/>
          <w:sz w:val="18"/>
          <w:szCs w:val="18"/>
          <w:color w:val="auto"/>
        </w:rPr>
        <w:t>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224"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For example, public health actions being undertaken globally in response to the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 ongoing and planned clinical trials, our employees and business operations, personnel at our third-party suppliers and other vendors in the U.S. and other countries, the availability, cost or supply of materials, which may cause delays or disruptions to development plans for our drug candidates or clinical or commercial supply chains for our current or future approved drugs and drug candidates, and sales and marketing activities related to AYVAKIT and any drug candidates for which we may receive marketing approval in the U.S. or other geographies in the future.</w:t>
      </w:r>
    </w:p>
    <w:p>
      <w:pPr>
        <w:spacing w:after="0" w:line="217"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To the extent the COVID-19 pandemic adversely affects our business, results of operations and future growth prospects, it may also have the effect of heightening many of the other risks described in this “Risk Factors” section.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56" w:lineRule="exact"/>
        <w:rPr>
          <w:sz w:val="20"/>
          <w:szCs w:val="20"/>
          <w:color w:val="auto"/>
        </w:rPr>
      </w:pPr>
    </w:p>
    <w:p>
      <w:pPr>
        <w:ind w:left="60" w:right="599"/>
        <w:spacing w:after="0" w:line="322" w:lineRule="auto"/>
        <w:rPr>
          <w:sz w:val="20"/>
          <w:szCs w:val="20"/>
          <w:color w:val="auto"/>
        </w:rPr>
      </w:pPr>
      <w:r>
        <w:rPr>
          <w:rFonts w:ascii="Arial" w:cs="Arial" w:eastAsia="Arial" w:hAnsi="Arial"/>
          <w:sz w:val="15"/>
          <w:szCs w:val="15"/>
          <w:b w:val="1"/>
          <w:bCs w:val="1"/>
          <w:i w:val="1"/>
          <w:iCs w:val="1"/>
          <w:color w:val="auto"/>
        </w:rPr>
        <w:t>If we are unable to advance our drug candidates to clinical development, obtain regulatory approval for our drug candidates, including for avapritinib for additional indications or in additional geographies, and ultimately commercialize them, or experience significant delays in doing so, our business will be materially harmed.</w:t>
      </w:r>
    </w:p>
    <w:p>
      <w:pPr>
        <w:spacing w:after="0" w:line="170"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6"/>
          <w:szCs w:val="16"/>
          <w:color w:val="auto"/>
        </w:rPr>
        <w:t>We have only three drug candidates currently in clinical development: avapritinib, pralsetinib and fisogatinib. In addition, the FDA accepted our IND application for BLU -263 for indolent SM and recently notified us that we are permitted to proceed with clinical development under the IND. We currently plan to initiate a Phase 1 trial in healthy volunteers in June 2020. All of our other drug candidates are currently in pre-clinical or earlier stages of development. We have invested significant efforts and financial resources in the identification and pre-clinical development of kinase inhibitors, including the development of our drugs and drug candidates. Our ability to generate drug revenues, if ever, will depend heavily on the successful development and commercialization of our drugs and drug candidates. Each of our drug candidates, including avapritinib for additional indications or in additional geographies,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Further clinical development, manufacturing and regulatory activities, and substantial investment will be required before we may obtain marketing approval for avapritinib for additional indications or in additional geographies, if at all. In addition, for some of our drug candidates, in order to select patients most likely to respond to treatment and rapidly confirm mechanistic and clinical proof-of-concept, or to identify appropriate patients for any drug candidates for which we obtain approval, we may be required or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PDGFRA D842V mutation, fisogatinib in order to identify HCC patients with FGFR4 pathway activation and pralsetinib in order to identify NSCLC patients with RET fusions. Companion diagnostic tests are subject to regulation as medical devices and must themselves be cleared or approved for marketing by the FDA or certain other foreign regulatory agencies before we may commercialize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our drug candidates. The success of our approved drugs and drug candidates will depend on several factors, including the following:</w:t>
      </w:r>
    </w:p>
    <w:p>
      <w:pPr>
        <w:ind w:left="1380" w:right="479" w:hanging="331"/>
        <w:spacing w:after="0" w:line="243"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enrollment in, and initiation and completion of, clinical trials, including our ongoing and planned clinical trials for avapritinib, pralsetinib, fisogatinib and BLU-263;</w:t>
      </w:r>
    </w:p>
    <w:p>
      <w:pPr>
        <w:spacing w:after="0" w:line="185"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for our other drug candidates;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INDs to commence future clinical trials for our other drug candidates;</w:t>
      </w:r>
    </w:p>
    <w:p>
      <w:pPr>
        <w:spacing w:after="0" w:line="211"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development of any companion diagnostic tests for use with our current or future drug candidates;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211" w:lineRule="exact"/>
        <w:rPr>
          <w:rFonts w:ascii="Arial" w:cs="Arial" w:eastAsia="Arial" w:hAnsi="Arial"/>
          <w:sz w:val="18"/>
          <w:szCs w:val="18"/>
          <w:color w:val="auto"/>
        </w:rPr>
      </w:pPr>
    </w:p>
    <w:p>
      <w:pPr>
        <w:ind w:left="1380" w:right="199" w:hanging="331"/>
        <w:spacing w:after="0" w:line="243"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87" w:lineRule="exact"/>
        <w:rPr>
          <w:rFonts w:ascii="Arial" w:cs="Arial" w:eastAsia="Arial" w:hAnsi="Arial"/>
          <w:sz w:val="18"/>
          <w:szCs w:val="18"/>
          <w:color w:val="auto"/>
        </w:rPr>
      </w:pPr>
    </w:p>
    <w:p>
      <w:pPr>
        <w:ind w:left="1380" w:right="219" w:hanging="331"/>
        <w:spacing w:after="0" w:line="26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drugs and drug candidates;</w:t>
      </w:r>
    </w:p>
    <w:p>
      <w:pPr>
        <w:spacing w:after="0" w:line="170"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commercialization of our approved drugs and drug candidates, if and when approved, whether alone or in collaboration with others;</w:t>
      </w:r>
    </w:p>
    <w:p>
      <w:pPr>
        <w:spacing w:after="0" w:line="170"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approved drugs and drug candidates, if and when approved, by patients, the medical community and third-party payors;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80" w:right="239" w:hanging="331"/>
        <w:spacing w:after="0" w:line="26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approved drugs and drug candidates following approval.</w:t>
      </w:r>
    </w:p>
    <w:p>
      <w:pPr>
        <w:spacing w:after="0" w:line="211" w:lineRule="exact"/>
        <w:rPr>
          <w:sz w:val="20"/>
          <w:szCs w:val="20"/>
          <w:color w:val="auto"/>
        </w:rPr>
      </w:pPr>
    </w:p>
    <w:p>
      <w:pPr>
        <w:ind w:left="60" w:right="159" w:firstLine="648"/>
        <w:spacing w:after="0" w:line="294"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know whether we will be able to develop any other drugs of commercial value.</w:t>
      </w:r>
    </w:p>
    <w:p>
      <w:pPr>
        <w:spacing w:after="0" w:line="239" w:lineRule="exact"/>
        <w:rPr>
          <w:sz w:val="20"/>
          <w:szCs w:val="20"/>
          <w:color w:val="auto"/>
        </w:rPr>
      </w:pPr>
    </w:p>
    <w:p>
      <w:pPr>
        <w:ind w:left="60" w:right="179" w:firstLine="648"/>
        <w:spacing w:after="0" w:line="276" w:lineRule="auto"/>
        <w:rPr>
          <w:sz w:val="20"/>
          <w:szCs w:val="20"/>
          <w:color w:val="auto"/>
        </w:rPr>
      </w:pPr>
      <w:r>
        <w:rPr>
          <w:rFonts w:ascii="Arial" w:cs="Arial" w:eastAsia="Arial" w:hAnsi="Arial"/>
          <w:sz w:val="16"/>
          <w:szCs w:val="16"/>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248"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222"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Avapritinib is in clinical development for PDGFRA exon 18 mutant GIST outside the U.S. and for systemic mastocytosis globally, and all of our other drug candidates are in pre-clinical or clinical development. The risk of failure for preclinical and clinical development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For example, we recently announced top-line data from our Phase 3 clinical trial comparing avapritinib to regorafenib in third-line GIST, which we refer to as our VOYAGER trial, which showed the VOYAGER trial did not meet the primary endpoint of an improvement in progression-free survival, or PFS, for avapritinib versus regorafenib. The outcome of pre-clinical development testing and early clinical trials may not be predictive of the success of later clinical trials, interim results of a clinical trial do not necessarily predict final results, and results for one indication may not be predictive of the success in additional indications.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clinical trials and future clinical trials may not be successful.</w:t>
      </w:r>
    </w:p>
    <w:p>
      <w:pPr>
        <w:spacing w:after="0" w:line="209"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our drug candidates, including avapritinib and pralsetinib. We do not know whether any of our clinical trials for additional indications for avapritinib or for our drug candidates will be completed on schedule, if at all, or will provide clinical data sufficient to support regulatory submissions for or approval of such additional indications or drug candidates.</w:t>
      </w:r>
    </w:p>
    <w:p>
      <w:pPr>
        <w:spacing w:after="0" w:line="216" w:lineRule="exact"/>
        <w:rPr>
          <w:sz w:val="20"/>
          <w:szCs w:val="20"/>
          <w:color w:val="auto"/>
        </w:rPr>
      </w:pPr>
    </w:p>
    <w:p>
      <w:pPr>
        <w:ind w:left="60" w:right="199" w:firstLine="648"/>
        <w:spacing w:after="0" w:line="243"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88" w:lineRule="exact"/>
        <w:rPr>
          <w:sz w:val="20"/>
          <w:szCs w:val="20"/>
          <w:color w:val="auto"/>
        </w:rPr>
      </w:pPr>
    </w:p>
    <w:p>
      <w:pPr>
        <w:ind w:left="1380" w:right="499" w:hanging="331"/>
        <w:spacing w:after="0" w:line="291" w:lineRule="auto"/>
        <w:tabs>
          <w:tab w:leader="none" w:pos="1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80" w:right="119" w:hanging="331"/>
        <w:spacing w:after="0" w:line="294" w:lineRule="auto"/>
        <w:tabs>
          <w:tab w:leader="none" w:pos="1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80" w:right="99" w:hanging="331"/>
        <w:spacing w:after="0" w:line="248"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54" w:lineRule="exact"/>
        <w:rPr>
          <w:rFonts w:ascii="Arial" w:cs="Arial" w:eastAsia="Arial" w:hAnsi="Arial"/>
          <w:sz w:val="18"/>
          <w:szCs w:val="18"/>
          <w:color w:val="auto"/>
        </w:rPr>
      </w:pPr>
    </w:p>
    <w:p>
      <w:pPr>
        <w:ind w:left="1380" w:right="479" w:hanging="331"/>
        <w:spacing w:after="0" w:line="294" w:lineRule="auto"/>
        <w:tabs>
          <w:tab w:leader="none" w:pos="1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33" w:lineRule="exact"/>
        <w:rPr>
          <w:rFonts w:ascii="Arial" w:cs="Arial" w:eastAsia="Arial" w:hAnsi="Arial"/>
          <w:sz w:val="16"/>
          <w:szCs w:val="16"/>
          <w:color w:val="auto"/>
        </w:rPr>
      </w:pPr>
    </w:p>
    <w:p>
      <w:pPr>
        <w:ind w:left="1380" w:right="199" w:hanging="331"/>
        <w:spacing w:after="0" w:line="243" w:lineRule="auto"/>
        <w:tabs>
          <w:tab w:leader="none" w:pos="1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99" w:hanging="331"/>
        <w:spacing w:after="0" w:line="270" w:lineRule="auto"/>
        <w:tabs>
          <w:tab w:leader="none" w:pos="1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50" w:lineRule="exact"/>
        <w:rPr>
          <w:rFonts w:ascii="Arial" w:cs="Arial" w:eastAsia="Arial" w:hAnsi="Arial"/>
          <w:sz w:val="17"/>
          <w:szCs w:val="17"/>
          <w:color w:val="auto"/>
        </w:rPr>
      </w:pPr>
    </w:p>
    <w:p>
      <w:pPr>
        <w:jc w:val="both"/>
        <w:ind w:left="1380" w:right="439" w:hanging="331"/>
        <w:spacing w:after="0" w:line="294" w:lineRule="auto"/>
        <w:tabs>
          <w:tab w:leader="none" w:pos="1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6"/>
          <w:szCs w:val="16"/>
          <w:color w:val="auto"/>
        </w:rPr>
      </w:pPr>
    </w:p>
    <w:p>
      <w:pPr>
        <w:ind w:left="1380" w:hanging="331"/>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w:t>
      </w:r>
    </w:p>
    <w:p>
      <w:pPr>
        <w:spacing w:after="0" w:line="184" w:lineRule="exact"/>
        <w:rPr>
          <w:rFonts w:ascii="Arial" w:cs="Arial" w:eastAsia="Arial" w:hAnsi="Arial"/>
          <w:sz w:val="18"/>
          <w:szCs w:val="18"/>
          <w:color w:val="auto"/>
        </w:rPr>
      </w:pPr>
    </w:p>
    <w:p>
      <w:pPr>
        <w:ind w:left="1380" w:right="379" w:hanging="331"/>
        <w:spacing w:after="0" w:line="261"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our clinical trials may be insufficient or inadequate;</w:t>
      </w:r>
    </w:p>
    <w:p>
      <w:pPr>
        <w:spacing w:after="0" w:line="157" w:lineRule="exact"/>
        <w:rPr>
          <w:rFonts w:ascii="Arial" w:cs="Arial" w:eastAsia="Arial" w:hAnsi="Arial"/>
          <w:sz w:val="18"/>
          <w:szCs w:val="18"/>
          <w:color w:val="auto"/>
        </w:rPr>
      </w:pPr>
    </w:p>
    <w:p>
      <w:pPr>
        <w:ind w:left="1380" w:right="179" w:hanging="331"/>
        <w:spacing w:after="0" w:line="243"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74"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98"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including due to unforeseen impacts from the COVID-19 pandemic on our current or planned trials.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additional indications for our approved drugs or for our drug candidates. Further, the FDA or other regulatory authorities may disagree with our clinical trial design and our interpretation of data from clinical trials, or the FDA or any other regulatory authority may change the requirements for approval even after it has reviewed and commented on the design for our clinical trials.</w:t>
      </w:r>
    </w:p>
    <w:p>
      <w:pPr>
        <w:spacing w:after="0" w:line="221" w:lineRule="exact"/>
        <w:rPr>
          <w:sz w:val="20"/>
          <w:szCs w:val="20"/>
          <w:color w:val="auto"/>
        </w:rPr>
      </w:pPr>
    </w:p>
    <w:p>
      <w:pPr>
        <w:jc w:val="both"/>
        <w:ind w:left="60" w:right="99" w:firstLine="648"/>
        <w:spacing w:after="0" w:line="294"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1380" w:right="439" w:hanging="331"/>
        <w:spacing w:after="0" w:line="324" w:lineRule="auto"/>
        <w:tabs>
          <w:tab w:leader="none" w:pos="1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be delayed in obtaining marketing approval for avapritinib for additional indications or in additional geographies, or be delayed in obtaining marketing approval for our drug candidates, if at all;</w:t>
      </w:r>
    </w:p>
    <w:p>
      <w:pPr>
        <w:spacing w:after="0" w:line="97" w:lineRule="exact"/>
        <w:rPr>
          <w:rFonts w:ascii="Arial" w:cs="Arial" w:eastAsia="Arial" w:hAnsi="Arial"/>
          <w:sz w:val="16"/>
          <w:szCs w:val="16"/>
          <w:color w:val="auto"/>
        </w:rPr>
      </w:pPr>
    </w:p>
    <w:p>
      <w:pPr>
        <w:ind w:left="1380" w:hanging="331"/>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209" w:lineRule="exact"/>
        <w:rPr>
          <w:rFonts w:ascii="Arial" w:cs="Arial" w:eastAsia="Arial" w:hAnsi="Arial"/>
          <w:sz w:val="17"/>
          <w:szCs w:val="17"/>
          <w:color w:val="auto"/>
        </w:rPr>
      </w:pPr>
    </w:p>
    <w:p>
      <w:pPr>
        <w:ind w:left="1380" w:hanging="331"/>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98"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 to achieve market acceptance or have the drug removed from the market after obtaining marketing approval.</w:t>
      </w:r>
    </w:p>
    <w:p>
      <w:pPr>
        <w:spacing w:after="0" w:line="198"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21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We may not be able to initiate or continue clinical trials for our drug candidates, including avapritinib for additional indications, if we are unable to locate and enroll a sufficient number of eligible patients to participate in these trials as required by the FDA or similar regulatory authorities outside the U.S. In particular, because we are focused on diseases in genomically defined patient populations, our ability to enroll eligible patients may be limited or may result in slower enrollment than we anticipate. In addition, we have experienced some temporary delays or disruptions in enrollment in our ongoing clinical trials due to the COVID-19 pandemic, and we anticipate we may experience additional delays or disruptions in the future due to the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In addition, some of our competitors have ongoing clinical trials for drug candidates that treat the same indications as AYVAKIT and our drug candidates, and patients who would otherwise be eligible for our clinical trials may instead enroll in clinical trials of our competitors’ drug candidates.</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39" w:lineRule="exact"/>
        <w:rPr>
          <w:sz w:val="20"/>
          <w:szCs w:val="20"/>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52"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Because the target patient populations for AYVAKIT and our drug candidates are relatively small, it may be difficult to successfully identify patients, which could delay enrollment for our trials.</w:t>
      </w:r>
    </w:p>
    <w:p>
      <w:pPr>
        <w:spacing w:after="0" w:line="211"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We focus our research and development on treatments for cancer and rare diseases, including genomically defined cancer and diseases driven by abnormal kinase activation. Because the target patient populations for AYVAKIT and our drug candidates are relatively small, it may be difficult to successfully identify patients. We have entered into agreements with third parties to develop a companion diagnostic test for avapritinib in order to identify GIST patients with the PDGFRA D842V mutation, fisogatinib in order to identify HCC patients with FGFR4 pathway activation and pralsetinib in order to identify NSCLC patients with RET fusions, and we may engage third parties to develop companion diagnostic tests for use in some of our other current or future clinical trials. However, we may experience delays in reaching, or fail to reach, agreement on acceptable terms to develop companion diagnostic tests with third parties, and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210" w:lineRule="exact"/>
        <w:rPr>
          <w:sz w:val="20"/>
          <w:szCs w:val="20"/>
          <w:color w:val="auto"/>
        </w:rPr>
      </w:pPr>
    </w:p>
    <w:p>
      <w:pPr>
        <w:ind w:left="60" w:right="299" w:firstLine="648"/>
        <w:spacing w:after="0" w:line="324" w:lineRule="auto"/>
        <w:rPr>
          <w:sz w:val="20"/>
          <w:szCs w:val="20"/>
          <w:color w:val="auto"/>
        </w:rPr>
      </w:pPr>
      <w:r>
        <w:rPr>
          <w:rFonts w:ascii="Arial" w:cs="Arial" w:eastAsia="Arial" w:hAnsi="Arial"/>
          <w:sz w:val="16"/>
          <w:szCs w:val="16"/>
          <w:color w:val="auto"/>
        </w:rPr>
        <w:t>Our inability to enroll a sufficient number of patients in our clinical trials, or to identify patients appropriate for enrollment in our clinical trials, would result in significant delays and could require us to abandon one or more clinical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7"/>
          <w:szCs w:val="17"/>
          <w:color w:val="auto"/>
        </w:rPr>
        <w:t>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216" w:lineRule="exact"/>
        <w:rPr>
          <w:sz w:val="20"/>
          <w:szCs w:val="20"/>
          <w:color w:val="auto"/>
        </w:rPr>
      </w:pPr>
    </w:p>
    <w:p>
      <w:pPr>
        <w:ind w:left="60" w:right="339"/>
        <w:spacing w:after="0" w:line="322"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such drug candidates, and our ability to generate revenue will be materially impaired.</w:t>
      </w:r>
    </w:p>
    <w:p>
      <w:pPr>
        <w:spacing w:after="0" w:line="170"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Our drug candidates and any companion diagnostic tests related to our approved drugs or drug candidates, including the companion diagnostic tests that we are developing for AYVAKIT in order to identify GIST patients with the PDGFRA D842V mutation, pralsetinib in order to identify NSCLC patients with RET fusions and fisogatinib in order to identify HCC patients with FGFR4 pathway activation,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pralsetinib and fisogatinib. Except for FDA approval of AYVAKIT for the treatment of adults with unresectable or metastatic GIST harboring a PDGFRA exon 18 mutation, including PDGFRA D842V mutations, we have not received regulatory authorization to market any of our drug candidates or related companion diagnostic tests from regulatory authorities in any jurisdiction, and it is possible that these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7"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For example, the FDA is reviewing our NDA for avapritinib for the treatment of fourth-line GIST. As a part of the review, the FDA requested top-line data from our VOYAGER trial. We recently submitted the top-line data to the FDA and anticipate a decision from the FDA by May 14, 2020, which is the Prescription Drug User Fee Act action date.</w:t>
      </w:r>
    </w:p>
    <w:p>
      <w:pPr>
        <w:spacing w:after="0" w:line="224" w:lineRule="exact"/>
        <w:rPr>
          <w:sz w:val="20"/>
          <w:szCs w:val="20"/>
          <w:color w:val="auto"/>
        </w:rPr>
      </w:pPr>
    </w:p>
    <w:p>
      <w:pPr>
        <w:ind w:left="60" w:right="599" w:firstLine="648"/>
        <w:spacing w:after="0" w:line="261" w:lineRule="auto"/>
        <w:rPr>
          <w:sz w:val="20"/>
          <w:szCs w:val="20"/>
          <w:color w:val="auto"/>
        </w:rPr>
      </w:pPr>
      <w:r>
        <w:rPr>
          <w:rFonts w:ascii="Arial" w:cs="Arial" w:eastAsia="Arial" w:hAnsi="Arial"/>
          <w:sz w:val="18"/>
          <w:szCs w:val="18"/>
          <w:color w:val="auto"/>
        </w:rPr>
        <w:t>Our drug candidates could be delayed in receiving, or fail to receive, regulatory approval for many reasons, including the following:</w:t>
      </w:r>
    </w:p>
    <w:p>
      <w:pPr>
        <w:spacing w:after="0" w:line="211" w:lineRule="exact"/>
        <w:rPr>
          <w:sz w:val="20"/>
          <w:szCs w:val="20"/>
          <w:color w:val="auto"/>
        </w:rPr>
      </w:pPr>
    </w:p>
    <w:p>
      <w:pPr>
        <w:ind w:left="1380" w:right="79" w:hanging="331"/>
        <w:spacing w:after="0" w:line="261"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19" w:hanging="331"/>
        <w:spacing w:after="0" w:line="248"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70"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U.S. or elsewhere;</w:t>
      </w:r>
    </w:p>
    <w:p>
      <w:pPr>
        <w:spacing w:after="0" w:line="124" w:lineRule="exact"/>
        <w:rPr>
          <w:rFonts w:ascii="Arial" w:cs="Arial" w:eastAsia="Arial" w:hAnsi="Arial"/>
          <w:sz w:val="16"/>
          <w:szCs w:val="16"/>
          <w:color w:val="auto"/>
        </w:rPr>
      </w:pPr>
    </w:p>
    <w:p>
      <w:pPr>
        <w:ind w:left="1380" w:right="279" w:hanging="331"/>
        <w:spacing w:after="0" w:line="248"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81" w:lineRule="exact"/>
        <w:rPr>
          <w:rFonts w:ascii="Arial" w:cs="Arial" w:eastAsia="Arial" w:hAnsi="Arial"/>
          <w:sz w:val="18"/>
          <w:szCs w:val="18"/>
          <w:color w:val="auto"/>
        </w:rPr>
      </w:pPr>
    </w:p>
    <w:p>
      <w:pPr>
        <w:ind w:left="1380" w:right="659" w:hanging="331"/>
        <w:spacing w:after="0" w:line="291" w:lineRule="auto"/>
        <w:tabs>
          <w:tab w:leader="none" w:pos="1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 and</w:t>
      </w:r>
    </w:p>
    <w:p>
      <w:pPr>
        <w:spacing w:after="0" w:line="146" w:lineRule="exact"/>
        <w:rPr>
          <w:rFonts w:ascii="Arial" w:cs="Arial" w:eastAsia="Arial" w:hAnsi="Arial"/>
          <w:sz w:val="17"/>
          <w:szCs w:val="17"/>
          <w:color w:val="auto"/>
        </w:rPr>
      </w:pPr>
    </w:p>
    <w:p>
      <w:pPr>
        <w:ind w:left="1380" w:right="719" w:hanging="331"/>
        <w:spacing w:after="0" w:line="261"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or disruptions impacting the FDA or comparable foreign regulatory authorities due to the COVID-19 pandemic.</w:t>
      </w:r>
    </w:p>
    <w:p>
      <w:pPr>
        <w:spacing w:after="0" w:line="21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216"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9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Our drugs and drug candidates may cause undesirable side effects that could delay or prevent their regulatory approval, limit the commercial profile of an approved label, or result in significant negative consequences following marketing approval, if any.</w:t>
      </w:r>
    </w:p>
    <w:p>
      <w:pPr>
        <w:spacing w:after="0" w:line="22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approved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221" w:lineRule="exact"/>
        <w:rPr>
          <w:sz w:val="20"/>
          <w:szCs w:val="20"/>
          <w:color w:val="auto"/>
        </w:rPr>
      </w:pPr>
    </w:p>
    <w:p>
      <w:pPr>
        <w:ind w:left="60" w:right="199" w:firstLine="648"/>
        <w:spacing w:after="0" w:line="294" w:lineRule="auto"/>
        <w:rPr>
          <w:sz w:val="20"/>
          <w:szCs w:val="20"/>
          <w:color w:val="auto"/>
        </w:rPr>
      </w:pPr>
      <w:r>
        <w:rPr>
          <w:rFonts w:ascii="Arial" w:cs="Arial" w:eastAsia="Arial" w:hAnsi="Arial"/>
          <w:sz w:val="16"/>
          <w:szCs w:val="16"/>
          <w:color w:val="auto"/>
        </w:rPr>
        <w:t>Further, our approved drugs and drug candidates could cause undesirable side effects in pre-clinical studies or clinical trials related to on-target toxicity. For example, the FGF19/FGFR4 signaling axis has been shown to play a role in the regulation of de novo bile acid synthesis. Modulation of this signaling axis by treatment with a small molecule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FGFR4 inhibitor could lead to the clinical symptoms that were observed with administration of an FGF19 antibody. If on-target toxicity is observed, or if our approved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21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214" w:lineRule="exact"/>
        <w:rPr>
          <w:sz w:val="20"/>
          <w:szCs w:val="20"/>
          <w:color w:val="auto"/>
        </w:rPr>
      </w:pPr>
    </w:p>
    <w:p>
      <w:pPr>
        <w:ind w:left="1380" w:hanging="331"/>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70" w:lineRule="exact"/>
        <w:rPr>
          <w:rFonts w:ascii="Arial" w:cs="Arial" w:eastAsia="Arial" w:hAnsi="Arial"/>
          <w:sz w:val="18"/>
          <w:szCs w:val="18"/>
          <w:color w:val="auto"/>
        </w:rPr>
      </w:pPr>
    </w:p>
    <w:p>
      <w:pPr>
        <w:ind w:left="1380" w:right="239" w:hanging="331"/>
        <w:spacing w:after="0" w:line="261"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380" w:right="559" w:hanging="331"/>
        <w:spacing w:after="0" w:line="261"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change the way such drug is distributed or administered, conduct additional clinical trials or change the labeling of such drug;</w:t>
      </w:r>
    </w:p>
    <w:p>
      <w:pPr>
        <w:spacing w:after="0" w:line="170" w:lineRule="exact"/>
        <w:rPr>
          <w:rFonts w:ascii="Arial" w:cs="Arial" w:eastAsia="Arial" w:hAnsi="Arial"/>
          <w:sz w:val="18"/>
          <w:szCs w:val="18"/>
          <w:color w:val="auto"/>
        </w:rPr>
      </w:pPr>
    </w:p>
    <w:p>
      <w:pPr>
        <w:jc w:val="both"/>
        <w:ind w:left="1380" w:right="99" w:hanging="331"/>
        <w:spacing w:after="0" w:line="294" w:lineRule="auto"/>
        <w:tabs>
          <w:tab w:leader="none" w:pos="13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decide to remove such drug from the marketplace;</w:t>
      </w:r>
    </w:p>
    <w:p>
      <w:pPr>
        <w:spacing w:after="0" w:line="21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drugs and drug candidates;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39"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228"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and pralsetinib, may not lead to a faster development or regulatory review or approval process, and it does not increase the likelihood that our drug candidates will receive marketing approval.</w:t>
      </w:r>
    </w:p>
    <w:p>
      <w:pPr>
        <w:spacing w:after="0" w:line="222"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6"/>
          <w:szCs w:val="16"/>
          <w:color w:val="auto"/>
        </w:rPr>
        <w:t>The FDA has granted breakthrough therapy designation to avapritinib for the treatment of patients with unresectable or metastatic GIST harboring the PDGFRA D842V mutation, and the FDA has granted breakthrough therapy designation to avapritinib for the treatment of advanced SM, including the subtypes of aggressive SM, SM with an associated hematologic neoplasm and mast cell leukemia. In addition, the FDA has granted breakthrough therapy designation to pralsetinib for the treatment of patients with RET fusion-positive NSCLC that has progressed following platinum-based chemotherapy and to pralsetinib for the treatment of patients with RET mutation-positive MTC that requires systemic treatment and for which there are no acceptable alternative treatments. We may also seek breakthrough therapy designation for some of our other drug candidates. A breakthrough therapy is defined as a drug that is intended,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7" w:lineRule="auto"/>
        <w:rPr>
          <w:sz w:val="20"/>
          <w:szCs w:val="20"/>
          <w:color w:val="auto"/>
        </w:rPr>
      </w:pPr>
      <w:r>
        <w:rPr>
          <w:rFonts w:ascii="Arial" w:cs="Arial" w:eastAsia="Arial" w:hAnsi="Arial"/>
          <w:sz w:val="17"/>
          <w:szCs w:val="17"/>
          <w:color w:val="auto"/>
        </w:rPr>
        <w:t>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216"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w:t>
      </w:r>
    </w:p>
    <w:p>
      <w:pPr>
        <w:spacing w:after="0" w:line="216" w:lineRule="exact"/>
        <w:rPr>
          <w:sz w:val="20"/>
          <w:szCs w:val="20"/>
          <w:color w:val="auto"/>
        </w:rPr>
      </w:pPr>
    </w:p>
    <w:p>
      <w:pPr>
        <w:ind w:left="60" w:right="459"/>
        <w:spacing w:after="0" w:line="261"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 for our drug candidates.</w:t>
      </w:r>
    </w:p>
    <w:p>
      <w:pPr>
        <w:spacing w:after="0" w:line="198"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6"/>
          <w:szCs w:val="16"/>
          <w:color w:val="auto"/>
        </w:rPr>
        <w:t>The FDA has granted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We may also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the treatment of patients with unresectable or metastatic GIST that progressed following treatment with imatinib and a second tyrosine kinase inhibitor and for the treatment of patients with unresectable or metastatic GIST with the PDGFRA D842V mutation regardless of prior therapy, or even if we receive fast track designation for our other drug candidates, we may not experience a faster development process, review or approval. The FDA may withdraw fast track designation if it believes that the designation is no longer supported by data from our clinical development program.</w:t>
      </w:r>
    </w:p>
    <w:p>
      <w:pPr>
        <w:spacing w:after="0" w:line="208"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b w:val="1"/>
          <w:bCs w:val="1"/>
          <w:i w:val="1"/>
          <w:iCs w:val="1"/>
          <w:color w:val="auto"/>
        </w:rPr>
        <w:t>While we have received orphan drug designation for our drug candidates avapritinib, pralsetinib and fisogatinib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228"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216"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drug would be a significant benefit to those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1" w:lineRule="auto"/>
        <w:rPr>
          <w:sz w:val="20"/>
          <w:szCs w:val="20"/>
          <w:color w:val="auto"/>
        </w:rPr>
      </w:pPr>
      <w:r>
        <w:rPr>
          <w:rFonts w:ascii="Arial" w:cs="Arial" w:eastAsia="Arial" w:hAnsi="Arial"/>
          <w:sz w:val="18"/>
          <w:szCs w:val="18"/>
          <w:color w:val="auto"/>
        </w:rPr>
        <w:t>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230"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20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98" w:lineRule="exact"/>
        <w:rPr>
          <w:sz w:val="20"/>
          <w:szCs w:val="20"/>
          <w:color w:val="auto"/>
        </w:rPr>
      </w:pPr>
    </w:p>
    <w:p>
      <w:pPr>
        <w:ind w:left="60" w:right="59"/>
        <w:spacing w:after="0" w:line="308" w:lineRule="auto"/>
        <w:rPr>
          <w:sz w:val="20"/>
          <w:szCs w:val="20"/>
          <w:color w:val="auto"/>
        </w:rPr>
      </w:pPr>
      <w:r>
        <w:rPr>
          <w:rFonts w:ascii="Arial" w:cs="Arial" w:eastAsia="Arial" w:hAnsi="Arial"/>
          <w:sz w:val="15"/>
          <w:szCs w:val="15"/>
          <w:b w:val="1"/>
          <w:bCs w:val="1"/>
          <w:i w:val="1"/>
          <w:iCs w:val="1"/>
          <w:color w:val="auto"/>
        </w:rPr>
        <w:t>Review of our planned NDA for pralsetinib for the treatment of patients with MTC previously treated with an approved multi-kinase inhibitor under the FDA’s RTOR program and planned additional marketing applications for pralsetinib for RET fusion-positive NSCLC through the FDA’s Project Orbis initiative, may not lead to a faster regulatory review or approval for pralsetinib, and they do not increase the likelihood that pralsetinib will obtain marketing approval.</w:t>
      </w:r>
    </w:p>
    <w:p>
      <w:pPr>
        <w:spacing w:after="0" w:line="181" w:lineRule="exact"/>
        <w:rPr>
          <w:sz w:val="20"/>
          <w:szCs w:val="20"/>
          <w:color w:val="auto"/>
        </w:rPr>
      </w:pPr>
    </w:p>
    <w:p>
      <w:pPr>
        <w:ind w:left="60" w:right="99" w:firstLine="648"/>
        <w:spacing w:after="0" w:line="276" w:lineRule="auto"/>
        <w:rPr>
          <w:sz w:val="20"/>
          <w:szCs w:val="20"/>
          <w:color w:val="auto"/>
        </w:rPr>
      </w:pPr>
      <w:r>
        <w:rPr>
          <w:rFonts w:ascii="Arial" w:cs="Arial" w:eastAsia="Arial" w:hAnsi="Arial"/>
          <w:sz w:val="16"/>
          <w:szCs w:val="16"/>
          <w:color w:val="auto"/>
        </w:rPr>
        <w:t>The FDA and other regulatory bodies periodically introduce pilot programs with the goal of a more efficient review of applications for drug or biologic approval, including the Oncology Center of Excellence Real-Time Oncology Review pilot program, or RTOR program, which is currently being tested by the FDA. The RTOR program aims to explore a more efficient review process to ensure that safe and effective treatments are available to patients as early as possible, while maintaining and improving review quality by the FDA. The FDA’s Project Orbis initiative provides a framework for concurrent submission and review of marketing applications for oncology products among international health authorities.</w:t>
      </w:r>
    </w:p>
    <w:p>
      <w:pPr>
        <w:spacing w:after="0" w:line="20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In the first quarter of 2020, we completed the submission of a rolling NDA to the FDA for pralsetinib for the treatment of patients with RET fusion-positive NSCLC. In addition, we recently submitted an MAA to the EMA for pralsetinib for RET fusion-positive NSCLC. We plan to submit additional marketing applications for pralsetinib for RET fusion-positive NSCLC through the FDA’s Project Orbis initiative. In addition, we plan to submit an NDA to the FDA for pralsetinib for the treatment of patients with MTC previously treated with an approved multi-kinase inhibitor in the second quarter of 2020 under the FDA’s RTOR program. Acceptance into the RTOR program and Project Orbis initiative does not guarantee or influence approvability of any current or future marketing applications for pralsetinib in patients with RET fusion-positive NSCLC or patients with MTC previously treated with an approved multi-kinase inhibitor, which are subject to the standard benefit-risk evaluation by the FDA and any other applicable health authority. In addition, we may not derive any benefit, such as a more efficient review process compared to marketing applications submitted and reviewed under conventional procedures by the FDA or other health authorities, from inclusion in these programs. These programs are not formal regulatory pathways and may be changed, suspended, or halted at any time, including as a result of the FDA deciding not to continue these programs or determining that a current or future marketing application no longer meets the criteria for inclusion in one or both of these programs. The FDA’s RTOR program and Project Orbis initiative do not change the scientific and medical standard for approval or the quality of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91" w:lineRule="auto"/>
        <w:rPr>
          <w:sz w:val="20"/>
          <w:szCs w:val="20"/>
          <w:color w:val="auto"/>
        </w:rPr>
      </w:pPr>
      <w:r>
        <w:rPr>
          <w:rFonts w:ascii="Arial" w:cs="Arial" w:eastAsia="Arial" w:hAnsi="Arial"/>
          <w:sz w:val="17"/>
          <w:szCs w:val="17"/>
          <w:color w:val="auto"/>
        </w:rPr>
        <w:t>evidence necessary to support approval. As a result, even if current or future marketing applications are subject to one or more of these programs, they may still be denied based on study data, study design, or other factors.</w:t>
      </w:r>
    </w:p>
    <w:p>
      <w:pPr>
        <w:spacing w:after="0" w:line="187"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b w:val="1"/>
          <w:bCs w:val="1"/>
          <w:i w:val="1"/>
          <w:iCs w:val="1"/>
          <w:color w:val="auto"/>
        </w:rPr>
        <w:t>We will be subject to ongoing obligations and continued regulatory review of our approved drugs and drug candidates, even if we receive regulatory approval, which may result in significant additional expense. In addition, our drugs and drug candidates, if approved, could be subject to labeling and other restrictions and market withdrawal and we may be subject to penalties if we fail to comply with regulatory requirements or experience unanticipated problems with our drugs.</w:t>
      </w:r>
    </w:p>
    <w:p>
      <w:pPr>
        <w:spacing w:after="0" w:line="230"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213" w:lineRule="exact"/>
        <w:rPr>
          <w:sz w:val="20"/>
          <w:szCs w:val="20"/>
          <w:color w:val="auto"/>
        </w:rPr>
      </w:pPr>
    </w:p>
    <w:p>
      <w:pPr>
        <w:ind w:left="1380" w:right="479" w:hanging="331"/>
        <w:spacing w:after="0" w:line="261" w:lineRule="auto"/>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“dear doctor” letters or drug recalls;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5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73"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65"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224"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or clinical drug candidates or programs.</w:t>
      </w:r>
    </w:p>
    <w:p>
      <w:pPr>
        <w:spacing w:after="0" w:line="198" w:lineRule="exact"/>
        <w:rPr>
          <w:sz w:val="20"/>
          <w:szCs w:val="20"/>
          <w:color w:val="auto"/>
        </w:rPr>
      </w:pPr>
    </w:p>
    <w:p>
      <w:pPr>
        <w:ind w:left="60" w:right="59" w:firstLine="648"/>
        <w:spacing w:after="0" w:line="237" w:lineRule="auto"/>
        <w:rPr>
          <w:sz w:val="20"/>
          <w:szCs w:val="20"/>
          <w:color w:val="auto"/>
        </w:rPr>
      </w:pPr>
      <w:r>
        <w:rPr>
          <w:rFonts w:ascii="Arial" w:cs="Arial" w:eastAsia="Arial" w:hAnsi="Arial"/>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Commercialization</w:t>
      </w:r>
    </w:p>
    <w:p>
      <w:pPr>
        <w:spacing w:after="0" w:line="256"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We have limited experience as a commercial company and the marketing and sale of AYVAKIT or any future approved drugs may be unsuccessful or less successful than anticipated.</w:t>
      </w:r>
    </w:p>
    <w:p>
      <w:pPr>
        <w:spacing w:after="0" w:line="19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In January 2020, the FDA approved AYVAKIT for the treatment of adults with unresectable or metastatic GIST harboring a PDGFRA exon 18 mutation, including PDGFRA D842V mutations. While we have initiated the commercial launch of AYVAKIT in the U.S.,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for additional indications and for pralsetinib are currently under review or planned in the U.S. and Europe. To execute our business plan, in addition to successfully marketing and selling AYVAKIT, we will need to successfully:</w:t>
      </w:r>
    </w:p>
    <w:p>
      <w:pPr>
        <w:spacing w:after="0" w:line="220" w:lineRule="exact"/>
        <w:rPr>
          <w:sz w:val="20"/>
          <w:szCs w:val="20"/>
          <w:color w:val="auto"/>
        </w:rPr>
      </w:pPr>
    </w:p>
    <w:p>
      <w:pPr>
        <w:ind w:left="1380" w:right="199" w:hanging="331"/>
        <w:spacing w:after="0" w:line="261"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the patients who may receive our drugs and any future drugs;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adequate pricing and reimbursement for AYVAKIT and any future drugs;</w:t>
      </w:r>
    </w:p>
    <w:p>
      <w:pPr>
        <w:spacing w:after="0" w:line="211"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the drug candidates in our pipeline;</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maintain successful strategic alliances;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499" w:hanging="331"/>
        <w:spacing w:after="0" w:line="261" w:lineRule="auto"/>
        <w:tabs>
          <w:tab w:leader="none" w:pos="1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211"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6"/>
          <w:szCs w:val="16"/>
          <w:color w:val="auto"/>
        </w:rPr>
        <w:t>If we are unsuccessful in accomplishing these objectives, we may not be able to successfully develop drug candidates, commercialize AYVAKIT or any future drugs, raise capital, expand our business or continue our operations.</w:t>
      </w:r>
    </w:p>
    <w:p>
      <w:pPr>
        <w:spacing w:after="0" w:line="165"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b w:val="1"/>
          <w:bCs w:val="1"/>
          <w:i w:val="1"/>
          <w:iCs w:val="1"/>
          <w:color w:val="auto"/>
        </w:rPr>
        <w:t>The commercial success of AYVAKIT, and of any future drugs, will depend upon the degree of market acceptance by physicians, patients, third-party payors and others in the medical community.</w:t>
      </w:r>
    </w:p>
    <w:p>
      <w:pPr>
        <w:spacing w:after="0" w:line="198"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The commercial success of AYVAKIT and of any future drugs will depend in part on the medical community, patients, and third-party or governmental payors. AYVAKIT and any other drugs that we may bring to the market may not gain market acceptance by physicians, patients, third-party payors and others in the medical community. If these drugs do not achieve an adequate level of acceptance, we may not generate significant product revenue and may not become profitable. The degree of market acceptance of AYVAKIT and of any current or future drug candidates for which we receive marketing approval will depend on a number of factors, including:</w:t>
      </w:r>
    </w:p>
    <w:p>
      <w:pPr>
        <w:spacing w:after="0" w:line="216" w:lineRule="exact"/>
        <w:rPr>
          <w:sz w:val="20"/>
          <w:szCs w:val="20"/>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1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drug’s approved labeling;</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11" w:lineRule="exact"/>
        <w:rPr>
          <w:rFonts w:ascii="Arial" w:cs="Arial" w:eastAsia="Arial" w:hAnsi="Arial"/>
          <w:sz w:val="18"/>
          <w:szCs w:val="18"/>
          <w:color w:val="auto"/>
        </w:rPr>
      </w:pPr>
    </w:p>
    <w:p>
      <w:pPr>
        <w:ind w:left="1380" w:right="219" w:hanging="331"/>
        <w:spacing w:after="0" w:line="261"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drugs remain on treatment;</w:t>
      </w:r>
    </w:p>
    <w:p>
      <w:pPr>
        <w:spacing w:after="0" w:line="211" w:lineRule="exact"/>
        <w:rPr>
          <w:rFonts w:ascii="Arial" w:cs="Arial" w:eastAsia="Arial" w:hAnsi="Arial"/>
          <w:sz w:val="18"/>
          <w:szCs w:val="18"/>
          <w:color w:val="auto"/>
        </w:rPr>
      </w:pPr>
    </w:p>
    <w:p>
      <w:pPr>
        <w:ind w:left="1380" w:right="599" w:hanging="331"/>
        <w:spacing w:after="0" w:line="261" w:lineRule="auto"/>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pricing of our drugs and any current or future drug candidates for which we receive marketing approval;</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publicity concerning our current and future drugs, or competing products and treatments;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5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Even if a potential drug displays a favorable efficacy and safety profile in preclinical and clinical studies, market acceptance of the drug will not be known until after it is launched. Our efforts to educate the medical community and third-party payors on the benefits of our drugs may require significant resources and may never be successful. Our efforts to educate the marketplace may require more resources than are required by the conventional technologies marketed by our competitors. Any of these factors may cause AYVAKIT, or any current or future drug candidates for which we receive marketing approval, to be unsuccessful or less successful than anticipated.</w:t>
      </w:r>
    </w:p>
    <w:p>
      <w:pPr>
        <w:spacing w:after="0" w:line="202" w:lineRule="exact"/>
        <w:rPr>
          <w:sz w:val="20"/>
          <w:szCs w:val="20"/>
          <w:color w:val="auto"/>
        </w:rPr>
      </w:pPr>
    </w:p>
    <w:p>
      <w:pPr>
        <w:ind w:left="60" w:right="99"/>
        <w:spacing w:after="0" w:line="301" w:lineRule="auto"/>
        <w:rPr>
          <w:sz w:val="20"/>
          <w:szCs w:val="20"/>
          <w:color w:val="auto"/>
        </w:rPr>
      </w:pPr>
      <w:r>
        <w:rPr>
          <w:rFonts w:ascii="Arial" w:cs="Arial" w:eastAsia="Arial" w:hAnsi="Arial"/>
          <w:sz w:val="15"/>
          <w:szCs w:val="15"/>
          <w:b w:val="1"/>
          <w:bCs w:val="1"/>
          <w:i w:val="1"/>
          <w:iCs w:val="1"/>
          <w:color w:val="auto"/>
        </w:rPr>
        <w:t>Although we have established our initial commercial infrastructure, we are continuing to build out our commercial capabilities and have limited sales and distribution experience and limited capabilities for marketing and market access. We expect to invest significant financial and management resources to establish these capabilities and infrastructure to support commercial operations for the sale of AYVAKIT. If we are unable to establish these additional commercial capabilities and infrastructure, we may be unable to generate sufficient revenue to sustain our business.</w:t>
      </w:r>
    </w:p>
    <w:p>
      <w:pPr>
        <w:spacing w:after="0" w:line="187"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Although we have established our initial commercial infrastructure, we are continuing to build out our commercial capabilities and infrastructure and have limited sales and distribution experience and limited capabilities for marketing and market access. To successfully commercialize AYVAKIT and any other drugs that may result from our development programs, we will need to develop these capabilities and further expand our infrastructure to support commercial operations in the U.S., Europe and other regions, either on our own or with others. We may be competing</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48" w:lineRule="auto"/>
        <w:rPr>
          <w:sz w:val="20"/>
          <w:szCs w:val="20"/>
          <w:color w:val="auto"/>
        </w:rPr>
      </w:pPr>
      <w:r>
        <w:rPr>
          <w:rFonts w:ascii="Arial" w:cs="Arial" w:eastAsia="Arial" w:hAnsi="Arial"/>
          <w:sz w:val="18"/>
          <w:szCs w:val="18"/>
          <w:color w:val="auto"/>
        </w:rPr>
        <w:t>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22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We cannot be sure that we will be able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We will also have to compete with other companies to recruit, hire, train and retain sales and marketing personnel.</w:t>
      </w:r>
    </w:p>
    <w:p>
      <w:pPr>
        <w:spacing w:after="0" w:line="21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drugs include:</w:t>
      </w:r>
    </w:p>
    <w:p>
      <w:pPr>
        <w:spacing w:after="0" w:line="239" w:lineRule="exact"/>
        <w:rPr>
          <w:sz w:val="20"/>
          <w:szCs w:val="20"/>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AYVAKIT;</w:t>
      </w:r>
    </w:p>
    <w:p>
      <w:pPr>
        <w:spacing w:after="0" w:line="170" w:lineRule="exact"/>
        <w:rPr>
          <w:rFonts w:ascii="Arial" w:cs="Arial" w:eastAsia="Arial" w:hAnsi="Arial"/>
          <w:sz w:val="18"/>
          <w:szCs w:val="18"/>
          <w:color w:val="auto"/>
        </w:rPr>
      </w:pPr>
    </w:p>
    <w:p>
      <w:pPr>
        <w:ind w:left="1380" w:right="779" w:hanging="331"/>
        <w:spacing w:after="0" w:line="261" w:lineRule="auto"/>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or disruptions to sales and marketing activities due to the COVID-19 pandemic.</w:t>
      </w:r>
    </w:p>
    <w:p>
      <w:pPr>
        <w:spacing w:after="0" w:line="252" w:lineRule="exact"/>
        <w:rPr>
          <w:sz w:val="20"/>
          <w:szCs w:val="20"/>
          <w:color w:val="auto"/>
        </w:rPr>
      </w:pPr>
    </w:p>
    <w:p>
      <w:pPr>
        <w:jc w:val="both"/>
        <w:ind w:left="60" w:right="119" w:firstLine="648"/>
        <w:spacing w:after="0" w:line="248"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 candidates could be delayed which would negatively impact our ability to generate product revenues.</w:t>
      </w:r>
    </w:p>
    <w:p>
      <w:pPr>
        <w:spacing w:after="0" w:line="222"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AYVAKIT or any other drug candidates that may be approved in the future.</w:t>
      </w:r>
    </w:p>
    <w:p>
      <w:pPr>
        <w:spacing w:after="0" w:line="198"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7"/>
          <w:szCs w:val="17"/>
          <w:color w:val="auto"/>
        </w:rPr>
        <w:t>We do not currently own or operate manufacturing facilities for the production of AYVAKIT or any other drug candidates that may be approved in the future. We rely on single-source third-party suppliers to manufacture and supply AYVAKIT and expect to initially rely on single-source third-party supplies for commercial manufacture and supply of pralsetinib, if approved,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AYVAKIT or any other drug candidates that may be approved in the future, which could have a material adverse effect on our business as a whole.</w:t>
      </w:r>
    </w:p>
    <w:p>
      <w:pPr>
        <w:spacing w:after="0" w:line="221" w:lineRule="exact"/>
        <w:rPr>
          <w:sz w:val="20"/>
          <w:szCs w:val="20"/>
          <w:color w:val="auto"/>
        </w:rPr>
      </w:pPr>
    </w:p>
    <w:p>
      <w:pPr>
        <w:jc w:val="both"/>
        <w:ind w:left="60" w:right="219"/>
        <w:spacing w:after="0" w:line="284" w:lineRule="auto"/>
        <w:rPr>
          <w:sz w:val="20"/>
          <w:szCs w:val="20"/>
          <w:color w:val="auto"/>
        </w:rPr>
      </w:pPr>
      <w:r>
        <w:rPr>
          <w:rFonts w:ascii="Arial" w:cs="Arial" w:eastAsia="Arial" w:hAnsi="Arial"/>
          <w:sz w:val="16"/>
          <w:szCs w:val="16"/>
          <w:b w:val="1"/>
          <w:bCs w:val="1"/>
          <w:i w:val="1"/>
          <w:iCs w:val="1"/>
          <w:color w:val="auto"/>
        </w:rPr>
        <w:t>The incidence and prevalence for target patient populations of our approved drugs and drug candidates have not been established with precision. If the market opportunities for our approved drugs or drug candidates are smaller than we estimate or if any approval that we obtain is based on a narrower definition of the patient population, our revenue and ability to achieve profitability will be adversely affected, possibly materially.</w:t>
      </w:r>
    </w:p>
    <w:p>
      <w:pPr>
        <w:spacing w:after="0" w:line="196"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precise incidence and/or prevalence for GIST, SM, RET-altered NSCLC and MTC, and HCC are unknown. Our projections of the number of people who have these diseases, the frequency of the genetic alterations targeted by our drug candidates and the subset of people with these diseases who have the potential to benefit from treatment with our drug candidates are based on estimates. We estimate that in the U.S., France, Germany, Italy, Spain, the United Kingdom and Japan, or the Major Markets, there are approximately: 75,000 patients with SM, including 3,750 patients with advanced SM and 71,250 patients with indolent SM or smoldering SM (regardless of severity of symptoms); 500 first-line patients with PDGFRA D842V mutant GIST (including resectable, metastatic and unresectable GIST); 8,900 first- and second-line patients with RET-altered NSCLC; 1,300 patients with MTC (regardless of line of therapy or alteration); and 25,900 first-and second-line patients with FGFR4-activated HCC.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3" w:lineRule="auto"/>
        <w:rPr>
          <w:sz w:val="20"/>
          <w:szCs w:val="20"/>
          <w:color w:val="auto"/>
        </w:rPr>
      </w:pPr>
      <w:r>
        <w:rPr>
          <w:rFonts w:ascii="Arial" w:cs="Arial" w:eastAsia="Arial" w:hAnsi="Arial"/>
          <w:sz w:val="17"/>
          <w:szCs w:val="17"/>
          <w:color w:val="auto"/>
        </w:rPr>
        <w:t>The total addressable market opportunity for avapritinib for the treatment of patients with GIST and SM, pralsetinib for the treatment of patients with RET-altered NSCLC and MTC and fisogatinib for the treatment of patients with advanced HCC will ultimately depend upon, among other things, the diagnosis criteria included in the final label for our current and future drugs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224"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211"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7"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In addition, if avapritinib is approved for advanced SM or if avapritinib or BLU-263 are approved for indolent SM, they may face competition from other drug candidates in development for these indications, including drug candidates being developed by AB Science S.A. and Allakos Inc.</w:t>
      </w:r>
    </w:p>
    <w:p>
      <w:pPr>
        <w:spacing w:after="0" w:line="230"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AYVAKIT may face competition from drug candidates in development for GIST, including those being developed by AB Science S.A., ARIAD Pharmaceuticals, Inc., a wholly-owned subsidiary of Takeda Pharmaceutical Company Limited, AROG Pharmaceuticals, Inc., AstraZeneca plc, Celldex Therapeutics, Inc., Deciphera Pharmaceuticals, LLC, Exelixis, Inc., Ningbo Tai Kang Medical Technology Co. Ltd. and Xencor, Inc.</w:t>
      </w:r>
    </w:p>
    <w:p>
      <w:pPr>
        <w:spacing w:after="0" w:line="213"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212529"/>
        </w:rPr>
        <w:t>If pralsetinib receives marketing approval for patients with RET-driven cancers, it may face competition from other drug candidates in development, including those being developed by AstraZeneca plc, Boston Pharmaceuticals, Inc., Eisai Inc., Exelixis, Inc., GlaxoSmithKline plc, Loxo Oncology, Inc., a wholly-owned subsidiary of Eli Lilly and Company,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202" w:lineRule="exact"/>
        <w:rPr>
          <w:sz w:val="20"/>
          <w:szCs w:val="20"/>
          <w:color w:val="auto"/>
        </w:rPr>
      </w:pPr>
    </w:p>
    <w:p>
      <w:pPr>
        <w:ind w:left="60" w:right="219" w:firstLine="648"/>
        <w:spacing w:after="0" w:line="274" w:lineRule="auto"/>
        <w:rPr>
          <w:sz w:val="20"/>
          <w:szCs w:val="20"/>
          <w:color w:val="auto"/>
        </w:rPr>
      </w:pPr>
      <w:r>
        <w:rPr>
          <w:rFonts w:ascii="Arial" w:cs="Arial" w:eastAsia="Arial" w:hAnsi="Arial"/>
          <w:sz w:val="16"/>
          <w:szCs w:val="16"/>
          <w:color w:val="auto"/>
        </w:rPr>
        <w:t>If fisogatinib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204" w:lineRule="exact"/>
        <w:rPr>
          <w:sz w:val="20"/>
          <w:szCs w:val="20"/>
          <w:color w:val="auto"/>
        </w:rPr>
      </w:pPr>
    </w:p>
    <w:p>
      <w:pPr>
        <w:ind w:left="60" w:right="399" w:firstLine="648"/>
        <w:spacing w:after="0" w:line="284"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30"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221"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98"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7"/>
          <w:szCs w:val="17"/>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214" w:lineRule="exact"/>
        <w:rPr>
          <w:sz w:val="20"/>
          <w:szCs w:val="20"/>
          <w:color w:val="auto"/>
        </w:rPr>
      </w:pPr>
    </w:p>
    <w:p>
      <w:pPr>
        <w:ind w:left="1380" w:right="89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any of our approved drugs or drug candidates that we may develop and commercialize;</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any of approved drugs or drug candidates that we may develop.</w:t>
      </w:r>
    </w:p>
    <w:p>
      <w:pPr>
        <w:spacing w:after="0" w:line="252" w:lineRule="exact"/>
        <w:rPr>
          <w:sz w:val="20"/>
          <w:szCs w:val="20"/>
          <w:color w:val="auto"/>
        </w:rPr>
      </w:pPr>
    </w:p>
    <w:p>
      <w:pPr>
        <w:jc w:val="both"/>
        <w:ind w:left="60" w:right="139" w:firstLine="648"/>
        <w:spacing w:after="0" w:line="28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82"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222"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5" w:lineRule="auto"/>
        <w:rPr>
          <w:sz w:val="20"/>
          <w:szCs w:val="20"/>
          <w:color w:val="auto"/>
        </w:rPr>
      </w:pPr>
      <w:r>
        <w:rPr>
          <w:rFonts w:ascii="Arial" w:cs="Arial" w:eastAsia="Arial" w:hAnsi="Arial"/>
          <w:sz w:val="16"/>
          <w:szCs w:val="16"/>
          <w:color w:val="auto"/>
        </w:rPr>
        <w:t>diagnostic tests with third parties for AYVAKIT in order to identify GIST patients with the PDGFRA D842V mutation, fisogatinib in order to identify HCC patients with FGFR4 pathway activation and pralsetinib in order to identify NSCLC patients with RET fusions.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Given our limited experience in developing and commercializing companion diagnostic tests,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our drugs and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6" w:lineRule="exact"/>
        <w:rPr>
          <w:sz w:val="20"/>
          <w:szCs w:val="20"/>
          <w:color w:val="auto"/>
        </w:rPr>
      </w:pPr>
    </w:p>
    <w:p>
      <w:pPr>
        <w:ind w:left="1380" w:hanging="331"/>
        <w:spacing w:after="0"/>
        <w:tabs>
          <w:tab w:leader="none" w:pos="1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18" w:lineRule="exact"/>
        <w:rPr>
          <w:rFonts w:ascii="Arial" w:cs="Arial" w:eastAsia="Arial" w:hAnsi="Arial"/>
          <w:sz w:val="16"/>
          <w:szCs w:val="16"/>
          <w:color w:val="auto"/>
        </w:rPr>
      </w:pPr>
    </w:p>
    <w:p>
      <w:pPr>
        <w:ind w:left="1380" w:right="6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clearances or approvals;</w:t>
      </w:r>
    </w:p>
    <w:p>
      <w:pPr>
        <w:spacing w:after="0" w:line="170" w:lineRule="exact"/>
        <w:rPr>
          <w:rFonts w:ascii="Arial" w:cs="Arial" w:eastAsia="Arial" w:hAnsi="Arial"/>
          <w:sz w:val="18"/>
          <w:szCs w:val="18"/>
          <w:color w:val="auto"/>
        </w:rPr>
      </w:pPr>
    </w:p>
    <w:p>
      <w:pPr>
        <w:jc w:val="both"/>
        <w:ind w:left="1380" w:right="279" w:hanging="331"/>
        <w:spacing w:after="0" w:line="248"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1380" w:right="31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a companion diagnostic test;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left="60" w:right="159" w:firstLine="648"/>
        <w:spacing w:after="0" w:line="262" w:lineRule="auto"/>
        <w:rPr>
          <w:sz w:val="20"/>
          <w:szCs w:val="20"/>
          <w:color w:val="auto"/>
        </w:rPr>
      </w:pPr>
      <w:r>
        <w:rPr>
          <w:rFonts w:ascii="Arial" w:cs="Arial" w:eastAsia="Arial" w:hAnsi="Arial"/>
          <w:sz w:val="17"/>
          <w:szCs w:val="17"/>
          <w:color w:val="auto"/>
        </w:rPr>
        <w:t>Any delay or failure by us or our collaborators to develop or obtain regulatory clearance or approval of the companion diagnostic tests could delay or prevent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72" w:lineRule="exact"/>
        <w:rPr>
          <w:sz w:val="20"/>
          <w:szCs w:val="20"/>
          <w:color w:val="auto"/>
        </w:rPr>
      </w:pPr>
    </w:p>
    <w:p>
      <w:pPr>
        <w:ind w:left="1380" w:right="199" w:hanging="331"/>
        <w:spacing w:after="0" w:line="261"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our approved drugs and drug candidates may be adversely affected if we are unable to appropriately select patients for enrollment in our clinical trials;</w:t>
      </w:r>
    </w:p>
    <w:p>
      <w:pPr>
        <w:spacing w:after="0" w:line="170"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drug candidates may not receive marketing approval if safe and effective use of a therapeutic drug candidate depends on an in vitro diagnostic;</w:t>
      </w:r>
    </w:p>
    <w:p>
      <w:pPr>
        <w:spacing w:after="0" w:line="170" w:lineRule="exact"/>
        <w:rPr>
          <w:rFonts w:ascii="Arial" w:cs="Arial" w:eastAsia="Arial" w:hAnsi="Arial"/>
          <w:sz w:val="18"/>
          <w:szCs w:val="18"/>
          <w:color w:val="auto"/>
        </w:rPr>
      </w:pPr>
    </w:p>
    <w:p>
      <w:pPr>
        <w:ind w:left="1380" w:right="779" w:hanging="331"/>
        <w:spacing w:after="0" w:line="324" w:lineRule="auto"/>
        <w:tabs>
          <w:tab w:leader="none" w:pos="1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authorities may impose post-marketing requirements regarding the development and commercialization of companion diagnostic tests for our drugs and drug candidates; and</w:t>
      </w:r>
    </w:p>
    <w:p>
      <w:pPr>
        <w:spacing w:after="0" w:line="124" w:lineRule="exact"/>
        <w:rPr>
          <w:rFonts w:ascii="Arial" w:cs="Arial" w:eastAsia="Arial" w:hAnsi="Arial"/>
          <w:sz w:val="16"/>
          <w:szCs w:val="16"/>
          <w:color w:val="auto"/>
        </w:rPr>
      </w:pPr>
    </w:p>
    <w:p>
      <w:pPr>
        <w:ind w:left="1380" w:right="259" w:hanging="331"/>
        <w:spacing w:after="0" w:line="248"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22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252"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2" w:lineRule="auto"/>
        <w:rPr>
          <w:sz w:val="20"/>
          <w:szCs w:val="20"/>
          <w:color w:val="auto"/>
        </w:rPr>
      </w:pPr>
      <w:r>
        <w:rPr>
          <w:rFonts w:ascii="Arial" w:cs="Arial" w:eastAsia="Arial" w:hAnsi="Arial"/>
          <w:sz w:val="16"/>
          <w:szCs w:val="16"/>
          <w:color w:val="auto"/>
        </w:rPr>
        <w:t>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208"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222"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218"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217"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0" w:lineRule="auto"/>
        <w:rPr>
          <w:sz w:val="20"/>
          <w:szCs w:val="20"/>
          <w:color w:val="auto"/>
        </w:rPr>
      </w:pPr>
      <w:r>
        <w:rPr>
          <w:rFonts w:ascii="Arial" w:cs="Arial" w:eastAsia="Arial" w:hAnsi="Arial"/>
          <w:sz w:val="16"/>
          <w:szCs w:val="16"/>
          <w:color w:val="auto"/>
        </w:rPr>
        <w:t>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Healthcare legislative reform measures may have a material adverse effect on our business and results of operations.</w:t>
      </w:r>
    </w:p>
    <w:p>
      <w:pPr>
        <w:spacing w:after="0" w:line="287"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6"/>
          <w:szCs w:val="16"/>
          <w:color w:val="auto"/>
        </w:rPr>
        <w:t>In the U.S.,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(increased to 70% by the Bipartisan Budget Act of 2018, effective January 1, 2019) off negotiated prices of applicable brand drugs to eligible beneficiaries during their coverage gap period, as a condition for the manufacturer’s outpatient drugs to be covered under Medicare Part D.</w:t>
      </w:r>
    </w:p>
    <w:p>
      <w:pPr>
        <w:spacing w:after="0" w:line="195" w:lineRule="exact"/>
        <w:rPr>
          <w:sz w:val="20"/>
          <w:szCs w:val="20"/>
          <w:color w:val="auto"/>
        </w:rPr>
      </w:pPr>
    </w:p>
    <w:p>
      <w:pPr>
        <w:ind w:left="60" w:right="259" w:firstLine="648"/>
        <w:spacing w:after="0" w:line="269" w:lineRule="auto"/>
        <w:rPr>
          <w:sz w:val="20"/>
          <w:szCs w:val="20"/>
          <w:color w:val="auto"/>
        </w:rPr>
      </w:pPr>
      <w:r>
        <w:rPr>
          <w:rFonts w:ascii="Arial" w:cs="Arial" w:eastAsia="Arial" w:hAnsi="Arial"/>
          <w:sz w:val="16"/>
          <w:szCs w:val="16"/>
          <w:color w:val="auto"/>
        </w:rPr>
        <w:t>In addition, other legislative changes have been proposed and adopted in the U.S.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2030 unless additional Congressional action is taken. However, the Medicare sequester reductions under the Budget Control Act of 2011 will be suspended from May 1, 2020 through December 31, 2020 due to the COVID-19 pandemic.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21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and Medicaid Services,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208"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6"/>
          <w:szCs w:val="16"/>
          <w:color w:val="auto"/>
        </w:rPr>
        <w:t>Since its enactment, some of the provisions of the Affordable Care Act have yet to be fully implemented, while certain provisions have been subject to judicial, congressional, and executive challenges. Since January 2017, President Trump has signed two executive orders and other directives designed to delay the implementation of certain provisions of the Affordable Care Act. Concurrently, Congress has considered legislation that would repeal or repeal and replace all or part of the Affordable Care Act. While Congress has not passed repeal legislation to date, it has enacted laws that</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modify certain provisions of the Affordable Care Act. The Tax Cuts and Jobs Act of 2017, or TCJA,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portion of the Affordable Care Act is an essential and inseverable feature of the Affordable Care Act, and therefore because the mandate was repealed as part of the TCJA, the remaining provisions of the Affordable Care Act are invalid as well. On December 18, 2019, the Fifth Circuit U.S. Court of Appeals held that the individual mandate is unconstitutional, and remanded the case to the lower court to reconsider its earlier invalidation of the full Affordable Care Act. On March 2, 2020, the United States Supreme Court granted the petitions for writs of certiorari to review this case, and has allotted one hour for oral arguments, which are expected to occur in the fall. Pending review, the Affordable Care Act remains in effect, but it is unclear at this time what effect the latest ruling will have on the status of the Affordable Care Act. Litigation and legislation over the Affordable Care Act are likely to continue, with unpredictable and uncertain results. We will continue to evaluate the effect that the Affordable Care Act and its possible repeal and replacement has on our business.</w:t>
      </w:r>
    </w:p>
    <w:p>
      <w:pPr>
        <w:spacing w:after="0" w:line="229"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6"/>
          <w:szCs w:val="16"/>
          <w:color w:val="auto"/>
        </w:rPr>
        <w:t xml:space="preserve">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On June 14, 2018, U.S. Court of Appeals for the Federal Circuit ruled that the federal government was not required to pay more than $12 billion in Affordable Care Act risk corridor payments to third-party payors who argued were owed to them. On April 27, 2020, in </w:t>
      </w:r>
      <w:r>
        <w:rPr>
          <w:rFonts w:ascii="Arial" w:cs="Arial" w:eastAsia="Arial" w:hAnsi="Arial"/>
          <w:sz w:val="16"/>
          <w:szCs w:val="16"/>
          <w:i w:val="1"/>
          <w:iCs w:val="1"/>
          <w:color w:val="auto"/>
        </w:rPr>
        <w:t>Moda Health Plan, Inc. v. United States</w:t>
      </w:r>
      <w:r>
        <w:rPr>
          <w:rFonts w:ascii="Arial" w:cs="Arial" w:eastAsia="Arial" w:hAnsi="Arial"/>
          <w:sz w:val="16"/>
          <w:szCs w:val="16"/>
          <w:color w:val="auto"/>
        </w:rPr>
        <w:t xml:space="preserve"> the U.S. Supreme Court reversed the judgment, holding the risk corridors program created a government obligation to pay insurers the full amount set out in the Affordable Care Act and remanded for further preceding. The effects of this gap in reimbursement on third-party payors, the viability of the Affordable Care Act marketplace, providers, and potentially our business, are not yet known.</w:t>
      </w:r>
    </w:p>
    <w:p>
      <w:pPr>
        <w:spacing w:after="0" w:line="20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Moreover, on January 22, 2018, President Trump signed a continuing resolution on appropriations for fiscal year 2018 that delayed the implementation of certain Affordable Care Act-mandated fees, including the so called “Cadillac” tax on certain high cost employer-sponsored insurance plans, the annual fee imposed on certain health insurance providers based on market share. However, on December 20, 2019, President Trump signed into law the Further Consolidated Appropriations Act (H.R. 1865), which repeals the Cadillac tax, the health insurance provider tax, and the medical device excise tax. In December 2018,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In addition, CMS published regulations that would give states greater flexibility in setting benchmarks for insurers in the individual and small group marketplaces, which may have the effect of relaxing the health benefits required under the Affordable Care Act for plans sold through these marketplaces. Congress and the Trump administration will likely continue to consider subsequent legislation and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199"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6"/>
          <w:szCs w:val="16"/>
          <w:color w:val="auto"/>
        </w:rPr>
        <w:t>There has been increasing legislative and enforcement interest in the U.S.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years 2019 and 2020 and the administration’s budget proposal for fiscal year 2021 contain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to increase patient access to lower-cost generic and biosimilar drugs, and to eliminate cost sharing for generic drugs for low-income patients. While some proposed measures may require additional authorization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1" w:lineRule="auto"/>
        <w:rPr>
          <w:sz w:val="20"/>
          <w:szCs w:val="20"/>
          <w:color w:val="auto"/>
        </w:rPr>
      </w:pPr>
      <w:r>
        <w:rPr>
          <w:rFonts w:ascii="Arial" w:cs="Arial" w:eastAsia="Arial" w:hAnsi="Arial"/>
          <w:sz w:val="16"/>
          <w:szCs w:val="16"/>
          <w:color w:val="auto"/>
        </w:rPr>
        <w:t>to become effective, Congress and the Trump administration have each indicated that it will continue to seek new legislative and/or administrative measures to control drug costs. Additionally, on December 18, 2019, President Trump, HHS and FDA issued a notice of proposed rulemaking that, if finalized, would allow for the importation of certain prescription drugs from Canada. FDA also issued a Draft Guidance document outlining a potential pathway for manufacturers to obtain an additional National Drug Code, or NDC, for an FDA-approved drug that was originally intended to be marketed in a foreign country and that was authorized for sale in that foreign country. The regulatory and market implications of the notice of proposed rulemaking and Draft Guidance are unknown at this time, but legislation, regulations or policies allowing the reimportation of drugs, if enacted and implemented, could decrease the price we receive for our products and adversely affect our future revenues and prospects for profitability.</w:t>
      </w:r>
    </w:p>
    <w:p>
      <w:pPr>
        <w:spacing w:after="0" w:line="209" w:lineRule="exact"/>
        <w:rPr>
          <w:sz w:val="20"/>
          <w:szCs w:val="20"/>
          <w:color w:val="auto"/>
        </w:rPr>
      </w:pPr>
    </w:p>
    <w:p>
      <w:pPr>
        <w:ind w:left="60" w:right="59" w:firstLine="648"/>
        <w:spacing w:after="0" w:line="274" w:lineRule="auto"/>
        <w:rPr>
          <w:sz w:val="20"/>
          <w:szCs w:val="20"/>
          <w:color w:val="auto"/>
        </w:rPr>
      </w:pPr>
      <w:r>
        <w:rPr>
          <w:rFonts w:ascii="Arial" w:cs="Arial" w:eastAsia="Arial" w:hAnsi="Arial"/>
          <w:sz w:val="16"/>
          <w:szCs w:val="16"/>
          <w:color w:val="auto"/>
        </w:rPr>
        <w:t>Additionally,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This final rule codified CMS’s policy change that was effective January 1, 2019.</w:t>
      </w:r>
    </w:p>
    <w:p>
      <w:pPr>
        <w:spacing w:after="0" w:line="204" w:lineRule="exact"/>
        <w:rPr>
          <w:sz w:val="20"/>
          <w:szCs w:val="20"/>
          <w:color w:val="auto"/>
        </w:rPr>
      </w:pPr>
    </w:p>
    <w:p>
      <w:pPr>
        <w:ind w:left="60" w:right="419" w:firstLine="648"/>
        <w:spacing w:after="0" w:line="262" w:lineRule="auto"/>
        <w:rPr>
          <w:sz w:val="20"/>
          <w:szCs w:val="20"/>
          <w:color w:val="auto"/>
        </w:rPr>
      </w:pPr>
      <w:r>
        <w:rPr>
          <w:rFonts w:ascii="Arial" w:cs="Arial" w:eastAsia="Arial" w:hAnsi="Arial"/>
          <w:sz w:val="17"/>
          <w:szCs w:val="17"/>
          <w:color w:val="auto"/>
        </w:rPr>
        <w:t>In addition, individual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199"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current and future drugs.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231"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6"/>
          <w:szCs w:val="16"/>
          <w:color w:val="auto"/>
        </w:rPr>
        <w:t>Other legislative measures have also been enacted that may impose additional pricing and product development pressures on our business. For example, on May 30, 2018, the Right to Try Act, was signed into law. Among other things, this law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207"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We are currently unable to predict what additional legislation or regulation, if any, relating to the healthcare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94" w:lineRule="auto"/>
        <w:rPr>
          <w:sz w:val="20"/>
          <w:szCs w:val="20"/>
          <w:color w:val="auto"/>
        </w:rPr>
      </w:pPr>
      <w:r>
        <w:rPr>
          <w:rFonts w:ascii="Arial" w:cs="Arial" w:eastAsia="Arial" w:hAnsi="Arial"/>
          <w:sz w:val="16"/>
          <w:szCs w:val="16"/>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 and we may not be able to generate any revenue.</w:t>
      </w:r>
    </w:p>
    <w:p>
      <w:pPr>
        <w:spacing w:after="0" w:line="188"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7"/>
          <w:szCs w:val="17"/>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16" w:lineRule="exact"/>
        <w:rPr>
          <w:sz w:val="20"/>
          <w:szCs w:val="20"/>
          <w:color w:val="auto"/>
        </w:rPr>
      </w:pPr>
    </w:p>
    <w:p>
      <w:pPr>
        <w:ind w:left="60" w:right="179" w:firstLine="648"/>
        <w:spacing w:after="0" w:line="238" w:lineRule="auto"/>
        <w:rPr>
          <w:sz w:val="20"/>
          <w:szCs w:val="20"/>
          <w:color w:val="auto"/>
        </w:rPr>
      </w:pPr>
      <w:r>
        <w:rPr>
          <w:rFonts w:ascii="Arial" w:cs="Arial" w:eastAsia="Arial" w:hAnsi="Arial"/>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In addition, we may not be successful in entering into arrangements with third parties to sell and market our current and future drugs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18" w:lineRule="exact"/>
        <w:rPr>
          <w:sz w:val="20"/>
          <w:szCs w:val="20"/>
          <w:color w:val="auto"/>
        </w:rPr>
      </w:pPr>
    </w:p>
    <w:p>
      <w:pPr>
        <w:ind w:left="60" w:right="139"/>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70"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of our approved drugs and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drugs and drug candidates for which we obtain marketing approval. Restrictions under applicable federal and state healthcare laws and regulations include, but are not limited to, the following:</w:t>
      </w:r>
    </w:p>
    <w:p>
      <w:pPr>
        <w:spacing w:after="0" w:line="221" w:lineRule="exact"/>
        <w:rPr>
          <w:sz w:val="20"/>
          <w:szCs w:val="20"/>
          <w:color w:val="auto"/>
        </w:rPr>
      </w:pPr>
    </w:p>
    <w:p>
      <w:pPr>
        <w:ind w:left="1380" w:right="239" w:hanging="331"/>
        <w:spacing w:after="0" w:line="276" w:lineRule="auto"/>
        <w:tabs>
          <w:tab w:leader="none" w:pos="1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overtly or covertly,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1" w:lineRule="exact"/>
        <w:rPr>
          <w:rFonts w:ascii="Arial" w:cs="Arial" w:eastAsia="Arial" w:hAnsi="Arial"/>
          <w:sz w:val="16"/>
          <w:szCs w:val="16"/>
          <w:color w:val="auto"/>
        </w:rPr>
      </w:pPr>
    </w:p>
    <w:p>
      <w:pPr>
        <w:ind w:left="1380" w:right="119" w:hanging="331"/>
        <w:spacing w:after="0" w:line="238" w:lineRule="auto"/>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91" w:lineRule="exact"/>
        <w:rPr>
          <w:rFonts w:ascii="Arial" w:cs="Arial" w:eastAsia="Arial" w:hAnsi="Arial"/>
          <w:sz w:val="18"/>
          <w:szCs w:val="18"/>
          <w:color w:val="auto"/>
        </w:rPr>
      </w:pPr>
    </w:p>
    <w:p>
      <w:pPr>
        <w:ind w:left="1380" w:right="339" w:hanging="331"/>
        <w:spacing w:after="0" w:line="294" w:lineRule="auto"/>
        <w:tabs>
          <w:tab w:leader="none" w:pos="1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healthcare benefit program regardless of the payor (e.g., public or private), or knowingly and willfully falsifying, concealing or covering up 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79"/>
        <w:spacing w:after="0" w:line="243" w:lineRule="auto"/>
        <w:rPr>
          <w:sz w:val="20"/>
          <w:szCs w:val="20"/>
          <w:color w:val="auto"/>
        </w:rPr>
      </w:pPr>
      <w:r>
        <w:rPr>
          <w:rFonts w:ascii="Arial" w:cs="Arial" w:eastAsia="Arial" w:hAnsi="Arial"/>
          <w:sz w:val="18"/>
          <w:szCs w:val="18"/>
          <w:color w:val="auto"/>
        </w:rPr>
        <w:t>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8" w:lineRule="exact"/>
        <w:rPr>
          <w:sz w:val="20"/>
          <w:szCs w:val="20"/>
          <w:color w:val="auto"/>
        </w:rPr>
      </w:pPr>
    </w:p>
    <w:p>
      <w:pPr>
        <w:ind w:left="1380" w:right="99" w:hanging="331"/>
        <w:spacing w:after="0" w:line="254"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(as defined by the statute) and their immediate family members. Effective January 1, 2022, these reporting obligations will extend to include transfers of value made to certain non-physician providers such as physician assistants and nurse practitioners;</w:t>
      </w:r>
    </w:p>
    <w:p>
      <w:pPr>
        <w:spacing w:after="0" w:line="180" w:lineRule="exact"/>
        <w:rPr>
          <w:rFonts w:ascii="Arial" w:cs="Arial" w:eastAsia="Arial" w:hAnsi="Arial"/>
          <w:sz w:val="17"/>
          <w:szCs w:val="17"/>
          <w:color w:val="auto"/>
        </w:rPr>
      </w:pPr>
    </w:p>
    <w:p>
      <w:pPr>
        <w:ind w:left="1380" w:right="119" w:hanging="331"/>
        <w:spacing w:after="0" w:line="253" w:lineRule="auto"/>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80" w:lineRule="exact"/>
        <w:rPr>
          <w:rFonts w:ascii="Arial" w:cs="Arial" w:eastAsia="Arial" w:hAnsi="Arial"/>
          <w:sz w:val="17"/>
          <w:szCs w:val="17"/>
          <w:color w:val="auto"/>
        </w:rPr>
      </w:pPr>
    </w:p>
    <w:p>
      <w:pPr>
        <w:ind w:left="1380" w:right="259" w:hanging="331"/>
        <w:spacing w:after="0" w:line="241" w:lineRule="auto"/>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9"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rFonts w:ascii="Arial" w:cs="Arial" w:eastAsia="Arial" w:hAnsi="Arial"/>
          <w:sz w:val="18"/>
          <w:szCs w:val="18"/>
          <w:color w:val="auto"/>
        </w:rPr>
      </w:pPr>
    </w:p>
    <w:p>
      <w:pPr>
        <w:ind w:left="1380" w:right="119" w:hanging="331"/>
        <w:spacing w:after="0" w:line="271"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9"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224" w:lineRule="exact"/>
        <w:rPr>
          <w:sz w:val="20"/>
          <w:szCs w:val="20"/>
          <w:color w:val="auto"/>
        </w:rPr>
      </w:pPr>
    </w:p>
    <w:p>
      <w:pPr>
        <w:ind w:left="60" w:right="459" w:firstLine="648"/>
        <w:spacing w:after="0" w:line="324"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7"/>
          <w:szCs w:val="17"/>
          <w:color w:val="auto"/>
        </w:rPr>
        <w:t>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221"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211"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69" w:lineRule="exact"/>
        <w:rPr>
          <w:sz w:val="20"/>
          <w:szCs w:val="20"/>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11"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different medical practices and customs in foreign countries affecting acceptance in the marketplace;</w:t>
      </w:r>
    </w:p>
    <w:p>
      <w:pPr>
        <w:spacing w:after="0" w:line="234" w:lineRule="exact"/>
        <w:rPr>
          <w:rFonts w:ascii="Arial" w:cs="Arial" w:eastAsia="Arial" w:hAnsi="Arial"/>
          <w:sz w:val="16"/>
          <w:szCs w:val="16"/>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262"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Governments outside the U.S. tend to impose strict price controls, which may adversely affect our revenues, if any.</w:t>
      </w:r>
    </w:p>
    <w:p>
      <w:pPr>
        <w:spacing w:after="0" w:line="275"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221" w:lineRule="exact"/>
        <w:rPr>
          <w:sz w:val="20"/>
          <w:szCs w:val="20"/>
          <w:color w:val="auto"/>
        </w:rPr>
      </w:pPr>
    </w:p>
    <w:p>
      <w:pPr>
        <w:ind w:left="60" w:right="399"/>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2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43" w:lineRule="exact"/>
        <w:rPr>
          <w:sz w:val="20"/>
          <w:szCs w:val="20"/>
          <w:color w:val="auto"/>
        </w:rPr>
      </w:pPr>
    </w:p>
    <w:p>
      <w:pPr>
        <w:ind w:left="60" w:right="99"/>
        <w:spacing w:after="0" w:line="324" w:lineRule="auto"/>
        <w:rPr>
          <w:sz w:val="20"/>
          <w:szCs w:val="20"/>
          <w:color w:val="auto"/>
        </w:rPr>
      </w:pPr>
      <w:r>
        <w:rPr>
          <w:rFonts w:ascii="Arial" w:cs="Arial" w:eastAsia="Arial" w:hAnsi="Arial"/>
          <w:sz w:val="16"/>
          <w:szCs w:val="16"/>
          <w:b w:val="1"/>
          <w:bCs w:val="1"/>
          <w:i w:val="1"/>
          <w:iCs w:val="1"/>
          <w:color w:val="auto"/>
        </w:rPr>
        <w:t>We may seek to establish additional collaborations and licensing arrangements, and, if we are not able to establish them on commercially reasonable terms, we may have to alter our development and commercialization plans.</w:t>
      </w:r>
    </w:p>
    <w:p>
      <w:pPr>
        <w:spacing w:after="0" w:line="165"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Our drug development programs and the commercialization of any of our approved drugs and drug candidates will require substantial additional cash to fund expenses. We may decide to collaborate with additional pharmaceutical and biotechnology companies for the development and commercialization of certain approved drugs or drug candidates or to license the development and commercialization rights of certain approved drugs or drug candidates to third parties.</w:t>
      </w:r>
    </w:p>
    <w:p>
      <w:pPr>
        <w:spacing w:after="0" w:line="196"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6"/>
          <w:szCs w:val="16"/>
          <w:color w:val="auto"/>
        </w:rPr>
        <w:t>We face significant competition in seeking appropriate collaborators and licensing partners. Whether we reach a definitive agreement for a collaboration or license will depend, among other things, upon our assessment of the collaborator’s or licensing partner’s resources and expertise, the terms and conditions of the proposed agreement and the proposed partner’s evaluation of a number of factors. Those factors may include the design or results of clinical trials, the likelihood of approval by the FDA or similar regulatory authorities outside the U.S., the potential market for the subject drug or drug candidate, the costs and complexities of manufacturing and delivering such drug or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or licensing partner may also consider alternative drug candidates or technologies for similar indications that may be available to collaborate on and whether such a collaboration or licensing arrangement could be more attractive than the one with us for our drug candidate. The terms of any additional collaborations, licenses or other arrangements that we may establish may not be favorable to us. We may also be</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4" w:lineRule="auto"/>
        <w:rPr>
          <w:sz w:val="20"/>
          <w:szCs w:val="20"/>
          <w:color w:val="auto"/>
        </w:rPr>
      </w:pPr>
      <w:r>
        <w:rPr>
          <w:rFonts w:ascii="Arial" w:cs="Arial" w:eastAsia="Arial" w:hAnsi="Arial"/>
          <w:sz w:val="16"/>
          <w:szCs w:val="16"/>
          <w:color w:val="auto"/>
        </w:rPr>
        <w:t>restricted under our collaboration agreements with Roche and CStone and our license agreement with Clementia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6" w:lineRule="exact"/>
        <w:rPr>
          <w:sz w:val="20"/>
          <w:szCs w:val="20"/>
          <w:color w:val="auto"/>
        </w:rPr>
      </w:pPr>
    </w:p>
    <w:p>
      <w:pPr>
        <w:ind w:left="60" w:right="319" w:firstLine="648"/>
        <w:spacing w:after="0" w:line="272" w:lineRule="auto"/>
        <w:rPr>
          <w:sz w:val="20"/>
          <w:szCs w:val="20"/>
          <w:color w:val="auto"/>
        </w:rPr>
      </w:pPr>
      <w:r>
        <w:rPr>
          <w:rFonts w:ascii="Arial" w:cs="Arial" w:eastAsia="Arial" w:hAnsi="Arial"/>
          <w:sz w:val="16"/>
          <w:szCs w:val="16"/>
          <w:color w:val="auto"/>
        </w:rPr>
        <w:t>We may not be able to negotiate additional collaborations and licensing arrangements on a timely basis, on acceptable terms or at all. If we are unable to do so, we may have to curtail the development of the drug candidate for which we are seeking to collaborate or license,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208"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6"/>
          <w:szCs w:val="16"/>
          <w:color w:val="auto"/>
        </w:rPr>
        <w:t>In addition, our collaborations with Roche and CStone and our license agreement with Clementia, as well as any future collaborations or licenses that we enter into, may not be successful. The success of these arrangements will depend heavily on the efforts and activities of our collaborators and licensing partners.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Licensors generally have sole discretion in determining the efforts and resources that they will apply to the licensed products. 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agreements with Roche and CStone, our license agreement with Clementia or any future collaboration or license agreement could adversely affect us financially or harm our business reputation.</w:t>
      </w:r>
    </w:p>
    <w:p>
      <w:pPr>
        <w:spacing w:after="0" w:line="202" w:lineRule="exact"/>
        <w:rPr>
          <w:sz w:val="20"/>
          <w:szCs w:val="20"/>
          <w:color w:val="auto"/>
        </w:rPr>
      </w:pPr>
    </w:p>
    <w:p>
      <w:pPr>
        <w:jc w:val="both"/>
        <w:ind w:left="60" w:right="79"/>
        <w:spacing w:after="0" w:line="262" w:lineRule="auto"/>
        <w:rPr>
          <w:sz w:val="20"/>
          <w:szCs w:val="20"/>
          <w:color w:val="auto"/>
        </w:rPr>
      </w:pPr>
      <w:r>
        <w:rPr>
          <w:rFonts w:ascii="Arial" w:cs="Arial" w:eastAsia="Arial" w:hAnsi="Arial"/>
          <w:sz w:val="17"/>
          <w:szCs w:val="17"/>
          <w:b w:val="1"/>
          <w:bCs w:val="1"/>
          <w:i w:val="1"/>
          <w:iCs w:val="1"/>
          <w:color w:val="auto"/>
        </w:rPr>
        <w:t>We rely on third parties to conduct our clinical trials for our approved drugs and drug candidates. If these third parties do not successfully carry out their contractual duties, comply with regulatory requirements or meet expected deadlines, we may not be able to obtain regulatory approval for or commercialize our approved drugs and drug candidates and our business could be substantially harmed.</w:t>
      </w:r>
    </w:p>
    <w:p>
      <w:pPr>
        <w:spacing w:after="0" w:line="213"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22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clinical trials on a government-sponsored database, ClinicalTrials.gov, within certain timeframes. Failure to do so can result in fines, adverse publicity and civil and criminal sanctions.</w:t>
      </w:r>
    </w:p>
    <w:p>
      <w:pPr>
        <w:spacing w:after="0" w:line="21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Although we intend to design the clinical trials for our approved drugs and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216" w:lineRule="exact"/>
        <w:rPr>
          <w:sz w:val="20"/>
          <w:szCs w:val="20"/>
          <w:color w:val="auto"/>
        </w:rPr>
      </w:pPr>
    </w:p>
    <w:p>
      <w:pPr>
        <w:ind w:left="1380" w:hanging="331"/>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39"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22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revenue could be delayed.</w:t>
      </w:r>
    </w:p>
    <w:p>
      <w:pPr>
        <w:spacing w:after="0" w:line="208" w:lineRule="exact"/>
        <w:rPr>
          <w:sz w:val="20"/>
          <w:szCs w:val="20"/>
          <w:color w:val="auto"/>
        </w:rPr>
      </w:pPr>
    </w:p>
    <w:p>
      <w:pPr>
        <w:ind w:left="60" w:right="99"/>
        <w:spacing w:after="0" w:line="284"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clinical trials, and for the manufacture of AYVAKIT for commercialization. This reliance on third parties increases the risk that we will not have sufficient quantities of our drugs or drug candidates or such quantities at an acceptable cost, which could delay, prevent or impair our development or commercialization efforts.</w:t>
      </w:r>
    </w:p>
    <w:p>
      <w:pPr>
        <w:spacing w:after="0" w:line="182"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230"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7"/>
          <w:szCs w:val="17"/>
          <w:color w:val="auto"/>
        </w:rPr>
        <w:t>The facilities used by our contract manufacturers to manufacture our drugs and drug candidates must be approved by the FDA pursuant to inspections that will be conducted after we submit our marketing applications to the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1" w:lineRule="auto"/>
        <w:rPr>
          <w:sz w:val="20"/>
          <w:szCs w:val="20"/>
          <w:color w:val="auto"/>
        </w:rPr>
      </w:pPr>
      <w:r>
        <w:rPr>
          <w:rFonts w:ascii="Arial" w:cs="Arial" w:eastAsia="Arial" w:hAnsi="Arial"/>
          <w:sz w:val="17"/>
          <w:szCs w:val="17"/>
          <w:color w:val="auto"/>
        </w:rPr>
        <w:t>FDA. We do not control the manufacturing process of, and will be completely dependent on, our contract manufacturers for compliance with cGMPs in connection with the manufacture of our drugs and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22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We do not have long-term supply agreements with all of our contract manufacturers, and purchase our required drug supply, including the API, drug product and drug substance used in our drug candidates, on a purchase order basis with certain contract manufacturers.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200" w:lineRule="exact"/>
        <w:rPr>
          <w:sz w:val="20"/>
          <w:szCs w:val="20"/>
          <w:color w:val="auto"/>
        </w:rPr>
      </w:pPr>
    </w:p>
    <w:p>
      <w:pPr>
        <w:ind w:left="1380" w:hanging="331"/>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80" w:right="139" w:hanging="331"/>
        <w:spacing w:after="0" w:line="261"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70"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98" w:lineRule="exact"/>
        <w:rPr>
          <w:sz w:val="20"/>
          <w:szCs w:val="20"/>
          <w:color w:val="auto"/>
        </w:rPr>
      </w:pPr>
    </w:p>
    <w:p>
      <w:pPr>
        <w:ind w:left="60" w:right="99" w:firstLine="648"/>
        <w:spacing w:after="0" w:line="248" w:lineRule="auto"/>
        <w:rPr>
          <w:sz w:val="20"/>
          <w:szCs w:val="20"/>
          <w:color w:val="auto"/>
        </w:rPr>
      </w:pPr>
      <w:r>
        <w:rPr>
          <w:rFonts w:ascii="Arial" w:cs="Arial" w:eastAsia="Arial" w:hAnsi="Arial"/>
          <w:sz w:val="18"/>
          <w:szCs w:val="18"/>
          <w:color w:val="auto"/>
        </w:rPr>
        <w:t>Any of our approved drugs and drug candidates that we may develop may compete with other approved drugs and drug candidates for access to manufacturing facilities. There are a limited number of manufacturers that operate under cGMP regulations and that might be capable of manufacturing for us.</w:t>
      </w:r>
    </w:p>
    <w:p>
      <w:pPr>
        <w:spacing w:after="0" w:line="222"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200"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215" w:lineRule="exact"/>
        <w:rPr>
          <w:sz w:val="20"/>
          <w:szCs w:val="20"/>
          <w:color w:val="auto"/>
        </w:rPr>
      </w:pPr>
    </w:p>
    <w:p>
      <w:pPr>
        <w:ind w:left="60" w:right="379"/>
        <w:spacing w:after="0" w:line="248"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222" w:lineRule="exact"/>
        <w:rPr>
          <w:sz w:val="20"/>
          <w:szCs w:val="20"/>
          <w:color w:val="auto"/>
        </w:rPr>
      </w:pPr>
    </w:p>
    <w:p>
      <w:pPr>
        <w:jc w:val="both"/>
        <w:ind w:left="60" w:right="359" w:firstLine="648"/>
        <w:spacing w:after="0" w:line="294" w:lineRule="auto"/>
        <w:rPr>
          <w:sz w:val="20"/>
          <w:szCs w:val="20"/>
          <w:color w:val="auto"/>
        </w:rPr>
      </w:pPr>
      <w:r>
        <w:rPr>
          <w:rFonts w:ascii="Arial" w:cs="Arial" w:eastAsia="Arial" w:hAnsi="Arial"/>
          <w:sz w:val="16"/>
          <w:szCs w:val="16"/>
          <w:color w:val="auto"/>
        </w:rPr>
        <w:t>The API, drug substance and drug product used in avapritinib and pralsetinib are currently supplied to us from single-source suppliers. Our ability to successfully develop our drug candidates, supply our drug candidates for clinical trials and to ultimately supply our commercial drugs in quantities sufficient to meet the market demand, depends in part</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COVID-19 pandemic, it could significantly and adversely affect our business, the supply of our drug candidates or approved drugs and our financial condition.</w:t>
      </w:r>
    </w:p>
    <w:p>
      <w:pPr>
        <w:spacing w:after="0" w:line="231" w:lineRule="exact"/>
        <w:rPr>
          <w:sz w:val="20"/>
          <w:szCs w:val="20"/>
          <w:color w:val="auto"/>
        </w:rPr>
      </w:pPr>
    </w:p>
    <w:p>
      <w:pPr>
        <w:ind w:left="60" w:right="179" w:firstLine="648"/>
        <w:spacing w:after="0" w:line="253"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substance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We currently have sufficient supply to meet our anticipated global commercial and clinical development needs for avapritinib, pralsetinib, fisogatinib and BLU-263 through 2021. However, the COVID-19 pandemic could adversely impact our suppliers and result in delays or disruptions in our current or future supply chain.</w:t>
      </w:r>
    </w:p>
    <w:p>
      <w:pPr>
        <w:spacing w:after="0" w:line="22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221" w:lineRule="exact"/>
        <w:rPr>
          <w:sz w:val="20"/>
          <w:szCs w:val="20"/>
          <w:color w:val="auto"/>
        </w:rPr>
      </w:pPr>
    </w:p>
    <w:p>
      <w:pPr>
        <w:ind w:left="60" w:right="159"/>
        <w:spacing w:after="0" w:line="262" w:lineRule="auto"/>
        <w:rPr>
          <w:sz w:val="20"/>
          <w:szCs w:val="20"/>
          <w:color w:val="auto"/>
        </w:rPr>
      </w:pPr>
      <w:r>
        <w:rPr>
          <w:rFonts w:ascii="Arial" w:cs="Arial" w:eastAsia="Arial" w:hAnsi="Arial"/>
          <w:sz w:val="17"/>
          <w:szCs w:val="17"/>
          <w:b w:val="1"/>
          <w:bCs w:val="1"/>
          <w:i w:val="1"/>
          <w:iCs w:val="1"/>
          <w:color w:val="auto"/>
        </w:rPr>
        <w:t>Certain of our research and development, clinical trials and manufacturing and supply for certain raw materials used in AYVAKIT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7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have relied on certain third parties located in China to manufacture and supply certain raw materials used in AYVAKIT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recent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6" w:lineRule="exact"/>
        <w:rPr>
          <w:sz w:val="20"/>
          <w:szCs w:val="20"/>
          <w:color w:val="auto"/>
        </w:rPr>
      </w:pPr>
    </w:p>
    <w:p>
      <w:pPr>
        <w:ind w:left="60" w:right="319"/>
        <w:spacing w:after="0" w:line="26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213"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U.S. and other countries for our drugs and drug candidates, including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9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We own patents and patent applications that relate to the composition of matter for avapritinib, pralsetinib, fisogatinib and BLU-263. We also own applications relating to composition of matter for KIT and PDGFRA inhibitors with multiple compound families, composition of matter for FGFR4 inhibitors with multiple compound families, and composition of matter for inhibitors of RET, including predicted RET resistance mutations, as well as methods of use for these novel compounds. The issued U.S. patent directed to avapritinib composition of matter has a statutory expiration date in 2034, the issued U.S. patent directed to pralsetinib composition of matter has a statutory expiration date in 2036, and the issued U.S. patent directed to fisogatinib composition of matter has a statutory expiration date in 2034. Patent term adjustments or patent term extensions could result in later expiration dates.</w:t>
      </w:r>
    </w:p>
    <w:p>
      <w:pPr>
        <w:spacing w:after="0" w:line="221"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7"/>
          <w:szCs w:val="17"/>
          <w:color w:val="auto"/>
        </w:rPr>
        <w:t>As of April 15, 2020, we owned nine issued U.S. patents, 12 issued foreign patents, including one European patent validated in 38 countries, three pending U.S. non-provisional patent applications, six pending U.S. provisional patent applications, three pending PCT international applications and 23 pending foreign patent applications directed to our KIT and PDGFRA program, including avapritinib and BLU-263. The patents that have issued or will issue covering our KIT and PDGFRA program will have a statutory expiration date between 2034 and 2040. Patent term adjustments or patent term extensions could result in later expiration dates for avapritinib or BLU-263.</w:t>
      </w:r>
    </w:p>
    <w:p>
      <w:pPr>
        <w:spacing w:after="0" w:line="216"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As of April 15, 2020, we owned six issued U.S. patents, three pending U.S. non-provisional patent applications, two pending PCT international applications and 30 pending foreign patent applications directed to our RET program, including pralsetinib. The patents that have issued or will issue covering our RET program will have a statutory expiration date between 2036 and 2039. Patent term adjustments or patent term extensions could result in later expiration dates.</w:t>
      </w:r>
    </w:p>
    <w:p>
      <w:pPr>
        <w:spacing w:after="0" w:line="182"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As of April 15, 2020, we owned eight issued U.S. patents, three pending U.S. non-provisional patent applications, one pending PCT international application, 25 issued foreign patents and 28 pending foreign patent applications directed to our FGFR4 program, including fisogatinib. The patents that have issued or will issue covering our FGFR4 program will have a statutory expiration date between 2033 and 2039. Patent term adjustments or patent term extensions could result in later expiration dates.</w:t>
      </w:r>
    </w:p>
    <w:p>
      <w:pPr>
        <w:spacing w:after="0" w:line="230"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April 15, 2020, we owned six issued U.S. patents, seven pending U.S. non-provisional patent applications, six pending European Union patent applications and five issued European patents directed to this technology. Any U.S. or ex-U.S. patent issuing from the pending applications directed to this technology, if issued, will have statutory expiration dates ranging from 2034 to 2035.</w:t>
      </w:r>
    </w:p>
    <w:p>
      <w:pPr>
        <w:spacing w:after="0" w:line="230" w:lineRule="exact"/>
        <w:rPr>
          <w:sz w:val="20"/>
          <w:szCs w:val="20"/>
          <w:color w:val="auto"/>
        </w:rPr>
      </w:pPr>
    </w:p>
    <w:p>
      <w:pPr>
        <w:ind w:left="60" w:right="599" w:firstLine="648"/>
        <w:spacing w:after="0" w:line="29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pralsetinib, fisogatinib or BLU-263.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224"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200" w:lineRule="exact"/>
        <w:rPr>
          <w:sz w:val="20"/>
          <w:szCs w:val="20"/>
          <w:color w:val="auto"/>
        </w:rPr>
      </w:pPr>
    </w:p>
    <w:p>
      <w:pPr>
        <w:spacing w:after="0" w:line="22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9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Arial" w:cs="Arial" w:eastAsia="Arial" w:hAnsi="Arial"/>
          <w:sz w:val="18"/>
          <w:szCs w:val="18"/>
          <w:color w:val="auto"/>
        </w:rPr>
        <w:t>competitor could claim that our patents, if issued, are not valid for a number of reasons. If a court agrees, we would lose our rights to those challenged patents.</w:t>
      </w:r>
    </w:p>
    <w:p>
      <w:pPr>
        <w:spacing w:after="0" w:line="21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23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208"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221" w:lineRule="exact"/>
        <w:rPr>
          <w:sz w:val="20"/>
          <w:szCs w:val="20"/>
          <w:color w:val="auto"/>
        </w:rPr>
      </w:pPr>
    </w:p>
    <w:p>
      <w:pPr>
        <w:ind w:left="60" w:right="69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41"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200" w:lineRule="exact"/>
        <w:rPr>
          <w:sz w:val="20"/>
          <w:szCs w:val="20"/>
          <w:color w:val="auto"/>
        </w:rPr>
      </w:pPr>
    </w:p>
    <w:p>
      <w:pPr>
        <w:spacing w:after="0" w:line="206" w:lineRule="exact"/>
        <w:rPr>
          <w:sz w:val="20"/>
          <w:szCs w:val="20"/>
          <w:color w:val="auto"/>
        </w:rPr>
      </w:pPr>
    </w:p>
    <w:p>
      <w:pPr>
        <w:ind w:left="60" w:right="339" w:firstLine="648"/>
        <w:spacing w:after="0" w:line="324" w:lineRule="auto"/>
        <w:rPr>
          <w:sz w:val="20"/>
          <w:szCs w:val="20"/>
          <w:color w:val="auto"/>
        </w:rPr>
      </w:pPr>
      <w:r>
        <w:rPr>
          <w:rFonts w:ascii="Arial" w:cs="Arial" w:eastAsia="Arial" w:hAnsi="Arial"/>
          <w:sz w:val="16"/>
          <w:szCs w:val="16"/>
          <w:color w:val="auto"/>
        </w:rPr>
        <w:t>Since this area is competitive and of strong interest to pharmaceutical and biotechnology companies, there will likely be additional patent applications filed and additional patents granted in the future, as well as additional research</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4" w:lineRule="auto"/>
        <w:rPr>
          <w:sz w:val="20"/>
          <w:szCs w:val="20"/>
          <w:color w:val="auto"/>
        </w:rPr>
      </w:pPr>
      <w:r>
        <w:rPr>
          <w:rFonts w:ascii="Arial" w:cs="Arial" w:eastAsia="Arial" w:hAnsi="Arial"/>
          <w:sz w:val="16"/>
          <w:szCs w:val="16"/>
          <w:color w:val="auto"/>
        </w:rPr>
        <w:t>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204"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224"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9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21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20"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98"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91" w:lineRule="auto"/>
        <w:rPr>
          <w:sz w:val="20"/>
          <w:szCs w:val="20"/>
          <w:color w:val="auto"/>
        </w:rPr>
      </w:pPr>
      <w:r>
        <w:rPr>
          <w:rFonts w:ascii="Arial" w:cs="Arial" w:eastAsia="Arial" w:hAnsi="Arial"/>
          <w:sz w:val="17"/>
          <w:szCs w:val="17"/>
          <w:color w:val="auto"/>
        </w:rPr>
        <w:t>the price of our common stock. Such litigation or proceedings could substantially increase our operating losses and reduce the resources available for development activities or any future sales, marketing or distribution activities.</w:t>
      </w:r>
    </w:p>
    <w:p>
      <w:pPr>
        <w:spacing w:after="0" w:line="187"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2" w:lineRule="exact"/>
        <w:rPr>
          <w:sz w:val="20"/>
          <w:szCs w:val="20"/>
          <w:color w:val="auto"/>
        </w:rPr>
      </w:pPr>
    </w:p>
    <w:p>
      <w:pPr>
        <w:ind w:left="60" w:right="319"/>
        <w:spacing w:after="0" w:line="270"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1"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drugs or drug candidates, which would have a material adverse effect on our business.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52"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214"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200"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211"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2" w:lineRule="auto"/>
        <w:rPr>
          <w:sz w:val="20"/>
          <w:szCs w:val="20"/>
          <w:color w:val="auto"/>
        </w:rPr>
      </w:pPr>
      <w:r>
        <w:rPr>
          <w:rFonts w:ascii="Arial" w:cs="Arial" w:eastAsia="Arial" w:hAnsi="Arial"/>
          <w:sz w:val="17"/>
          <w:szCs w:val="17"/>
          <w:color w:val="auto"/>
        </w:rPr>
        <w:t>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226"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04" w:lineRule="exact"/>
        <w:rPr>
          <w:sz w:val="20"/>
          <w:szCs w:val="20"/>
          <w:color w:val="auto"/>
        </w:rPr>
      </w:pPr>
    </w:p>
    <w:p>
      <w:pPr>
        <w:ind w:left="60" w:right="71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9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200" w:lineRule="exact"/>
        <w:rPr>
          <w:sz w:val="20"/>
          <w:szCs w:val="20"/>
          <w:color w:val="auto"/>
        </w:rPr>
      </w:pPr>
    </w:p>
    <w:p>
      <w:pPr>
        <w:spacing w:after="0" w:line="22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22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209" w:lineRule="exact"/>
        <w:rPr>
          <w:sz w:val="20"/>
          <w:szCs w:val="20"/>
          <w:color w:val="auto"/>
        </w:rPr>
      </w:pPr>
    </w:p>
    <w:p>
      <w:pPr>
        <w:ind w:left="60" w:right="379" w:firstLine="648"/>
        <w:spacing w:after="0" w:line="294"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1" w:lineRule="auto"/>
        <w:rPr>
          <w:sz w:val="20"/>
          <w:szCs w:val="20"/>
          <w:color w:val="auto"/>
        </w:rPr>
      </w:pPr>
      <w:r>
        <w:rPr>
          <w:rFonts w:ascii="Arial" w:cs="Arial" w:eastAsia="Arial" w:hAnsi="Arial"/>
          <w:sz w:val="17"/>
          <w:szCs w:val="17"/>
          <w:color w:val="auto"/>
        </w:rPr>
        <w:t>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56" w:lineRule="exact"/>
        <w:rPr>
          <w:sz w:val="20"/>
          <w:szCs w:val="20"/>
          <w:color w:val="auto"/>
        </w:rPr>
      </w:pPr>
    </w:p>
    <w:p>
      <w:pPr>
        <w:ind w:left="60" w:right="83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98"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Operating Officer, Michael Landsittel, our Chief Financial Officer, Tracey McCain, our Chief Legal and Compliance Officer, Debra Durso-Bumpus, our Chief People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22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30"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21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As of April 15, 2020, we had 394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215" w:lineRule="exact"/>
        <w:rPr>
          <w:sz w:val="20"/>
          <w:szCs w:val="20"/>
          <w:color w:val="auto"/>
        </w:rPr>
      </w:pPr>
    </w:p>
    <w:p>
      <w:pPr>
        <w:ind w:left="60" w:right="899"/>
        <w:spacing w:after="0" w:line="26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98"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230"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United Kingdom formally left the European Union on January 31, 2020. A transition period began on February 1, 2020, during which European Union pharmaceutical law remains applicable to the United Kingdom. This transition period is due to end on December 31, 2020. These arrangements may be extended beyond 2020 if both the United Kingdom and the EU agree to an extension before the end of June 2020. Due to the current COVID-19 pandemic, negotiations between the United Kingdom and the European Union scheduled for March 2020 were not held and there is an increased likelihood that the transition period may need to be extended beyond December 31, 2020 (although it remains the position of the United Kingdom government that it will not be extended).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drugs and the approval of drug candidates in the United Kingdom. It remains to be seen how, if at all, Brexit will impact regulatory requirements for product candidates and products in the United Kingdom. Given the lack of comparable precedent, it is unclear what financial, trade and legal implications the withdrawal of the United Kingdom from the European Union, especially in the case of a “hard” Brexit, would have and how such withdrawal would affect us.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w:t>
      </w:r>
    </w:p>
    <w:p>
      <w:pPr>
        <w:spacing w:after="0" w:line="21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For example, Brexit could result in the United Kingdom or the European Union significantly altering its regulations affecting the clearance or approval of our drug candidates that are developed in the United Kingdom. Any new regulations could add time and expense to the conduct of our business, as well as the process by which our drug candidates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w:t>
      </w:r>
    </w:p>
    <w:p>
      <w:pPr>
        <w:sectPr>
          <w:pgSz w:w="11900" w:h="16838" w:orient="portrait"/>
          <w:cols w:equalWidth="0" w:num="1">
            <w:col w:w="9019"/>
          </w:cols>
          <w:pgMar w:left="1440" w:top="517" w:right="1440"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48" w:lineRule="auto"/>
        <w:rPr>
          <w:sz w:val="20"/>
          <w:szCs w:val="20"/>
          <w:color w:val="auto"/>
        </w:rPr>
      </w:pPr>
      <w:r>
        <w:rPr>
          <w:rFonts w:ascii="Arial" w:cs="Arial" w:eastAsia="Arial" w:hAnsi="Arial"/>
          <w:sz w:val="18"/>
          <w:szCs w:val="18"/>
          <w:color w:val="auto"/>
        </w:rPr>
        <w:t>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222" w:lineRule="exact"/>
        <w:rPr>
          <w:sz w:val="20"/>
          <w:szCs w:val="20"/>
          <w:color w:val="auto"/>
        </w:rPr>
      </w:pPr>
    </w:p>
    <w:p>
      <w:pPr>
        <w:ind w:left="60" w:right="219"/>
        <w:spacing w:after="0" w:line="362"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41"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95"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228"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217"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19"/>
        <w:spacing w:after="0" w:line="362" w:lineRule="auto"/>
        <w:rPr>
          <w:sz w:val="20"/>
          <w:szCs w:val="20"/>
          <w:color w:val="auto"/>
        </w:rPr>
      </w:pPr>
      <w:r>
        <w:rPr>
          <w:rFonts w:ascii="Arial" w:cs="Arial" w:eastAsia="Arial" w:hAnsi="Arial"/>
          <w:sz w:val="15"/>
          <w:szCs w:val="15"/>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4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209"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99" w:lineRule="exact"/>
        <w:rPr>
          <w:sz w:val="20"/>
          <w:szCs w:val="20"/>
          <w:color w:val="auto"/>
        </w:rPr>
      </w:pPr>
    </w:p>
    <w:p>
      <w:pPr>
        <w:jc w:val="both"/>
        <w:ind w:left="60" w:right="319"/>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88"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will be subject to the California Consumer Privacy Act,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California Attorney General has proposed draft regulations (which have not been finalized to date) and will commence enforcement actions against violators beginning July 1, 2020.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65"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11"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We may acquire or in-license businesses or drugs, or form strategic alliances, in the future, and we may not realize the benefits of such acquisitions.</w:t>
      </w:r>
    </w:p>
    <w:p>
      <w:pPr>
        <w:spacing w:after="0" w:line="198"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7"/>
          <w:szCs w:val="17"/>
          <w:color w:val="auto"/>
        </w:rPr>
        <w:t>We may acquire or in-license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87" w:lineRule="exact"/>
        <w:rPr>
          <w:sz w:val="20"/>
          <w:szCs w:val="20"/>
          <w:color w:val="auto"/>
        </w:rPr>
      </w:pPr>
    </w:p>
    <w:p>
      <w:pPr>
        <w:ind w:left="60" w:right="179" w:firstLine="648"/>
        <w:spacing w:after="0" w:line="239"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218"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For example, on December 22, 2017,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Additionally, on March 27, 2020, President Trump signed into law the “Coronavirus Aid, Relief, and Economic Security Act” or the CARES Act, which included certain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changes in tax law intended to stimulate the U.S. economy in light of the COVID-19 pandemic, including delaying the effective date of the net operating loss restrictions imposed by the TJCA, temporarily relaxing (but not eliminating) the TJCA’s interest deductibility limitations, and making temporary beneficial changes to the payroll tax regime. We continue to examine the impact this tax reform legislation may have on our business. The impact of these and other future changes in tax laws is uncertain and could have an adverse effect on our business, cash flow, financial condition or results of operations.</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39"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color w:val="auto"/>
        </w:rPr>
        <w:t>Our stock price has been and may in the future be subject to substantial volatility. For example, our stock traded within a range of a high price of $109.00 and a low price of $13.04 per share for the period beginning on April 30, 2015, our first day of trading on The Nasdaq Global Select Market, through May 6, 2020. As a result of this volatility, our stockholders could incur substantial losses.</w:t>
      </w:r>
    </w:p>
    <w:p>
      <w:pPr>
        <w:spacing w:after="0" w:line="22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230" w:lineRule="exact"/>
        <w:rPr>
          <w:sz w:val="20"/>
          <w:szCs w:val="20"/>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commercialization of our drugs and drug candidates, if approved;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23" w:lineRule="exact"/>
        <w:rPr>
          <w:rFonts w:ascii="Arial" w:cs="Arial" w:eastAsia="Arial" w:hAnsi="Arial"/>
          <w:sz w:val="17"/>
          <w:szCs w:val="17"/>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80" w:right="1179" w:hanging="331"/>
        <w:spacing w:after="0" w:line="261"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80" w:right="399" w:hanging="331"/>
        <w:spacing w:after="0" w:line="261"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including the COVID-19 pandemic, trade wars, political unrest or other similar events;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Because of the potential volatility of our stock price, we may become the target of securities litigation in the future. If any of our stockholders brought a lawsuit against us, we could incur substantial costs defending the lawsuit. Such a lawsuit could also divert the time and attention of our management.</w:t>
      </w:r>
    </w:p>
    <w:p>
      <w:pPr>
        <w:spacing w:after="0" w:line="204"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211" w:lineRule="exact"/>
        <w:rPr>
          <w:sz w:val="20"/>
          <w:szCs w:val="20"/>
          <w:color w:val="auto"/>
        </w:rPr>
      </w:pPr>
    </w:p>
    <w:p>
      <w:pPr>
        <w:ind w:left="60" w:right="2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216" w:lineRule="exact"/>
        <w:rPr>
          <w:sz w:val="20"/>
          <w:szCs w:val="20"/>
          <w:color w:val="auto"/>
        </w:rPr>
      </w:pPr>
    </w:p>
    <w:p>
      <w:pPr>
        <w:ind w:left="60" w:right="27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7"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204" w:lineRule="exact"/>
        <w:rPr>
          <w:sz w:val="20"/>
          <w:szCs w:val="20"/>
          <w:color w:val="auto"/>
        </w:rPr>
      </w:pPr>
    </w:p>
    <w:p>
      <w:pPr>
        <w:ind w:left="1380" w:hanging="331"/>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pacing w:after="0" w:line="198"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22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211"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1"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2"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21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212" w:lineRule="exact"/>
        <w:rPr>
          <w:sz w:val="20"/>
          <w:szCs w:val="20"/>
          <w:color w:val="auto"/>
        </w:rPr>
      </w:pPr>
    </w:p>
    <w:p>
      <w:pPr>
        <w:ind w:left="60" w:right="319"/>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28"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1" w:lineRule="auto"/>
        <w:rPr>
          <w:sz w:val="20"/>
          <w:szCs w:val="20"/>
          <w:color w:val="auto"/>
        </w:rPr>
      </w:pPr>
      <w:r>
        <w:rPr>
          <w:rFonts w:ascii="Arial" w:cs="Arial" w:eastAsia="Arial" w:hAnsi="Arial"/>
          <w:sz w:val="18"/>
          <w:szCs w:val="18"/>
          <w:color w:val="auto"/>
        </w:rPr>
        <w:t>Moreover, these rules and regulations will increase our legal and financial compliance costs and make some activities more time-consuming and costlier.</w:t>
      </w:r>
    </w:p>
    <w:p>
      <w:pPr>
        <w:spacing w:after="0" w:line="21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22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213" w:lineRule="exact"/>
        <w:rPr>
          <w:sz w:val="20"/>
          <w:szCs w:val="20"/>
          <w:color w:val="auto"/>
        </w:rPr>
      </w:pPr>
    </w:p>
    <w:p>
      <w:pPr>
        <w:ind w:left="60" w:right="879"/>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87"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3"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2019, we had federal net operating loss carryforwards of approximately $802.1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Roche Amendment</w:t>
      </w:r>
    </w:p>
    <w:p>
      <w:pPr>
        <w:spacing w:after="0" w:line="212" w:lineRule="exact"/>
        <w:rPr>
          <w:sz w:val="20"/>
          <w:szCs w:val="20"/>
          <w:color w:val="auto"/>
        </w:rPr>
      </w:pPr>
    </w:p>
    <w:p>
      <w:pPr>
        <w:ind w:left="60" w:right="119" w:firstLine="648"/>
        <w:spacing w:after="0" w:line="284" w:lineRule="auto"/>
        <w:rPr>
          <w:sz w:val="20"/>
          <w:szCs w:val="20"/>
          <w:color w:val="auto"/>
        </w:rPr>
      </w:pPr>
      <w:r>
        <w:rPr>
          <w:rFonts w:ascii="Arial" w:cs="Arial" w:eastAsia="Arial" w:hAnsi="Arial"/>
          <w:sz w:val="16"/>
          <w:szCs w:val="16"/>
          <w:color w:val="auto"/>
        </w:rPr>
        <w:t>On April 30, 2020, we entered into an eighth amendment to our collaboration and license agreement, as amended, with F. Hoffmann-La Roche Ltd and Hoffmann-La Roche Inc., which we refer to collectively as Roche, pursuant to which we and Roche agreed to, among other things, modify certain time periods related to Roche’s option rights for one of the collaboration programs and certain mechanics for deeming such collaboration program as a terminated target.</w:t>
      </w:r>
    </w:p>
    <w:p>
      <w:pPr>
        <w:spacing w:after="0" w:line="155" w:lineRule="exact"/>
        <w:rPr>
          <w:sz w:val="20"/>
          <w:szCs w:val="20"/>
          <w:color w:val="auto"/>
        </w:rPr>
      </w:pPr>
    </w:p>
    <w:p>
      <w:pPr>
        <w:ind w:left="60" w:right="199" w:firstLine="648"/>
        <w:spacing w:after="0" w:line="248" w:lineRule="auto"/>
        <w:rPr>
          <w:sz w:val="20"/>
          <w:szCs w:val="20"/>
          <w:color w:val="auto"/>
        </w:rPr>
      </w:pPr>
      <w:r>
        <w:rPr>
          <w:rFonts w:ascii="Arial" w:cs="Arial" w:eastAsia="Arial" w:hAnsi="Arial"/>
          <w:sz w:val="18"/>
          <w:szCs w:val="18"/>
          <w:color w:val="auto"/>
        </w:rPr>
        <w:t>The foregoing description of the eighth amendment to the collaboration and license agreement with Roche is qualified in its entirety by reference to the complete text of such agreement, a copy of which is attached as Exhibit 10.1 to this Quarterly Report on Form 10-Q.</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Bylaws Amendment</w:t>
      </w:r>
    </w:p>
    <w:p>
      <w:pPr>
        <w:spacing w:after="0" w:line="212"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On April 30, 2020, our board of directors approved an amendment to our amended and restated bylaws. The amendment, which was adopted effective as of April 30, 2020, (1) designates the Court of Chancery of the State of Delaware as the exclusive jurisdiction for (i) any derivative action, (ii) any claim of breach of fiduciary duty, (iii) any claim against a current or former director, officer, employee or stockholder, and (iv) any action against our company governed by the internal affairs doctrine, and (2) designates the United States District Court for the District of Massachusetts as the exclusive jurisdiction for any litigation arising under the Securities Act of 1933, as amended. Our board of directors approved this amendment to our amended and restated bylaws in order to reduce any potential expenses that we may incur in connection with any of the specified types of actions or proceedings if we were required to defend any such potential actions or proceedings in multiple jurisdictions and in parallel proceedings in federal and state courts simultaneously.</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complete copy of our current bylaws, as amended, is attached as Exhibit 3.1 to this Quarterly Report on Form</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10-Q.</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7"/>
          </w:tcPr>
          <w:p>
            <w:pPr>
              <w:ind w:left="26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2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tcBorders>
              <w:bottom w:val="single" w:sz="8" w:color="auto"/>
            </w:tcBorders>
            <w:gridSpan w:val="7"/>
          </w:tcPr>
          <w:p>
            <w:pPr>
              <w:ind w:left="3000"/>
              <w:spacing w:after="0"/>
              <w:rPr>
                <w:sz w:val="20"/>
                <w:szCs w:val="20"/>
                <w:color w:val="auto"/>
              </w:rPr>
            </w:pPr>
            <w:r>
              <w:rPr>
                <w:rFonts w:ascii="Arial" w:cs="Arial" w:eastAsia="Arial" w:hAnsi="Arial"/>
                <w:sz w:val="18"/>
                <w:szCs w:val="18"/>
                <w:b w:val="1"/>
                <w:bCs w:val="1"/>
                <w:color w:val="auto"/>
              </w:rPr>
              <w:t>Description of Exhibit</w:t>
            </w:r>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720" w:type="dxa"/>
            <w:vAlign w:val="bottom"/>
            <w:gridSpan w:val="7"/>
          </w:tcPr>
          <w:p>
            <w:pPr>
              <w:spacing w:after="0"/>
              <w:rPr>
                <w:rFonts w:ascii="Arial" w:cs="Arial" w:eastAsia="Arial" w:hAnsi="Arial"/>
                <w:sz w:val="18"/>
                <w:szCs w:val="18"/>
                <w:u w:val="single" w:color="auto"/>
                <w:color w:val="0000EE"/>
                <w:w w:val="97"/>
              </w:rPr>
            </w:pPr>
            <w:hyperlink w:anchor="page94">
              <w:r>
                <w:rPr>
                  <w:rFonts w:ascii="Arial" w:cs="Arial" w:eastAsia="Arial" w:hAnsi="Arial"/>
                  <w:sz w:val="18"/>
                  <w:szCs w:val="18"/>
                  <w:u w:val="single" w:color="auto"/>
                  <w:color w:val="0000EE"/>
                  <w:w w:val="97"/>
                </w:rPr>
                <w:t>Amended and Restated Bylaws, as amended on April 30, 2020, of Blueprint Medicines Corporation</w:t>
              </w:r>
            </w:hyperlink>
          </w:p>
        </w:tc>
      </w:tr>
      <w:tr>
        <w:trPr>
          <w:trHeight w:val="350"/>
        </w:trPr>
        <w:tc>
          <w:tcPr>
            <w:tcW w:w="860" w:type="dxa"/>
            <w:vAlign w:val="bottom"/>
            <w:gridSpan w:val="2"/>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740" w:type="dxa"/>
            <w:vAlign w:val="bottom"/>
            <w:gridSpan w:val="8"/>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Eighth Amendment to Collaboration and License Agreement, effective April 30, 2020, by and among F.</w:t>
              </w:r>
            </w:hyperlink>
          </w:p>
        </w:tc>
      </w:tr>
      <w:tr>
        <w:trPr>
          <w:trHeight w:val="224"/>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0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Hoffmann-La Roche Ltd, Hoffmann-La Roche Inc. and Blueprint Medicines Corporation</w:t>
              </w:r>
            </w:hyperlink>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3"/>
                <w:szCs w:val="23"/>
                <w:color w:val="auto"/>
              </w:rPr>
            </w:pPr>
          </w:p>
        </w:tc>
        <w:tc>
          <w:tcPr>
            <w:tcW w:w="7740" w:type="dxa"/>
            <w:vAlign w:val="bottom"/>
            <w:gridSpan w:val="8"/>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Certification of Principal Executive Officer pursuant to Rule 13a-14(a) or Rule 15d-14(a) of the Exchange</w:t>
              </w:r>
            </w:hyperlink>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13">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860" w:type="dxa"/>
            <w:vAlign w:val="bottom"/>
            <w:gridSpan w:val="2"/>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740" w:type="dxa"/>
            <w:vAlign w:val="bottom"/>
            <w:gridSpan w:val="8"/>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Certification of Principal Financial Officer pursuant to Rule 13a-14(a) or Rule 15d-14(a) of the Exchange</w:t>
              </w:r>
            </w:hyperlink>
          </w:p>
        </w:tc>
      </w:tr>
      <w:tr>
        <w:trPr>
          <w:trHeight w:val="183"/>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14">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860" w:type="dxa"/>
            <w:vAlign w:val="bottom"/>
            <w:gridSpan w:val="2"/>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6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5">
              <w:r>
                <w:rPr>
                  <w:rFonts w:ascii="Arial" w:cs="Arial" w:eastAsia="Arial" w:hAnsi="Arial"/>
                  <w:sz w:val="18"/>
                  <w:szCs w:val="18"/>
                  <w:color w:val="0000EE"/>
                  <w:w w:val="92"/>
                </w:rPr>
                <w:t>Certifications of Principal Executive Officer and Principal Financial Officer pursuant to 18 U.S.C. Section</w:t>
              </w:r>
            </w:hyperlink>
          </w:p>
        </w:tc>
        <w:tc>
          <w:tcPr>
            <w:tcW w:w="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740" w:type="dxa"/>
            <w:vAlign w:val="bottom"/>
            <w:gridSpan w:val="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1350, as adopted pursuant to Section 906 of the Sarbanes-Oxley Act of 2002</w:t>
              </w:r>
            </w:hyperlink>
          </w:p>
        </w:tc>
      </w:tr>
      <w:tr>
        <w:trPr>
          <w:trHeight w:val="20"/>
        </w:trPr>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r>
      <w:tr>
        <w:trPr>
          <w:trHeight w:val="317"/>
        </w:trPr>
        <w:tc>
          <w:tcPr>
            <w:tcW w:w="8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7740" w:type="dxa"/>
            <w:vAlign w:val="bottom"/>
            <w:gridSpan w:val="8"/>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w:t>
            </w: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40" w:type="dxa"/>
            <w:vAlign w:val="bottom"/>
            <w:gridSpan w:val="8"/>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310"/>
        </w:trPr>
        <w:tc>
          <w:tcPr>
            <w:tcW w:w="8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77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77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8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77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8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77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8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77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sz w:val="20"/>
          <w:szCs w:val="20"/>
          <w:color w:val="auto"/>
        </w:rPr>
      </w:pPr>
    </w:p>
    <w:p>
      <w:pPr>
        <w:ind w:left="1160" w:right="339" w:hanging="1104"/>
        <w:spacing w:after="0" w:line="277" w:lineRule="auto"/>
        <w:tabs>
          <w:tab w:leader="none" w:pos="11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0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-198755</wp:posOffset>
            </wp:positionV>
            <wp:extent cx="14141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84" w:lineRule="exact"/>
        <w:rPr>
          <w:sz w:val="20"/>
          <w:szCs w:val="20"/>
          <w:color w:val="auto"/>
        </w:rPr>
      </w:pPr>
    </w:p>
    <w:p>
      <w:pPr>
        <w:ind w:left="300" w:right="499" w:hanging="250"/>
        <w:spacing w:after="0" w:line="291" w:lineRule="auto"/>
        <w:tabs>
          <w:tab w:leader="none" w:pos="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portions of the exhibit have been omitted pursuant to Regulation S-K Item 601(b) because it is both (i) not material to investors and (ii) likely to cause competitive harm to the Company if publicly disclosed.</w:t>
      </w:r>
    </w:p>
    <w:p>
      <w:pPr>
        <w:spacing w:after="0" w:line="39" w:lineRule="exact"/>
        <w:rPr>
          <w:sz w:val="20"/>
          <w:szCs w:val="20"/>
          <w:color w:val="auto"/>
        </w:rPr>
      </w:pPr>
    </w:p>
    <w:p>
      <w:pPr>
        <w:ind w:left="300" w:right="119" w:hanging="250"/>
        <w:spacing w:after="0" w:line="262" w:lineRule="auto"/>
        <w:tabs>
          <w:tab w:leader="none" w:pos="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60" w:right="279" w:firstLine="441"/>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Landsittel</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jc w:val="right"/>
        <w:ind w:right="219"/>
        <w:spacing w:after="0"/>
        <w:rPr>
          <w:sz w:val="20"/>
          <w:szCs w:val="20"/>
          <w:color w:val="auto"/>
        </w:rPr>
      </w:pPr>
      <w:r>
        <w:rPr>
          <w:rFonts w:ascii="Arial" w:cs="Arial" w:eastAsia="Arial" w:hAnsi="Arial"/>
          <w:sz w:val="18"/>
          <w:szCs w:val="18"/>
          <w:b w:val="1"/>
          <w:bCs w:val="1"/>
          <w:color w:val="auto"/>
        </w:rPr>
        <w:t>Exhibit 3.1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“Corporation”)</w:t>
      </w:r>
    </w:p>
    <w:p>
      <w:pPr>
        <w:spacing w:after="0" w:line="200" w:lineRule="exact"/>
        <w:rPr>
          <w:sz w:val="20"/>
          <w:szCs w:val="20"/>
          <w:color w:val="auto"/>
        </w:rPr>
      </w:pPr>
    </w:p>
    <w:p>
      <w:pPr>
        <w:spacing w:after="0" w:line="255" w:lineRule="exact"/>
        <w:rPr>
          <w:sz w:val="20"/>
          <w:szCs w:val="20"/>
          <w:color w:val="auto"/>
        </w:rPr>
      </w:pPr>
    </w:p>
    <w:p>
      <w:pPr>
        <w:ind w:left="4080"/>
        <w:spacing w:after="0"/>
        <w:rPr>
          <w:sz w:val="20"/>
          <w:szCs w:val="20"/>
          <w:color w:val="auto"/>
        </w:rPr>
      </w:pPr>
      <w:r>
        <w:rPr>
          <w:rFonts w:ascii="Arial" w:cs="Arial" w:eastAsia="Arial" w:hAnsi="Arial"/>
          <w:sz w:val="18"/>
          <w:szCs w:val="18"/>
          <w:u w:val="single" w:color="auto"/>
          <w:color w:val="auto"/>
        </w:rPr>
        <w:t>ARTICLE I</w:t>
      </w:r>
    </w:p>
    <w:p>
      <w:pPr>
        <w:spacing w:after="0" w:line="131"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Stockholders</w:t>
      </w:r>
    </w:p>
    <w:p>
      <w:pPr>
        <w:spacing w:after="0" w:line="117" w:lineRule="exact"/>
        <w:rPr>
          <w:sz w:val="20"/>
          <w:szCs w:val="20"/>
          <w:color w:val="auto"/>
        </w:rPr>
      </w:pPr>
    </w:p>
    <w:p>
      <w:pPr>
        <w:ind w:left="200" w:right="339" w:firstLine="648"/>
        <w:spacing w:after="0" w:line="23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stockholders (any such meeting being referred to in these Bylaws as an “Annual Meeting”) shall be held at the hour, date and place within or without the United States which is fixed by the Corporation’s Board of Directors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1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31" w:lineRule="exact"/>
        <w:rPr>
          <w:sz w:val="20"/>
          <w:szCs w:val="20"/>
          <w:color w:val="auto"/>
        </w:rPr>
      </w:pPr>
    </w:p>
    <w:p>
      <w:pPr>
        <w:ind w:left="1100" w:hanging="243"/>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Annual Meetings of Stockholders.</w:t>
      </w:r>
    </w:p>
    <w:p>
      <w:pPr>
        <w:spacing w:after="0" w:line="117" w:lineRule="exact"/>
        <w:rPr>
          <w:rFonts w:ascii="Arial" w:cs="Arial" w:eastAsia="Arial" w:hAnsi="Arial"/>
          <w:sz w:val="18"/>
          <w:szCs w:val="18"/>
          <w:color w:val="auto"/>
        </w:rPr>
      </w:pPr>
    </w:p>
    <w:p>
      <w:pPr>
        <w:ind w:left="860" w:right="239" w:firstLine="645"/>
        <w:spacing w:after="0" w:line="251" w:lineRule="auto"/>
        <w:tabs>
          <w:tab w:leader="none" w:pos="1763" w:val="left"/>
        </w:tabs>
        <w:numPr>
          <w:ilvl w:val="1"/>
          <w:numId w:val="43"/>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these Bylaws, who is entitled to vote at the meeting, who is present (in person or by proxy) at the meeting and who complies with the notice procedures set forth in these Bylaws as to such nomination or business. For the avoidance of doubt, the foregoing clause (ii) shall be the exclusive means for a stockholder to bring nominations or business properly before an Annual Meeting (other than matters properly brought under Rule 14a-8 or Rule 14a-11 (or any successor rules) under the Securities Exchange Act of 1934, as amended (the “Exchange Act”)), and such stockholder must comply with the notice and other procedures set forth in Article I, Section 2(a)(2) and (3) of these Bylaws to bring such nominations or business properly before an Annual Meeting. In addition to the other requirements set forth in these Bylaws, for any proposal of business to be considered at an Annual Meeting, it must be a proper subject for action by stockholders of the Corporation under Delaware law.</w:t>
      </w:r>
    </w:p>
    <w:p>
      <w:pPr>
        <w:spacing w:after="0" w:line="104" w:lineRule="exact"/>
        <w:rPr>
          <w:rFonts w:ascii="Arial" w:cs="Arial" w:eastAsia="Arial" w:hAnsi="Arial"/>
          <w:sz w:val="16"/>
          <w:szCs w:val="16"/>
          <w:color w:val="auto"/>
        </w:rPr>
      </w:pPr>
    </w:p>
    <w:p>
      <w:pPr>
        <w:ind w:left="860" w:right="319" w:firstLine="645"/>
        <w:spacing w:after="0" w:line="251" w:lineRule="auto"/>
        <w:tabs>
          <w:tab w:leader="none" w:pos="1763" w:val="left"/>
        </w:tabs>
        <w:numPr>
          <w:ilvl w:val="1"/>
          <w:numId w:val="43"/>
        </w:numPr>
        <w:rPr>
          <w:rFonts w:ascii="Arial" w:cs="Arial" w:eastAsia="Arial" w:hAnsi="Arial"/>
          <w:sz w:val="16"/>
          <w:szCs w:val="16"/>
          <w:color w:val="auto"/>
        </w:rPr>
      </w:pPr>
      <w:r>
        <w:rPr>
          <w:rFonts w:ascii="Arial" w:cs="Arial" w:eastAsia="Arial" w:hAnsi="Arial"/>
          <w:sz w:val="16"/>
          <w:szCs w:val="16"/>
          <w:color w:val="auto"/>
        </w:rPr>
        <w:t>For nominations or other business to be properly brought before an Annual Meeting by a stockholder pursuant to clause (ii) of Article I, Section 2(a)(1) of these Bylaws, the stockholder must (i) have given Timely Notice (as defined below) thereof in writing to the Secretary of the Corporation, (ii) have provided any updates or supplements to such notice at the times and in the forms required by these Bylaws and (iii) together with the beneficial owner(s), if any, on whose behalf the nomination or business proposal is made, have acted in accordance with the representations set forth in the Solicitation Statement (as defined below) required by these Bylaws.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589280</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4" w:name="page95"/>
    <w:bookmarkEnd w:id="94"/>
    <w:p>
      <w:pPr>
        <w:ind w:left="860" w:right="259"/>
        <w:spacing w:after="0" w:line="237" w:lineRule="auto"/>
        <w:rPr>
          <w:sz w:val="20"/>
          <w:szCs w:val="20"/>
          <w:color w:val="auto"/>
        </w:rPr>
      </w:pPr>
      <w:r>
        <w:rPr>
          <w:rFonts w:ascii="Arial" w:cs="Arial" w:eastAsia="Arial" w:hAnsi="Arial"/>
          <w:sz w:val="17"/>
          <w:szCs w:val="17"/>
          <w:color w:val="auto"/>
        </w:rPr>
        <w:t>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12" w:lineRule="exact"/>
        <w:rPr>
          <w:sz w:val="20"/>
          <w:szCs w:val="20"/>
          <w:color w:val="auto"/>
        </w:rPr>
      </w:pPr>
    </w:p>
    <w:p>
      <w:pPr>
        <w:jc w:val="both"/>
        <w:ind w:left="1500" w:right="259" w:firstLine="653"/>
        <w:spacing w:after="0" w:line="261" w:lineRule="auto"/>
        <w:tabs>
          <w:tab w:leader="none" w:pos="2443" w:val="left"/>
        </w:tabs>
        <w:numPr>
          <w:ilvl w:val="1"/>
          <w:numId w:val="44"/>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79" w:lineRule="exact"/>
        <w:rPr>
          <w:rFonts w:ascii="Arial" w:cs="Arial" w:eastAsia="Arial" w:hAnsi="Arial"/>
          <w:sz w:val="16"/>
          <w:szCs w:val="16"/>
          <w:color w:val="auto"/>
        </w:rPr>
      </w:pPr>
    </w:p>
    <w:p>
      <w:pPr>
        <w:ind w:left="1500" w:right="259" w:firstLine="653"/>
        <w:spacing w:after="0" w:line="231" w:lineRule="auto"/>
        <w:tabs>
          <w:tab w:leader="none" w:pos="243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107" w:lineRule="exact"/>
        <w:rPr>
          <w:rFonts w:ascii="Arial" w:cs="Arial" w:eastAsia="Arial" w:hAnsi="Arial"/>
          <w:sz w:val="18"/>
          <w:szCs w:val="18"/>
          <w:color w:val="auto"/>
        </w:rPr>
      </w:pPr>
    </w:p>
    <w:p>
      <w:pPr>
        <w:ind w:left="1500" w:right="239" w:firstLine="653"/>
        <w:spacing w:after="0" w:line="247" w:lineRule="auto"/>
        <w:tabs>
          <w:tab w:leader="none" w:pos="2433" w:val="left"/>
        </w:tabs>
        <w:numPr>
          <w:ilvl w:val="1"/>
          <w:numId w:val="44"/>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w:t>
      </w:r>
    </w:p>
    <w:p>
      <w:pPr>
        <w:spacing w:after="0" w:line="10" w:lineRule="exact"/>
        <w:rPr>
          <w:rFonts w:ascii="Arial" w:cs="Arial" w:eastAsia="Arial" w:hAnsi="Arial"/>
          <w:sz w:val="16"/>
          <w:szCs w:val="16"/>
          <w:color w:val="auto"/>
        </w:rPr>
      </w:pPr>
    </w:p>
    <w:p>
      <w:pPr>
        <w:ind w:left="1500" w:right="219" w:firstLine="5"/>
        <w:spacing w:after="0" w:line="249" w:lineRule="auto"/>
        <w:tabs>
          <w:tab w:leader="none" w:pos="174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591820</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95" w:name="page96"/>
    <w:bookmarkEnd w:id="95"/>
    <w:p>
      <w:pPr>
        <w:ind w:left="1500" w:right="659"/>
        <w:spacing w:after="0" w:line="274" w:lineRule="auto"/>
        <w:rPr>
          <w:sz w:val="20"/>
          <w:szCs w:val="20"/>
          <w:color w:val="auto"/>
        </w:rPr>
      </w:pPr>
      <w:r>
        <w:rPr>
          <w:rFonts w:ascii="Arial" w:cs="Arial" w:eastAsia="Arial" w:hAnsi="Arial"/>
          <w:sz w:val="17"/>
          <w:szCs w:val="17"/>
          <w:color w:val="auto"/>
        </w:rPr>
        <w:t>affiliates or associates with any other person for the purpose of acquiring, holding, disposing or voting of any shares of any class or series of capital stock of the Corporation;</w:t>
      </w:r>
    </w:p>
    <w:p>
      <w:pPr>
        <w:spacing w:after="0" w:line="80" w:lineRule="exact"/>
        <w:rPr>
          <w:sz w:val="20"/>
          <w:szCs w:val="20"/>
          <w:color w:val="auto"/>
        </w:rPr>
      </w:pPr>
    </w:p>
    <w:p>
      <w:pPr>
        <w:ind w:left="1500" w:right="299" w:firstLine="653"/>
        <w:spacing w:after="0" w:line="254" w:lineRule="auto"/>
        <w:tabs>
          <w:tab w:leader="none" w:pos="2443"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83" w:lineRule="exact"/>
        <w:rPr>
          <w:rFonts w:ascii="Arial" w:cs="Arial" w:eastAsia="Arial" w:hAnsi="Arial"/>
          <w:sz w:val="16"/>
          <w:szCs w:val="16"/>
          <w:color w:val="auto"/>
        </w:rPr>
      </w:pPr>
    </w:p>
    <w:p>
      <w:pPr>
        <w:ind w:left="1500" w:right="299" w:firstLine="653"/>
        <w:spacing w:after="0" w:line="225" w:lineRule="auto"/>
        <w:tabs>
          <w:tab w:leader="none" w:pos="242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10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For purposes of this Article I of these Bylaws, the term “Proposing Person” shall mean the following persons:</w:t>
      </w:r>
    </w:p>
    <w:p>
      <w:pPr>
        <w:spacing w:after="0" w:line="21" w:lineRule="exact"/>
        <w:rPr>
          <w:sz w:val="20"/>
          <w:szCs w:val="20"/>
          <w:color w:val="auto"/>
        </w:rPr>
      </w:pPr>
    </w:p>
    <w:p>
      <w:pPr>
        <w:ind w:left="200" w:right="259" w:firstLine="9"/>
        <w:spacing w:after="0" w:line="234" w:lineRule="auto"/>
        <w:tabs>
          <w:tab w:leader="none" w:pos="4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08" w:lineRule="exact"/>
        <w:rPr>
          <w:rFonts w:ascii="Arial" w:cs="Arial" w:eastAsia="Arial" w:hAnsi="Arial"/>
          <w:sz w:val="17"/>
          <w:szCs w:val="17"/>
          <w:color w:val="auto"/>
        </w:rPr>
      </w:pPr>
    </w:p>
    <w:p>
      <w:pPr>
        <w:ind w:left="860" w:right="219" w:firstLine="645"/>
        <w:spacing w:after="0" w:line="253" w:lineRule="auto"/>
        <w:tabs>
          <w:tab w:leader="none" w:pos="1763" w:val="left"/>
        </w:tabs>
        <w:numPr>
          <w:ilvl w:val="1"/>
          <w:numId w:val="47"/>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these Bylaws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85" w:lineRule="exact"/>
        <w:rPr>
          <w:rFonts w:ascii="Arial" w:cs="Arial" w:eastAsia="Arial" w:hAnsi="Arial"/>
          <w:sz w:val="16"/>
          <w:szCs w:val="16"/>
          <w:color w:val="auto"/>
        </w:rPr>
      </w:pPr>
    </w:p>
    <w:p>
      <w:pPr>
        <w:jc w:val="both"/>
        <w:ind w:left="860" w:right="319" w:firstLine="645"/>
        <w:spacing w:after="0" w:line="276" w:lineRule="auto"/>
        <w:tabs>
          <w:tab w:leader="none" w:pos="1763" w:val="left"/>
        </w:tabs>
        <w:numPr>
          <w:ilvl w:val="1"/>
          <w:numId w:val="47"/>
        </w:numPr>
        <w:rPr>
          <w:rFonts w:ascii="Arial" w:cs="Arial" w:eastAsia="Arial" w:hAnsi="Arial"/>
          <w:sz w:val="16"/>
          <w:szCs w:val="16"/>
          <w:color w:val="auto"/>
        </w:rPr>
      </w:pPr>
      <w:r>
        <w:rPr>
          <w:rFonts w:ascii="Arial" w:cs="Arial" w:eastAsia="Arial" w:hAnsi="Arial"/>
          <w:sz w:val="16"/>
          <w:szCs w:val="16"/>
          <w:color w:val="auto"/>
        </w:rPr>
        <w:t>Notwithstanding anything in the second sentence of Article I, Section 2(a)(2) of these Bylaws to the contrary, in the event that the number of directors to be elected to the Board of Directors is increased and there is no public announcement naming all of the nominees for director or specifying the size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574675</wp:posOffset>
            </wp:positionV>
            <wp:extent cx="545211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96" w:name="page97"/>
    <w:bookmarkEnd w:id="96"/>
    <w:p>
      <w:pPr>
        <w:ind w:left="860" w:right="339"/>
        <w:spacing w:after="0" w:line="227" w:lineRule="auto"/>
        <w:rPr>
          <w:sz w:val="20"/>
          <w:szCs w:val="20"/>
          <w:color w:val="auto"/>
        </w:rPr>
      </w:pPr>
      <w:r>
        <w:rPr>
          <w:rFonts w:ascii="Arial" w:cs="Arial" w:eastAsia="Arial" w:hAnsi="Arial"/>
          <w:sz w:val="18"/>
          <w:szCs w:val="18"/>
          <w:color w:val="auto"/>
        </w:rPr>
        <w:t>increased Board of Directors made by the Corporation at least ten (10) days before the last day a stockholder may deliver a notice of nomination in accordance with the second sentence of Article I, Section 2(a)(2), a stockholder’s notice required by these Bylaws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08" w:lineRule="exact"/>
        <w:rPr>
          <w:sz w:val="20"/>
          <w:szCs w:val="20"/>
          <w:color w:val="auto"/>
        </w:rPr>
      </w:pPr>
    </w:p>
    <w:p>
      <w:pPr>
        <w:ind w:left="1120" w:hanging="263"/>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60" w:right="219" w:firstLine="645"/>
        <w:spacing w:after="0" w:line="235" w:lineRule="auto"/>
        <w:tabs>
          <w:tab w:leader="none" w:pos="1763" w:val="left"/>
        </w:tabs>
        <w:numPr>
          <w:ilvl w:val="1"/>
          <w:numId w:val="48"/>
        </w:numPr>
        <w:rPr>
          <w:rFonts w:ascii="Arial" w:cs="Arial" w:eastAsia="Arial" w:hAnsi="Arial"/>
          <w:sz w:val="17"/>
          <w:szCs w:val="17"/>
          <w:color w:val="auto"/>
        </w:rPr>
      </w:pPr>
      <w:r>
        <w:rPr>
          <w:rFonts w:ascii="Arial" w:cs="Arial" w:eastAsia="Arial" w:hAnsi="Arial"/>
          <w:sz w:val="17"/>
          <w:szCs w:val="17"/>
          <w:color w:val="auto"/>
        </w:rPr>
        <w:t>Only such persons who are nominated in accordance with the provisions of these Bylaws or in accordance with Rule 14a-11 under the Exchange Act shall be eligible for election and to serve as directors and only such business shall be conducted at an Annual Meeting as shall have been brought before the meeting in accordance with the provisions of these Bylaws or in accordance with Rule 14a-8 under the Exchange Act. The Board of Directors or a designated committee thereof shall have the power to determine whether a nomination or any business proposed to be brought before the meeting was made in accordance with the provisions of these Bylaws. If neither the Board of Directors nor such designated committee makes a determination as to whether any stockholder proposal or nomination was made in accordance with the provisions of these Bylaws, the presiding officer of the Annual Meeting shall have the power and duty to determine whether the stockholder proposal or nomination was made in accordance with the provisions of these Bylaws. If the Board of Directors or a designated committee thereof or the presiding officer, as applicable, determines that any stockholder proposal or nomination was not made in accordance with the provisions of these Bylaws, such proposal or nomination shall be disregarded and shall not be presented for action at the Annual Meeting.</w:t>
      </w:r>
    </w:p>
    <w:p>
      <w:pPr>
        <w:spacing w:after="0" w:line="114" w:lineRule="exact"/>
        <w:rPr>
          <w:rFonts w:ascii="Arial" w:cs="Arial" w:eastAsia="Arial" w:hAnsi="Arial"/>
          <w:sz w:val="17"/>
          <w:szCs w:val="17"/>
          <w:color w:val="auto"/>
        </w:rPr>
      </w:pPr>
    </w:p>
    <w:p>
      <w:pPr>
        <w:ind w:left="860" w:right="219" w:firstLine="645"/>
        <w:spacing w:after="0" w:line="231" w:lineRule="auto"/>
        <w:tabs>
          <w:tab w:leader="none" w:pos="17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07" w:lineRule="exact"/>
        <w:rPr>
          <w:rFonts w:ascii="Arial" w:cs="Arial" w:eastAsia="Arial" w:hAnsi="Arial"/>
          <w:sz w:val="18"/>
          <w:szCs w:val="18"/>
          <w:color w:val="auto"/>
        </w:rPr>
      </w:pPr>
    </w:p>
    <w:p>
      <w:pPr>
        <w:ind w:left="860" w:right="219" w:firstLine="645"/>
        <w:spacing w:after="0" w:line="254" w:lineRule="auto"/>
        <w:tabs>
          <w:tab w:leader="none" w:pos="1763"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83" w:lineRule="exact"/>
        <w:rPr>
          <w:rFonts w:ascii="Arial" w:cs="Arial" w:eastAsia="Arial" w:hAnsi="Arial"/>
          <w:sz w:val="16"/>
          <w:szCs w:val="16"/>
          <w:color w:val="auto"/>
        </w:rPr>
      </w:pPr>
    </w:p>
    <w:p>
      <w:pPr>
        <w:ind w:left="860" w:right="479" w:firstLine="645"/>
        <w:spacing w:after="0" w:line="231" w:lineRule="auto"/>
        <w:tabs>
          <w:tab w:leader="none" w:pos="1763" w:val="left"/>
        </w:tabs>
        <w:numPr>
          <w:ilvl w:val="1"/>
          <w:numId w:val="48"/>
        </w:numPr>
        <w:rPr>
          <w:rFonts w:ascii="Arial" w:cs="Arial" w:eastAsia="Arial" w:hAnsi="Arial"/>
          <w:sz w:val="18"/>
          <w:szCs w:val="18"/>
          <w:color w:val="auto"/>
        </w:rPr>
      </w:pPr>
      <w:r>
        <w:rPr>
          <w:rFonts w:ascii="Arial" w:cs="Arial" w:eastAsia="Arial" w:hAnsi="Arial"/>
          <w:sz w:val="18"/>
          <w:szCs w:val="18"/>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07" w:lineRule="exact"/>
        <w:rPr>
          <w:rFonts w:ascii="Arial" w:cs="Arial" w:eastAsia="Arial" w:hAnsi="Arial"/>
          <w:sz w:val="18"/>
          <w:szCs w:val="18"/>
          <w:color w:val="auto"/>
        </w:rPr>
      </w:pPr>
    </w:p>
    <w:p>
      <w:pPr>
        <w:ind w:left="860" w:right="239" w:firstLine="645"/>
        <w:spacing w:after="0" w:line="250" w:lineRule="auto"/>
        <w:tabs>
          <w:tab w:leader="none" w:pos="1763"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Notwithstanding the foregoing provisions of these Bylaws, a stockholder shall also comply with all applicable requirements of the Exchange Act and the rules and regulations thereunder with respect to the matters set forth in these Bylaws. Nothing in these Bylaws shall be deemed to affect any rights of (i) stockholders to have nominations or proposals included in the Corporation’s proxy statement pursuant to Rule 14a-8 or Rule 14a-11 (or any successor rules), as applicable, under the Exchange Act and, to the extent required by such rule, have such nominations or proposals considered and voted on at an Annual Meeting or</w:t>
      </w:r>
    </w:p>
    <w:p>
      <w:pPr>
        <w:ind w:left="1120" w:hanging="263"/>
        <w:spacing w:after="0"/>
        <w:tabs>
          <w:tab w:leader="none" w:pos="11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holders of any series of Undesignated Preferred Stock to elect directors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610870</wp:posOffset>
            </wp:positionV>
            <wp:extent cx="545211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97" w:name="page98"/>
    <w:bookmarkEnd w:id="97"/>
    <w:p>
      <w:pPr>
        <w:ind w:left="200" w:right="239" w:firstLine="648"/>
        <w:spacing w:after="0" w:line="23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Special Meetings</w:t>
      </w:r>
      <w:r>
        <w:rPr>
          <w:rFonts w:ascii="Arial" w:cs="Arial" w:eastAsia="Arial" w:hAnsi="Arial"/>
          <w:sz w:val="17"/>
          <w:szCs w:val="17"/>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0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131" w:lineRule="exact"/>
        <w:rPr>
          <w:sz w:val="20"/>
          <w:szCs w:val="20"/>
          <w:color w:val="auto"/>
        </w:rPr>
      </w:pPr>
    </w:p>
    <w:p>
      <w:pPr>
        <w:ind w:left="200" w:right="339" w:firstLine="657"/>
        <w:spacing w:after="0" w:line="238" w:lineRule="auto"/>
        <w:tabs>
          <w:tab w:leader="none" w:pos="1093"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General Corporation Law of the State of Delaware (“DGCL”).</w:t>
      </w:r>
    </w:p>
    <w:p>
      <w:pPr>
        <w:spacing w:after="0" w:line="109" w:lineRule="exact"/>
        <w:rPr>
          <w:rFonts w:ascii="Arial" w:cs="Arial" w:eastAsia="Arial" w:hAnsi="Arial"/>
          <w:sz w:val="17"/>
          <w:szCs w:val="17"/>
          <w:color w:val="auto"/>
        </w:rPr>
      </w:pPr>
    </w:p>
    <w:p>
      <w:pPr>
        <w:jc w:val="both"/>
        <w:ind w:left="200" w:right="419" w:firstLine="657"/>
        <w:spacing w:after="0" w:line="235" w:lineRule="auto"/>
        <w:tabs>
          <w:tab w:leader="none" w:pos="11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93" w:lineRule="exact"/>
        <w:rPr>
          <w:rFonts w:ascii="Arial" w:cs="Arial" w:eastAsia="Arial" w:hAnsi="Arial"/>
          <w:sz w:val="18"/>
          <w:szCs w:val="18"/>
          <w:color w:val="auto"/>
        </w:rPr>
      </w:pPr>
    </w:p>
    <w:p>
      <w:pPr>
        <w:ind w:left="200" w:right="399" w:firstLine="657"/>
        <w:spacing w:after="0" w:line="228" w:lineRule="auto"/>
        <w:tabs>
          <w:tab w:leader="none" w:pos="10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10" w:lineRule="exact"/>
        <w:rPr>
          <w:rFonts w:ascii="Arial" w:cs="Arial" w:eastAsia="Arial" w:hAnsi="Arial"/>
          <w:sz w:val="18"/>
          <w:szCs w:val="18"/>
          <w:color w:val="auto"/>
        </w:rPr>
      </w:pPr>
    </w:p>
    <w:p>
      <w:pPr>
        <w:ind w:left="200" w:right="239" w:firstLine="657"/>
        <w:spacing w:after="0" w:line="227" w:lineRule="auto"/>
        <w:tabs>
          <w:tab w:leader="none" w:pos="110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07" w:lineRule="exact"/>
        <w:rPr>
          <w:rFonts w:ascii="Arial" w:cs="Arial" w:eastAsia="Arial" w:hAnsi="Arial"/>
          <w:sz w:val="18"/>
          <w:szCs w:val="18"/>
          <w:color w:val="auto"/>
        </w:rPr>
      </w:pPr>
    </w:p>
    <w:p>
      <w:pPr>
        <w:ind w:left="200" w:right="239" w:firstLine="657"/>
        <w:spacing w:after="0" w:line="248" w:lineRule="auto"/>
        <w:tabs>
          <w:tab w:leader="none" w:pos="1093" w:val="left"/>
        </w:tabs>
        <w:numPr>
          <w:ilvl w:val="0"/>
          <w:numId w:val="50"/>
        </w:numPr>
        <w:rPr>
          <w:rFonts w:ascii="Arial" w:cs="Arial" w:eastAsia="Arial" w:hAnsi="Arial"/>
          <w:sz w:val="16"/>
          <w:szCs w:val="16"/>
          <w:color w:val="auto"/>
        </w:rPr>
      </w:pPr>
      <w:r>
        <w:rPr>
          <w:rFonts w:ascii="Arial" w:cs="Arial" w:eastAsia="Arial" w:hAnsi="Arial"/>
          <w:sz w:val="16"/>
          <w:szCs w:val="16"/>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w:t>
      </w:r>
    </w:p>
    <w:p>
      <w:pPr>
        <w:spacing w:after="0" w:line="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record entitled to vote thereat and each stockholder who, by law or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98" w:name="page99"/>
    <w:bookmarkEnd w:id="98"/>
    <w:p>
      <w:pPr>
        <w:ind w:left="200" w:right="1159"/>
        <w:spacing w:after="0" w:line="246" w:lineRule="auto"/>
        <w:rPr>
          <w:sz w:val="20"/>
          <w:szCs w:val="20"/>
          <w:color w:val="auto"/>
        </w:rPr>
      </w:pPr>
      <w:r>
        <w:rPr>
          <w:rFonts w:ascii="Arial" w:cs="Arial" w:eastAsia="Arial" w:hAnsi="Arial"/>
          <w:sz w:val="18"/>
          <w:szCs w:val="18"/>
          <w:color w:val="auto"/>
        </w:rPr>
        <w:t>Certificate of Incorporation of the Corporation (as the same may hereafter be amended and/or restated, the “Certificate”) or these Bylaws, is entitled to such notice.</w:t>
      </w:r>
    </w:p>
    <w:p>
      <w:pPr>
        <w:spacing w:after="0" w:line="102" w:lineRule="exact"/>
        <w:rPr>
          <w:sz w:val="20"/>
          <w:szCs w:val="20"/>
          <w:color w:val="auto"/>
        </w:rPr>
      </w:pPr>
    </w:p>
    <w:p>
      <w:pPr>
        <w:ind w:left="200" w:right="299" w:firstLine="648"/>
        <w:spacing w:after="0" w:line="23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96" w:lineRule="exact"/>
        <w:rPr>
          <w:sz w:val="20"/>
          <w:szCs w:val="20"/>
          <w:color w:val="auto"/>
        </w:rPr>
      </w:pPr>
    </w:p>
    <w:p>
      <w:pPr>
        <w:ind w:left="200" w:right="259" w:firstLine="648"/>
        <w:spacing w:after="0" w:line="235"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 and Proxies</w:t>
      </w:r>
      <w:r>
        <w:rPr>
          <w:rFonts w:ascii="Arial" w:cs="Arial" w:eastAsia="Arial" w:hAnsi="Arial"/>
          <w:sz w:val="17"/>
          <w:szCs w:val="17"/>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Action at Meeting</w:t>
      </w:r>
      <w:r>
        <w:rPr>
          <w:rFonts w:ascii="Arial" w:cs="Arial" w:eastAsia="Arial" w:hAnsi="Arial"/>
          <w:sz w:val="16"/>
          <w:szCs w:val="16"/>
          <w:color w:val="auto"/>
        </w:rPr>
        <w:t>. When a quorum is present at any meeting of stockholders, any matter before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any such meeting (other than an election of a director or directors) shall be decided by a majority of the votes properly</w:t>
      </w:r>
    </w:p>
    <w:p>
      <w:pPr>
        <w:ind w:left="200"/>
        <w:spacing w:after="0" w:line="238" w:lineRule="auto"/>
        <w:rPr>
          <w:sz w:val="20"/>
          <w:szCs w:val="20"/>
          <w:color w:val="auto"/>
        </w:rPr>
      </w:pPr>
      <w:r>
        <w:rPr>
          <w:rFonts w:ascii="Arial" w:cs="Arial" w:eastAsia="Arial" w:hAnsi="Arial"/>
          <w:sz w:val="17"/>
          <w:szCs w:val="17"/>
          <w:color w:val="auto"/>
        </w:rPr>
        <w:t>cast for and against such matter, except where a larger vote is required by law, by the Certificate or by these</w:t>
      </w:r>
    </w:p>
    <w:p>
      <w:pPr>
        <w:ind w:left="200"/>
        <w:spacing w:after="0"/>
        <w:rPr>
          <w:sz w:val="20"/>
          <w:szCs w:val="20"/>
          <w:color w:val="auto"/>
        </w:rPr>
      </w:pPr>
      <w:r>
        <w:rPr>
          <w:rFonts w:ascii="Arial" w:cs="Arial" w:eastAsia="Arial" w:hAnsi="Arial"/>
          <w:sz w:val="16"/>
          <w:szCs w:val="16"/>
          <w:color w:val="auto"/>
        </w:rPr>
        <w:t>Bylaws. Any election of directors by stockholders shall be determined by a plurality of the votes properly cast on the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election of directors.</w:t>
      </w:r>
    </w:p>
    <w:p>
      <w:pPr>
        <w:spacing w:after="0" w:line="115" w:lineRule="exact"/>
        <w:rPr>
          <w:sz w:val="20"/>
          <w:szCs w:val="20"/>
          <w:color w:val="auto"/>
        </w:rPr>
      </w:pPr>
    </w:p>
    <w:p>
      <w:pPr>
        <w:ind w:left="200" w:right="299" w:firstLine="648"/>
        <w:spacing w:after="0" w:line="250"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Stockholder Lists</w:t>
      </w:r>
      <w:r>
        <w:rPr>
          <w:rFonts w:ascii="Arial" w:cs="Arial" w:eastAsia="Arial" w:hAnsi="Arial"/>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w:t>
      </w:r>
    </w:p>
    <w:p>
      <w:pPr>
        <w:spacing w:after="0" w:line="3" w:lineRule="exact"/>
        <w:rPr>
          <w:sz w:val="20"/>
          <w:szCs w:val="20"/>
          <w:color w:val="auto"/>
        </w:rPr>
      </w:pPr>
    </w:p>
    <w:p>
      <w:pPr>
        <w:ind w:left="200" w:right="539" w:firstLine="9"/>
        <w:spacing w:after="0" w:line="233" w:lineRule="auto"/>
        <w:tabs>
          <w:tab w:leader="none" w:pos="5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days prior to the meeting in the manner provided by law. The list shall also be open to the examination of any stockholder during the whole time of the meeting as provided by law.</w:t>
      </w:r>
    </w:p>
    <w:p>
      <w:pPr>
        <w:spacing w:after="0" w:line="95" w:lineRule="exact"/>
        <w:rPr>
          <w:sz w:val="20"/>
          <w:szCs w:val="20"/>
          <w:color w:val="auto"/>
        </w:rPr>
      </w:pPr>
    </w:p>
    <w:p>
      <w:pPr>
        <w:ind w:left="200" w:right="299" w:firstLine="648"/>
        <w:spacing w:after="0" w:line="253"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Presiding Officer</w:t>
      </w:r>
      <w:r>
        <w:rPr>
          <w:rFonts w:ascii="Arial" w:cs="Arial" w:eastAsia="Arial" w:hAnsi="Arial"/>
          <w:sz w:val="16"/>
          <w:szCs w:val="16"/>
          <w:color w:val="auto"/>
        </w:rPr>
        <w:t>. The Board of Directors shall designate a representative to preside over all Annual Meetings or special meetings of stockholders, provided that if the Board of Directors does not so designate such a presiding officer, then the Chairperson of the Board, if one is elected, shall preside over such meetings. If the Board of Directors does not so designate such a presiding officer and there is no Chairperson of the Board or the Chairperson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586105</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99" w:name="page100"/>
    <w:bookmarkEnd w:id="99"/>
    <w:p>
      <w:pPr>
        <w:ind w:left="200" w:right="219" w:firstLine="648"/>
        <w:spacing w:after="0" w:line="25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Inspectors of Elections</w:t>
      </w:r>
      <w:r>
        <w:rPr>
          <w:rFonts w:ascii="Arial" w:cs="Arial" w:eastAsia="Arial" w:hAnsi="Arial"/>
          <w:sz w:val="16"/>
          <w:szCs w:val="16"/>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w:t>
      </w:r>
    </w:p>
    <w:p>
      <w:pPr>
        <w:spacing w:after="0" w:line="2" w:lineRule="exact"/>
        <w:rPr>
          <w:sz w:val="20"/>
          <w:szCs w:val="20"/>
          <w:color w:val="auto"/>
        </w:rPr>
      </w:pPr>
    </w:p>
    <w:p>
      <w:pPr>
        <w:ind w:left="200" w:right="239"/>
        <w:spacing w:after="0" w:line="246" w:lineRule="auto"/>
        <w:rPr>
          <w:sz w:val="20"/>
          <w:szCs w:val="20"/>
          <w:color w:val="auto"/>
        </w:rPr>
      </w:pPr>
      <w:r>
        <w:rPr>
          <w:rFonts w:ascii="Arial" w:cs="Arial" w:eastAsia="Arial" w:hAnsi="Arial"/>
          <w:sz w:val="16"/>
          <w:szCs w:val="16"/>
          <w:color w:val="auto"/>
        </w:rPr>
        <w:t>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w:t>
      </w:r>
    </w:p>
    <w:p>
      <w:pPr>
        <w:spacing w:after="0" w:line="3" w:lineRule="exact"/>
        <w:rPr>
          <w:sz w:val="20"/>
          <w:szCs w:val="20"/>
          <w:color w:val="auto"/>
        </w:rPr>
      </w:pPr>
    </w:p>
    <w:p>
      <w:pPr>
        <w:ind w:left="200" w:right="599"/>
        <w:spacing w:after="0" w:line="233" w:lineRule="auto"/>
        <w:rPr>
          <w:sz w:val="20"/>
          <w:szCs w:val="20"/>
          <w:color w:val="auto"/>
        </w:rPr>
      </w:pPr>
      <w:r>
        <w:rPr>
          <w:rFonts w:ascii="Arial" w:cs="Arial" w:eastAsia="Arial" w:hAnsi="Arial"/>
          <w:sz w:val="18"/>
          <w:szCs w:val="18"/>
          <w:color w:val="auto"/>
        </w:rPr>
        <w:t>inspectors. All determinations by the inspectors and, if applicable, the presiding officer, shall be subject to further review by any court of competent jurisdiction.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131" w:lineRule="exact"/>
        <w:rPr>
          <w:sz w:val="20"/>
          <w:szCs w:val="20"/>
          <w:color w:val="auto"/>
        </w:rPr>
      </w:pPr>
    </w:p>
    <w:p>
      <w:pPr>
        <w:ind w:left="200" w:right="279" w:firstLine="648"/>
        <w:spacing w:after="0" w:line="246"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89" w:lineRule="exact"/>
        <w:rPr>
          <w:sz w:val="20"/>
          <w:szCs w:val="20"/>
          <w:color w:val="auto"/>
        </w:rPr>
      </w:pPr>
    </w:p>
    <w:p>
      <w:pPr>
        <w:ind w:left="200" w:right="339" w:firstLine="648"/>
        <w:spacing w:after="0" w:line="23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131" w:lineRule="exact"/>
        <w:rPr>
          <w:sz w:val="20"/>
          <w:szCs w:val="20"/>
          <w:color w:val="auto"/>
        </w:rPr>
      </w:pPr>
    </w:p>
    <w:p>
      <w:pPr>
        <w:ind w:left="200" w:right="579" w:firstLine="648"/>
        <w:spacing w:after="0" w:line="246"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Removal</w:t>
      </w:r>
      <w:r>
        <w:rPr>
          <w:rFonts w:ascii="Arial" w:cs="Arial" w:eastAsia="Arial" w:hAnsi="Arial"/>
          <w:sz w:val="16"/>
          <w:szCs w:val="16"/>
          <w:color w:val="auto"/>
        </w:rPr>
        <w:t>. Directors may be removed from office only in the manner provided in the Certificate.</w:t>
      </w:r>
    </w:p>
    <w:p>
      <w:pPr>
        <w:spacing w:after="0" w:line="154" w:lineRule="exact"/>
        <w:rPr>
          <w:sz w:val="20"/>
          <w:szCs w:val="20"/>
          <w:color w:val="auto"/>
        </w:rPr>
      </w:pPr>
    </w:p>
    <w:p>
      <w:pPr>
        <w:ind w:left="200" w:right="439" w:firstLine="648"/>
        <w:spacing w:after="0" w:line="23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giving written notice to the Chairperson of the Board, if one is elected, the President or the Secretary. A resignation shall be effective upon receipt, unless the resignation otherwise provides.</w:t>
      </w:r>
    </w:p>
    <w:p>
      <w:pPr>
        <w:spacing w:after="0" w:line="107" w:lineRule="exact"/>
        <w:rPr>
          <w:sz w:val="20"/>
          <w:szCs w:val="20"/>
          <w:color w:val="auto"/>
        </w:rPr>
      </w:pPr>
    </w:p>
    <w:p>
      <w:pPr>
        <w:ind w:left="200" w:right="339" w:firstLine="648"/>
        <w:spacing w:after="0" w:line="261"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Regular Meetings</w:t>
      </w:r>
      <w:r>
        <w:rPr>
          <w:rFonts w:ascii="Arial" w:cs="Arial" w:eastAsia="Arial" w:hAnsi="Arial"/>
          <w:sz w:val="16"/>
          <w:szCs w:val="16"/>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80" w:lineRule="exact"/>
        <w:rPr>
          <w:sz w:val="20"/>
          <w:szCs w:val="20"/>
          <w:color w:val="auto"/>
        </w:rPr>
      </w:pPr>
    </w:p>
    <w:p>
      <w:pPr>
        <w:ind w:left="200" w:right="619" w:firstLine="648"/>
        <w:spacing w:after="0" w:line="23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thereof.</w:t>
      </w:r>
    </w:p>
    <w:p>
      <w:pPr>
        <w:spacing w:after="0" w:line="108" w:lineRule="exact"/>
        <w:rPr>
          <w:sz w:val="20"/>
          <w:szCs w:val="20"/>
          <w:color w:val="auto"/>
        </w:rPr>
      </w:pPr>
    </w:p>
    <w:p>
      <w:pPr>
        <w:ind w:left="200" w:right="239" w:firstLine="648"/>
        <w:spacing w:after="0" w:line="25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or such other officer designated by the Chairperson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584835</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0" w:name="page101"/>
    <w:bookmarkEnd w:id="100"/>
    <w:p>
      <w:pPr>
        <w:ind w:left="200" w:right="219"/>
        <w:spacing w:after="0" w:line="237" w:lineRule="auto"/>
        <w:rPr>
          <w:sz w:val="20"/>
          <w:szCs w:val="20"/>
          <w:color w:val="auto"/>
        </w:rPr>
      </w:pPr>
      <w:r>
        <w:rPr>
          <w:rFonts w:ascii="Arial" w:cs="Arial" w:eastAsia="Arial" w:hAnsi="Arial"/>
          <w:sz w:val="17"/>
          <w:szCs w:val="17"/>
          <w:color w:val="auto"/>
        </w:rPr>
        <w:t>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12" w:lineRule="exact"/>
        <w:rPr>
          <w:sz w:val="20"/>
          <w:szCs w:val="20"/>
          <w:color w:val="auto"/>
        </w:rPr>
      </w:pPr>
    </w:p>
    <w:p>
      <w:pPr>
        <w:ind w:left="200" w:right="239" w:firstLine="648"/>
        <w:spacing w:after="0"/>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Quorum</w:t>
      </w:r>
      <w:r>
        <w:rPr>
          <w:rFonts w:ascii="Arial" w:cs="Arial" w:eastAsia="Arial" w:hAnsi="Arial"/>
          <w:sz w:val="17"/>
          <w:szCs w:val="17"/>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96" w:lineRule="exact"/>
        <w:rPr>
          <w:sz w:val="20"/>
          <w:szCs w:val="20"/>
          <w:color w:val="auto"/>
        </w:rPr>
      </w:pPr>
    </w:p>
    <w:p>
      <w:pPr>
        <w:ind w:left="200" w:right="259" w:firstLine="648"/>
        <w:spacing w:after="0" w:line="23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07" w:lineRule="exact"/>
        <w:rPr>
          <w:sz w:val="20"/>
          <w:szCs w:val="20"/>
          <w:color w:val="auto"/>
        </w:rPr>
      </w:pPr>
    </w:p>
    <w:p>
      <w:pPr>
        <w:ind w:left="200" w:right="359" w:firstLine="648"/>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Action by Consent</w:t>
      </w:r>
      <w:r>
        <w:rPr>
          <w:rFonts w:ascii="Arial" w:cs="Arial" w:eastAsia="Arial" w:hAnsi="Arial"/>
          <w:sz w:val="17"/>
          <w:szCs w:val="17"/>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10" w:lineRule="exact"/>
        <w:rPr>
          <w:sz w:val="20"/>
          <w:szCs w:val="20"/>
          <w:color w:val="auto"/>
        </w:rPr>
      </w:pPr>
    </w:p>
    <w:p>
      <w:pPr>
        <w:ind w:left="200" w:right="439" w:firstLine="648"/>
        <w:spacing w:after="0" w:line="231"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94" w:lineRule="exact"/>
        <w:rPr>
          <w:sz w:val="20"/>
          <w:szCs w:val="20"/>
          <w:color w:val="auto"/>
        </w:rPr>
      </w:pPr>
    </w:p>
    <w:p>
      <w:pPr>
        <w:ind w:left="200" w:right="299" w:firstLine="648"/>
        <w:spacing w:after="0" w:line="258"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Presiding Director</w:t>
      </w:r>
      <w:r>
        <w:rPr>
          <w:rFonts w:ascii="Arial" w:cs="Arial" w:eastAsia="Arial" w:hAnsi="Arial"/>
          <w:sz w:val="16"/>
          <w:szCs w:val="16"/>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96" w:lineRule="exact"/>
        <w:rPr>
          <w:sz w:val="20"/>
          <w:szCs w:val="20"/>
          <w:color w:val="auto"/>
        </w:rPr>
      </w:pPr>
    </w:p>
    <w:p>
      <w:pPr>
        <w:ind w:left="200" w:right="279" w:firstLine="648"/>
        <w:spacing w:after="0" w:line="237"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by vote of a majority of the directors then in office, may elect one or more committees, including, without limitation, a Compensation Committee, a Nominating and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08" w:lineRule="exact"/>
        <w:rPr>
          <w:sz w:val="20"/>
          <w:szCs w:val="20"/>
          <w:color w:val="auto"/>
        </w:rPr>
      </w:pPr>
    </w:p>
    <w:p>
      <w:pPr>
        <w:ind w:left="200" w:right="519" w:firstLine="648"/>
        <w:spacing w:after="0" w:line="307"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558800</wp:posOffset>
            </wp:positionV>
            <wp:extent cx="545211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01" w:name="page102"/>
    <w:bookmarkEnd w:id="101"/>
    <w:p>
      <w:pPr>
        <w:ind w:left="200" w:right="279"/>
        <w:spacing w:after="0" w:line="274" w:lineRule="auto"/>
        <w:rPr>
          <w:sz w:val="20"/>
          <w:szCs w:val="20"/>
          <w:color w:val="auto"/>
        </w:rPr>
      </w:pPr>
      <w:r>
        <w:rPr>
          <w:rFonts w:ascii="Arial" w:cs="Arial" w:eastAsia="Arial" w:hAnsi="Arial"/>
          <w:sz w:val="17"/>
          <w:szCs w:val="17"/>
          <w:color w:val="auto"/>
        </w:rPr>
        <w:t>directors who are serving the Corporation as employees and who receive compensation for their services as such, shall not receive any salary or other compensation for their services as directors of the Corporation.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131" w:lineRule="exact"/>
        <w:rPr>
          <w:sz w:val="20"/>
          <w:szCs w:val="20"/>
          <w:color w:val="auto"/>
        </w:rPr>
      </w:pPr>
    </w:p>
    <w:p>
      <w:pPr>
        <w:ind w:left="200" w:right="479" w:firstLine="648"/>
        <w:spacing w:after="0" w:line="26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Chairperson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89" w:lineRule="exact"/>
        <w:rPr>
          <w:sz w:val="20"/>
          <w:szCs w:val="20"/>
          <w:color w:val="auto"/>
        </w:rPr>
      </w:pPr>
    </w:p>
    <w:p>
      <w:pPr>
        <w:ind w:left="200" w:right="479" w:firstLine="648"/>
        <w:spacing w:after="0" w:line="231"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94" w:lineRule="exact"/>
        <w:rPr>
          <w:sz w:val="20"/>
          <w:szCs w:val="20"/>
          <w:color w:val="auto"/>
        </w:rPr>
      </w:pPr>
    </w:p>
    <w:p>
      <w:pPr>
        <w:ind w:left="200" w:right="539" w:firstLine="648"/>
        <w:spacing w:after="0" w:line="24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officer need be a stockholder or a director. Any person may occupy more than one office of the Corporation at any time.</w:t>
      </w:r>
    </w:p>
    <w:p>
      <w:pPr>
        <w:spacing w:after="0" w:line="102" w:lineRule="exact"/>
        <w:rPr>
          <w:sz w:val="20"/>
          <w:szCs w:val="20"/>
          <w:color w:val="auto"/>
        </w:rPr>
      </w:pPr>
    </w:p>
    <w:p>
      <w:pPr>
        <w:ind w:left="200" w:right="239" w:firstLine="648"/>
        <w:spacing w:after="0" w:line="27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Tenure</w:t>
      </w:r>
      <w:r>
        <w:rPr>
          <w:rFonts w:ascii="Arial" w:cs="Arial" w:eastAsia="Arial" w:hAnsi="Arial"/>
          <w:sz w:val="16"/>
          <w:szCs w:val="16"/>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81" w:lineRule="exact"/>
        <w:rPr>
          <w:sz w:val="20"/>
          <w:szCs w:val="20"/>
          <w:color w:val="auto"/>
        </w:rPr>
      </w:pPr>
    </w:p>
    <w:p>
      <w:pPr>
        <w:ind w:left="200" w:right="259" w:firstLine="648"/>
        <w:spacing w:after="0" w:line="23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Resignation</w:t>
      </w:r>
      <w:r>
        <w:rPr>
          <w:rFonts w:ascii="Arial" w:cs="Arial" w:eastAsia="Arial" w:hAnsi="Arial"/>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94" w:lineRule="exact"/>
        <w:rPr>
          <w:sz w:val="20"/>
          <w:szCs w:val="20"/>
          <w:color w:val="auto"/>
        </w:rPr>
      </w:pPr>
    </w:p>
    <w:p>
      <w:pPr>
        <w:ind w:left="200" w:right="279" w:firstLine="648"/>
        <w:spacing w:after="0" w:line="246"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the Board of Directors may remove any officer with or without cause by the affirmative vote of a majority of the directors then in office.</w:t>
      </w:r>
    </w:p>
    <w:p>
      <w:pPr>
        <w:spacing w:after="0" w:line="102" w:lineRule="exact"/>
        <w:rPr>
          <w:sz w:val="20"/>
          <w:szCs w:val="20"/>
          <w:color w:val="auto"/>
        </w:rPr>
      </w:pPr>
    </w:p>
    <w:p>
      <w:pPr>
        <w:ind w:left="200" w:right="639" w:firstLine="648"/>
        <w:spacing w:after="0" w:line="274"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Absence or Disability</w:t>
      </w:r>
      <w:r>
        <w:rPr>
          <w:rFonts w:ascii="Arial" w:cs="Arial" w:eastAsia="Arial" w:hAnsi="Arial"/>
          <w:sz w:val="17"/>
          <w:szCs w:val="17"/>
          <w:color w:val="auto"/>
        </w:rPr>
        <w:t>. In the event of the absence or disability of any officer, the Board of Directors may designate another officer to act temporarily in place of such absent or disabled officer.</w:t>
      </w:r>
    </w:p>
    <w:p>
      <w:pPr>
        <w:spacing w:after="0" w:line="80" w:lineRule="exact"/>
        <w:rPr>
          <w:sz w:val="20"/>
          <w:szCs w:val="20"/>
          <w:color w:val="auto"/>
        </w:rPr>
      </w:pPr>
    </w:p>
    <w:p>
      <w:pPr>
        <w:ind w:left="200" w:right="279" w:firstLine="648"/>
        <w:spacing w:after="0" w:line="246"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89" w:lineRule="exact"/>
        <w:rPr>
          <w:sz w:val="20"/>
          <w:szCs w:val="20"/>
          <w:color w:val="auto"/>
        </w:rPr>
      </w:pPr>
    </w:p>
    <w:p>
      <w:pPr>
        <w:ind w:left="200" w:right="599" w:firstLine="648"/>
        <w:spacing w:after="0" w:line="274"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direction of the Board of Directors, have such powers and shall perform such duties as the Board of Directors may from time to time designate.</w:t>
      </w:r>
    </w:p>
    <w:p>
      <w:pPr>
        <w:spacing w:after="0" w:line="80" w:lineRule="exact"/>
        <w:rPr>
          <w:sz w:val="20"/>
          <w:szCs w:val="20"/>
          <w:color w:val="auto"/>
        </w:rPr>
      </w:pPr>
    </w:p>
    <w:p>
      <w:pPr>
        <w:ind w:left="200" w:right="579" w:firstLine="648"/>
        <w:spacing w:after="0" w:line="274"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Chairperson of the Board</w:t>
      </w:r>
      <w:r>
        <w:rPr>
          <w:rFonts w:ascii="Arial" w:cs="Arial" w:eastAsia="Arial" w:hAnsi="Arial"/>
          <w:sz w:val="17"/>
          <w:szCs w:val="17"/>
          <w:color w:val="auto"/>
        </w:rPr>
        <w:t>. The Chairperson of the Board, if one is elected, shall have such powers and shall perform such duties as the Board of Directors may from time to time designate.</w:t>
      </w:r>
    </w:p>
    <w:p>
      <w:pPr>
        <w:spacing w:after="0" w:line="80" w:lineRule="exact"/>
        <w:rPr>
          <w:sz w:val="20"/>
          <w:szCs w:val="20"/>
          <w:color w:val="auto"/>
        </w:rPr>
      </w:pPr>
    </w:p>
    <w:p>
      <w:pPr>
        <w:ind w:left="200" w:right="779" w:firstLine="648"/>
        <w:spacing w:after="0" w:line="274"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if one is elected, shall have such powers and shall perform such duties as the Board of Directors may from time to time designate.</w:t>
      </w:r>
    </w:p>
    <w:p>
      <w:pPr>
        <w:spacing w:after="0" w:line="67" w:lineRule="exact"/>
        <w:rPr>
          <w:sz w:val="20"/>
          <w:szCs w:val="20"/>
          <w:color w:val="auto"/>
        </w:rPr>
      </w:pPr>
    </w:p>
    <w:p>
      <w:pPr>
        <w:jc w:val="both"/>
        <w:ind w:left="200" w:right="419" w:firstLine="648"/>
        <w:spacing w:after="0" w:line="27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Vice Presidents and Assistant Vice Presidents</w:t>
      </w:r>
      <w:r>
        <w:rPr>
          <w:rFonts w:ascii="Arial" w:cs="Arial" w:eastAsia="Arial" w:hAnsi="Arial"/>
          <w:sz w:val="16"/>
          <w:szCs w:val="16"/>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81" w:lineRule="exact"/>
        <w:rPr>
          <w:sz w:val="20"/>
          <w:szCs w:val="20"/>
          <w:color w:val="auto"/>
        </w:rPr>
      </w:pPr>
    </w:p>
    <w:p>
      <w:pPr>
        <w:ind w:left="200" w:right="259" w:firstLine="648"/>
        <w:spacing w:after="0" w:line="26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582295</wp:posOffset>
            </wp:positionV>
            <wp:extent cx="545211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02" w:name="page103"/>
    <w:bookmarkEnd w:id="102"/>
    <w:p>
      <w:pPr>
        <w:ind w:left="200" w:right="339"/>
        <w:spacing w:after="0" w:line="246" w:lineRule="auto"/>
        <w:rPr>
          <w:sz w:val="20"/>
          <w:szCs w:val="20"/>
          <w:color w:val="auto"/>
        </w:rPr>
      </w:pPr>
      <w:r>
        <w:rPr>
          <w:rFonts w:ascii="Arial" w:cs="Arial" w:eastAsia="Arial" w:hAnsi="Arial"/>
          <w:sz w:val="18"/>
          <w:szCs w:val="18"/>
          <w:color w:val="auto"/>
        </w:rPr>
        <w:t>Executive Officer. Any Assistant Treasurer shall have such powers and perform such duties as the Board of Directors or the Chief Executive Officer may from time to time designate.</w:t>
      </w:r>
    </w:p>
    <w:p>
      <w:pPr>
        <w:spacing w:after="0" w:line="10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Secretary and Assistant Secretaries</w:t>
      </w:r>
      <w:r>
        <w:rPr>
          <w:rFonts w:ascii="Arial" w:cs="Arial" w:eastAsia="Arial" w:hAnsi="Arial"/>
          <w:sz w:val="17"/>
          <w:szCs w:val="17"/>
          <w:color w:val="auto"/>
        </w:rPr>
        <w:t>. The Secretary shall record all the proceedings of the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meetings of the stockholders and the Board of Directors (including committees of the Board of Directors) in books</w:t>
      </w:r>
    </w:p>
    <w:p>
      <w:pPr>
        <w:ind w:left="200"/>
        <w:spacing w:after="0"/>
        <w:rPr>
          <w:sz w:val="20"/>
          <w:szCs w:val="20"/>
          <w:color w:val="auto"/>
        </w:rPr>
      </w:pPr>
      <w:r>
        <w:rPr>
          <w:rFonts w:ascii="Arial" w:cs="Arial" w:eastAsia="Arial" w:hAnsi="Arial"/>
          <w:sz w:val="16"/>
          <w:szCs w:val="16"/>
          <w:color w:val="auto"/>
        </w:rPr>
        <w:t>kept for that purpose. In his or her absence from any such meeting, a temporary secretary chosen at the meeting shall</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record the proceedings thereof. The Secretary shall have charge of the stock ledger (which may, however, be kept by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any transfer or other agent of the Corporation). The Secretary shall have custody of the seal of the Corporation, and</w:t>
      </w:r>
    </w:p>
    <w:p>
      <w:pPr>
        <w:ind w:left="200"/>
        <w:spacing w:after="0" w:line="238" w:lineRule="auto"/>
        <w:rPr>
          <w:sz w:val="20"/>
          <w:szCs w:val="20"/>
          <w:color w:val="auto"/>
        </w:rPr>
      </w:pPr>
      <w:r>
        <w:rPr>
          <w:rFonts w:ascii="Arial" w:cs="Arial" w:eastAsia="Arial" w:hAnsi="Arial"/>
          <w:sz w:val="17"/>
          <w:szCs w:val="17"/>
          <w:color w:val="auto"/>
        </w:rPr>
        <w:t>the Secretary, or an Assistant Secretary shall have authority to affix it to any instrument requiring it, and, when so</w:t>
      </w:r>
    </w:p>
    <w:p>
      <w:pPr>
        <w:ind w:left="200"/>
        <w:spacing w:after="0"/>
        <w:rPr>
          <w:sz w:val="20"/>
          <w:szCs w:val="20"/>
          <w:color w:val="auto"/>
        </w:rPr>
      </w:pPr>
      <w:r>
        <w:rPr>
          <w:rFonts w:ascii="Arial" w:cs="Arial" w:eastAsia="Arial" w:hAnsi="Arial"/>
          <w:sz w:val="16"/>
          <w:szCs w:val="16"/>
          <w:color w:val="auto"/>
        </w:rPr>
        <w:t>affixed, the seal may be attested by his or her signature or that of an Assistant Secretary. The Secretary shall have such</w:t>
      </w:r>
    </w:p>
    <w:p>
      <w:pPr>
        <w:ind w:left="200"/>
        <w:spacing w:after="0" w:line="238" w:lineRule="auto"/>
        <w:rPr>
          <w:sz w:val="20"/>
          <w:szCs w:val="20"/>
          <w:color w:val="auto"/>
        </w:rPr>
      </w:pPr>
      <w:r>
        <w:rPr>
          <w:rFonts w:ascii="Arial" w:cs="Arial" w:eastAsia="Arial" w:hAnsi="Arial"/>
          <w:sz w:val="17"/>
          <w:szCs w:val="17"/>
          <w:color w:val="auto"/>
        </w:rPr>
        <w:t>other duties and powers as may be designated from time to time by the Board of Directors or the Chief Executive</w:t>
      </w:r>
    </w:p>
    <w:p>
      <w:pPr>
        <w:ind w:left="200"/>
        <w:spacing w:after="0" w:line="219" w:lineRule="auto"/>
        <w:rPr>
          <w:sz w:val="20"/>
          <w:szCs w:val="20"/>
          <w:color w:val="auto"/>
        </w:rPr>
      </w:pPr>
      <w:r>
        <w:rPr>
          <w:rFonts w:ascii="Arial" w:cs="Arial" w:eastAsia="Arial" w:hAnsi="Arial"/>
          <w:sz w:val="18"/>
          <w:szCs w:val="18"/>
          <w:color w:val="auto"/>
        </w:rPr>
        <w:t>Officer. In the absence of the Secretary, any Assistant Secretary may perform his or her duties and</w:t>
      </w:r>
    </w:p>
    <w:p>
      <w:pPr>
        <w:ind w:left="200"/>
        <w:spacing w:after="0"/>
        <w:rPr>
          <w:sz w:val="20"/>
          <w:szCs w:val="20"/>
          <w:color w:val="auto"/>
        </w:rPr>
      </w:pPr>
      <w:r>
        <w:rPr>
          <w:rFonts w:ascii="Arial" w:cs="Arial" w:eastAsia="Arial" w:hAnsi="Arial"/>
          <w:sz w:val="16"/>
          <w:szCs w:val="16"/>
          <w:color w:val="auto"/>
        </w:rPr>
        <w:t>responsibilities. Any Assistant Secretary shall have such powers and perform such duties as the Board of Directors or</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Chief Executive Officer may from time to time designate.</w:t>
      </w:r>
    </w:p>
    <w:p>
      <w:pPr>
        <w:spacing w:after="0" w:line="101" w:lineRule="exact"/>
        <w:rPr>
          <w:sz w:val="20"/>
          <w:szCs w:val="20"/>
          <w:color w:val="auto"/>
        </w:rPr>
      </w:pPr>
    </w:p>
    <w:p>
      <w:pPr>
        <w:ind w:left="200" w:right="419" w:firstLine="648"/>
        <w:spacing w:after="0" w:line="231"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08"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ARTICLE IV</w:t>
      </w:r>
    </w:p>
    <w:p>
      <w:pPr>
        <w:spacing w:after="0" w:line="131"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Capital Stock</w:t>
      </w:r>
    </w:p>
    <w:p>
      <w:pPr>
        <w:spacing w:after="0" w:line="117" w:lineRule="exact"/>
        <w:rPr>
          <w:sz w:val="20"/>
          <w:szCs w:val="20"/>
          <w:color w:val="auto"/>
        </w:rPr>
      </w:pPr>
    </w:p>
    <w:p>
      <w:pPr>
        <w:ind w:left="200" w:right="239" w:firstLine="648"/>
        <w:spacing w:after="0" w:line="250"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the Chairperson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09" w:lineRule="exact"/>
        <w:rPr>
          <w:sz w:val="20"/>
          <w:szCs w:val="20"/>
          <w:color w:val="auto"/>
        </w:rPr>
      </w:pPr>
    </w:p>
    <w:p>
      <w:pPr>
        <w:ind w:left="200" w:right="239" w:firstLine="648"/>
        <w:spacing w:after="0" w:line="23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10" w:lineRule="exact"/>
        <w:rPr>
          <w:sz w:val="20"/>
          <w:szCs w:val="20"/>
          <w:color w:val="auto"/>
        </w:rPr>
      </w:pPr>
    </w:p>
    <w:p>
      <w:pPr>
        <w:ind w:left="200" w:right="279" w:firstLine="648"/>
        <w:spacing w:after="0" w:line="27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Record Holders</w:t>
      </w:r>
      <w:r>
        <w:rPr>
          <w:rFonts w:ascii="Arial" w:cs="Arial" w:eastAsia="Arial" w:hAnsi="Arial"/>
          <w:sz w:val="16"/>
          <w:szCs w:val="16"/>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574675</wp:posOffset>
            </wp:positionV>
            <wp:extent cx="545211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03" w:name="page104"/>
    <w:bookmarkEnd w:id="103"/>
    <w:p>
      <w:pPr>
        <w:ind w:left="200" w:right="559"/>
        <w:spacing w:after="0" w:line="246" w:lineRule="auto"/>
        <w:rPr>
          <w:sz w:val="20"/>
          <w:szCs w:val="20"/>
          <w:color w:val="auto"/>
        </w:rPr>
      </w:pPr>
      <w:r>
        <w:rPr>
          <w:rFonts w:ascii="Arial" w:cs="Arial" w:eastAsia="Arial" w:hAnsi="Arial"/>
          <w:sz w:val="18"/>
          <w:szCs w:val="18"/>
          <w:color w:val="auto"/>
        </w:rPr>
        <w:t>of any transfer, pledge or other disposition of such stock, until the shares have been transferred on the books of the Corporation in accordance with the requirements of these Bylaws.</w:t>
      </w:r>
    </w:p>
    <w:p>
      <w:pPr>
        <w:spacing w:after="0" w:line="102" w:lineRule="exact"/>
        <w:rPr>
          <w:sz w:val="20"/>
          <w:szCs w:val="20"/>
          <w:color w:val="auto"/>
        </w:rPr>
      </w:pPr>
    </w:p>
    <w:p>
      <w:pPr>
        <w:ind w:left="200" w:right="219" w:firstLine="648"/>
        <w:spacing w:after="0" w:line="25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Record Date</w:t>
      </w:r>
      <w:r>
        <w:rPr>
          <w:rFonts w:ascii="Arial" w:cs="Arial" w:eastAsia="Arial" w:hAnsi="Arial"/>
          <w:sz w:val="16"/>
          <w:szCs w:val="16"/>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91" w:lineRule="exact"/>
        <w:rPr>
          <w:sz w:val="20"/>
          <w:szCs w:val="20"/>
          <w:color w:val="auto"/>
        </w:rPr>
      </w:pPr>
    </w:p>
    <w:p>
      <w:pPr>
        <w:ind w:left="200" w:right="219" w:firstLine="648"/>
        <w:spacing w:after="0" w:line="23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07" w:lineRule="exact"/>
        <w:rPr>
          <w:sz w:val="20"/>
          <w:szCs w:val="20"/>
          <w:color w:val="auto"/>
        </w:rPr>
      </w:pPr>
    </w:p>
    <w:p>
      <w:pPr>
        <w:ind w:left="4040"/>
        <w:spacing w:after="0"/>
        <w:rPr>
          <w:sz w:val="20"/>
          <w:szCs w:val="20"/>
          <w:color w:val="auto"/>
        </w:rPr>
      </w:pPr>
      <w:r>
        <w:rPr>
          <w:rFonts w:ascii="Arial" w:cs="Arial" w:eastAsia="Arial" w:hAnsi="Arial"/>
          <w:sz w:val="18"/>
          <w:szCs w:val="18"/>
          <w:u w:val="single" w:color="auto"/>
          <w:color w:val="auto"/>
        </w:rPr>
        <w:t>ARTICLE V</w:t>
      </w:r>
    </w:p>
    <w:p>
      <w:pPr>
        <w:spacing w:after="0" w:line="131"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31" w:lineRule="exact"/>
        <w:rPr>
          <w:sz w:val="20"/>
          <w:szCs w:val="20"/>
          <w:color w:val="auto"/>
        </w:rPr>
      </w:pPr>
    </w:p>
    <w:p>
      <w:pPr>
        <w:ind w:left="200" w:right="239" w:firstLine="657"/>
        <w:spacing w:after="0" w:line="236" w:lineRule="auto"/>
        <w:tabs>
          <w:tab w:leader="none" w:pos="1093"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3" w:lineRule="exact"/>
        <w:rPr>
          <w:rFonts w:ascii="Arial" w:cs="Arial" w:eastAsia="Arial" w:hAnsi="Arial"/>
          <w:sz w:val="17"/>
          <w:szCs w:val="17"/>
          <w:color w:val="auto"/>
        </w:rPr>
      </w:pPr>
    </w:p>
    <w:p>
      <w:pPr>
        <w:ind w:left="1120" w:hanging="263"/>
        <w:spacing w:after="0"/>
        <w:tabs>
          <w:tab w:leader="none" w:pos="11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“Director” means any person who serves or has served the Corporation as a director on the Board of</w:t>
      </w:r>
    </w:p>
    <w:p>
      <w:pPr>
        <w:spacing w:after="0" w:line="9"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Directors;</w:t>
      </w:r>
    </w:p>
    <w:p>
      <w:pPr>
        <w:spacing w:after="0" w:line="101" w:lineRule="exact"/>
        <w:rPr>
          <w:rFonts w:ascii="Arial" w:cs="Arial" w:eastAsia="Arial" w:hAnsi="Arial"/>
          <w:sz w:val="17"/>
          <w:szCs w:val="17"/>
          <w:color w:val="auto"/>
        </w:rPr>
      </w:pPr>
    </w:p>
    <w:p>
      <w:pPr>
        <w:ind w:left="200" w:right="519" w:firstLine="657"/>
        <w:spacing w:after="0" w:line="307" w:lineRule="auto"/>
        <w:tabs>
          <w:tab w:leader="none" w:pos="1093"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“Disinterested Director” means, with respect to each Proceeding in respect of which indemnification is sought hereunder, a Director of the Corporation who is not and was not a party to such Proceeding;</w:t>
      </w:r>
    </w:p>
    <w:p>
      <w:pPr>
        <w:spacing w:after="0" w:line="55" w:lineRule="exact"/>
        <w:rPr>
          <w:rFonts w:ascii="Arial" w:cs="Arial" w:eastAsia="Arial" w:hAnsi="Arial"/>
          <w:sz w:val="16"/>
          <w:szCs w:val="16"/>
          <w:color w:val="auto"/>
        </w:rPr>
      </w:pPr>
    </w:p>
    <w:p>
      <w:pPr>
        <w:ind w:left="200" w:right="259" w:firstLine="657"/>
        <w:spacing w:after="0" w:line="256" w:lineRule="auto"/>
        <w:tabs>
          <w:tab w:leader="none" w:pos="11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97" w:lineRule="exact"/>
        <w:rPr>
          <w:rFonts w:ascii="Arial" w:cs="Arial" w:eastAsia="Arial" w:hAnsi="Arial"/>
          <w:sz w:val="16"/>
          <w:szCs w:val="16"/>
          <w:color w:val="auto"/>
        </w:rPr>
      </w:pPr>
    </w:p>
    <w:p>
      <w:pPr>
        <w:ind w:left="200" w:right="299" w:firstLine="657"/>
        <w:spacing w:after="0" w:line="246" w:lineRule="auto"/>
        <w:tabs>
          <w:tab w:leader="none" w:pos="1093"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588645</wp:posOffset>
            </wp:positionV>
            <wp:extent cx="545211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04" w:name="page105"/>
    <w:bookmarkEnd w:id="104"/>
    <w:p>
      <w:pPr>
        <w:ind w:left="200" w:right="699" w:firstLine="657"/>
        <w:spacing w:after="0" w:line="246" w:lineRule="auto"/>
        <w:tabs>
          <w:tab w:leader="none" w:pos="10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88" w:lineRule="exact"/>
        <w:rPr>
          <w:rFonts w:ascii="Arial" w:cs="Arial" w:eastAsia="Arial" w:hAnsi="Arial"/>
          <w:sz w:val="18"/>
          <w:szCs w:val="18"/>
          <w:color w:val="auto"/>
        </w:rPr>
      </w:pPr>
    </w:p>
    <w:p>
      <w:pPr>
        <w:ind w:left="200" w:right="559" w:firstLine="657"/>
        <w:spacing w:after="0" w:line="246" w:lineRule="auto"/>
        <w:tabs>
          <w:tab w:leader="none" w:pos="11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w:t>
      </w:r>
    </w:p>
    <w:p>
      <w:pPr>
        <w:spacing w:after="0" w:line="102" w:lineRule="exact"/>
        <w:rPr>
          <w:rFonts w:ascii="Arial" w:cs="Arial" w:eastAsia="Arial" w:hAnsi="Arial"/>
          <w:sz w:val="18"/>
          <w:szCs w:val="18"/>
          <w:color w:val="auto"/>
        </w:rPr>
      </w:pPr>
    </w:p>
    <w:p>
      <w:pPr>
        <w:jc w:val="both"/>
        <w:ind w:left="200" w:right="679" w:firstLine="657"/>
        <w:spacing w:after="0" w:line="235" w:lineRule="auto"/>
        <w:tabs>
          <w:tab w:leader="none" w:pos="110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07" w:lineRule="exact"/>
        <w:rPr>
          <w:rFonts w:ascii="Arial" w:cs="Arial" w:eastAsia="Arial" w:hAnsi="Arial"/>
          <w:sz w:val="18"/>
          <w:szCs w:val="18"/>
          <w:color w:val="auto"/>
        </w:rPr>
      </w:pPr>
    </w:p>
    <w:p>
      <w:pPr>
        <w:ind w:left="200" w:right="419" w:firstLine="657"/>
        <w:spacing w:after="0" w:line="258" w:lineRule="auto"/>
        <w:tabs>
          <w:tab w:leader="none" w:pos="1063"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8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31" w:lineRule="exact"/>
        <w:rPr>
          <w:sz w:val="20"/>
          <w:szCs w:val="20"/>
          <w:color w:val="auto"/>
        </w:rPr>
      </w:pPr>
    </w:p>
    <w:p>
      <w:pPr>
        <w:ind w:left="200" w:right="339" w:firstLine="657"/>
        <w:spacing w:after="0" w:line="242" w:lineRule="auto"/>
        <w:tabs>
          <w:tab w:leader="none" w:pos="10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07" w:lineRule="exact"/>
        <w:rPr>
          <w:rFonts w:ascii="Arial" w:cs="Arial" w:eastAsia="Arial" w:hAnsi="Arial"/>
          <w:sz w:val="17"/>
          <w:szCs w:val="17"/>
          <w:color w:val="auto"/>
        </w:rPr>
      </w:pPr>
    </w:p>
    <w:p>
      <w:pPr>
        <w:ind w:left="860" w:right="239" w:firstLine="645"/>
        <w:spacing w:after="0" w:line="237" w:lineRule="auto"/>
        <w:tabs>
          <w:tab w:leader="none" w:pos="1763"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Other than By or In the Right of the Corporation</w:t>
      </w:r>
      <w:r>
        <w:rPr>
          <w:rFonts w:ascii="Arial" w:cs="Arial" w:eastAsia="Arial" w:hAnsi="Arial"/>
          <w:sz w:val="17"/>
          <w:szCs w:val="17"/>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98" w:lineRule="exact"/>
        <w:rPr>
          <w:rFonts w:ascii="Arial" w:cs="Arial" w:eastAsia="Arial" w:hAnsi="Arial"/>
          <w:sz w:val="17"/>
          <w:szCs w:val="17"/>
          <w:color w:val="auto"/>
        </w:rPr>
      </w:pPr>
    </w:p>
    <w:p>
      <w:pPr>
        <w:ind w:left="860" w:right="259" w:firstLine="645"/>
        <w:spacing w:after="0" w:line="235" w:lineRule="auto"/>
        <w:tabs>
          <w:tab w:leader="none" w:pos="1763" w:val="left"/>
        </w:tabs>
        <w:numPr>
          <w:ilvl w:val="1"/>
          <w:numId w:val="54"/>
        </w:numPr>
        <w:rPr>
          <w:rFonts w:ascii="Arial" w:cs="Arial" w:eastAsia="Arial" w:hAnsi="Arial"/>
          <w:sz w:val="17"/>
          <w:szCs w:val="17"/>
          <w:color w:val="auto"/>
        </w:rPr>
      </w:pPr>
      <w:r>
        <w:rPr>
          <w:rFonts w:ascii="Arial" w:cs="Arial" w:eastAsia="Arial" w:hAnsi="Arial"/>
          <w:sz w:val="17"/>
          <w:szCs w:val="17"/>
          <w:u w:val="single" w:color="auto"/>
          <w:color w:val="auto"/>
        </w:rPr>
        <w:t>Actions, Suits and Proceedings By or In the Right of the Corporation</w:t>
      </w:r>
      <w:r>
        <w:rPr>
          <w:rFonts w:ascii="Arial" w:cs="Arial" w:eastAsia="Arial" w:hAnsi="Arial"/>
          <w:sz w:val="17"/>
          <w:szCs w:val="17"/>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117" w:lineRule="exact"/>
        <w:rPr>
          <w:rFonts w:ascii="Arial" w:cs="Arial" w:eastAsia="Arial" w:hAnsi="Arial"/>
          <w:sz w:val="17"/>
          <w:szCs w:val="17"/>
          <w:color w:val="auto"/>
        </w:rPr>
      </w:pPr>
    </w:p>
    <w:p>
      <w:pPr>
        <w:jc w:val="both"/>
        <w:ind w:left="860" w:right="339" w:firstLine="645"/>
        <w:spacing w:after="0" w:line="235" w:lineRule="auto"/>
        <w:tabs>
          <w:tab w:leader="none" w:pos="1763"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07" w:lineRule="exact"/>
        <w:rPr>
          <w:rFonts w:ascii="Arial" w:cs="Arial" w:eastAsia="Arial" w:hAnsi="Arial"/>
          <w:sz w:val="18"/>
          <w:szCs w:val="18"/>
          <w:color w:val="auto"/>
        </w:rPr>
      </w:pPr>
    </w:p>
    <w:p>
      <w:pPr>
        <w:ind w:left="860" w:right="719" w:firstLine="645"/>
        <w:spacing w:after="0" w:line="307" w:lineRule="auto"/>
        <w:tabs>
          <w:tab w:leader="none" w:pos="1763"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Actions by Directors or Officers</w:t>
      </w:r>
      <w:r>
        <w:rPr>
          <w:rFonts w:ascii="Arial" w:cs="Arial" w:eastAsia="Arial" w:hAnsi="Arial"/>
          <w:sz w:val="16"/>
          <w:szCs w:val="16"/>
          <w:color w:val="auto"/>
        </w:rPr>
        <w:t>. Notwithstanding the foregoing, the Corporation shall indemnify any Director or Officer seeking indemnification in connection with a Proceeding initiated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558800</wp:posOffset>
            </wp:positionV>
            <wp:extent cx="545211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5" w:name="page106"/>
    <w:bookmarkEnd w:id="105"/>
    <w:p>
      <w:pPr>
        <w:ind w:left="860" w:right="259"/>
        <w:spacing w:after="0" w:line="246" w:lineRule="auto"/>
        <w:rPr>
          <w:sz w:val="20"/>
          <w:szCs w:val="20"/>
          <w:color w:val="auto"/>
        </w:rPr>
      </w:pPr>
      <w:r>
        <w:rPr>
          <w:rFonts w:ascii="Arial" w:cs="Arial" w:eastAsia="Arial" w:hAnsi="Arial"/>
          <w:sz w:val="17"/>
          <w:szCs w:val="17"/>
          <w:color w:val="auto"/>
        </w:rPr>
        <w:t>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spacing w:after="0" w:line="103" w:lineRule="exact"/>
        <w:rPr>
          <w:sz w:val="20"/>
          <w:szCs w:val="20"/>
          <w:color w:val="auto"/>
        </w:rPr>
      </w:pPr>
    </w:p>
    <w:p>
      <w:pPr>
        <w:ind w:left="200" w:right="259" w:firstLine="648"/>
        <w:spacing w:after="0" w:line="235"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Subject to the operation of Section 4 of this Article V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01" w:lineRule="exact"/>
        <w:rPr>
          <w:sz w:val="20"/>
          <w:szCs w:val="20"/>
          <w:color w:val="auto"/>
        </w:rPr>
      </w:pPr>
    </w:p>
    <w:p>
      <w:pPr>
        <w:ind w:left="200" w:right="259" w:firstLine="648"/>
        <w:spacing w:after="0" w:line="254"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Determination</w:t>
      </w:r>
      <w:r>
        <w:rPr>
          <w:rFonts w:ascii="Arial" w:cs="Arial" w:eastAsia="Arial" w:hAnsi="Arial"/>
          <w:sz w:val="16"/>
          <w:szCs w:val="16"/>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31" w:lineRule="exact"/>
        <w:rPr>
          <w:sz w:val="20"/>
          <w:szCs w:val="20"/>
          <w:color w:val="auto"/>
        </w:rPr>
      </w:pPr>
    </w:p>
    <w:p>
      <w:pPr>
        <w:ind w:left="200" w:right="259" w:firstLine="657"/>
        <w:spacing w:after="0" w:line="252" w:lineRule="auto"/>
        <w:tabs>
          <w:tab w:leader="none" w:pos="109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88" w:lineRule="exact"/>
        <w:rPr>
          <w:rFonts w:ascii="Arial" w:cs="Arial" w:eastAsia="Arial" w:hAnsi="Arial"/>
          <w:sz w:val="16"/>
          <w:szCs w:val="16"/>
          <w:color w:val="auto"/>
        </w:rPr>
      </w:pPr>
    </w:p>
    <w:p>
      <w:pPr>
        <w:ind w:left="200" w:right="379" w:firstLine="657"/>
        <w:spacing w:after="0" w:line="254" w:lineRule="auto"/>
        <w:tabs>
          <w:tab w:leader="none" w:pos="1103"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584835</wp:posOffset>
            </wp:positionV>
            <wp:extent cx="545211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06" w:name="page107"/>
    <w:bookmarkEnd w:id="106"/>
    <w:p>
      <w:pPr>
        <w:jc w:val="both"/>
        <w:ind w:left="200" w:right="319" w:firstLine="657"/>
        <w:spacing w:after="0" w:line="253" w:lineRule="auto"/>
        <w:tabs>
          <w:tab w:leader="none" w:pos="10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Advancement of Expenses to Officers and Non-Officer Employees Prior to Final Disposition</w:t>
      </w:r>
      <w:r>
        <w:rPr>
          <w:rFonts w:ascii="Arial" w:cs="Arial" w:eastAsia="Arial" w:hAnsi="Arial"/>
          <w:sz w:val="17"/>
          <w:szCs w:val="17"/>
          <w:color w:val="auto"/>
        </w:rPr>
        <w:t>.</w:t>
      </w:r>
    </w:p>
    <w:p>
      <w:pPr>
        <w:spacing w:after="0" w:line="142" w:lineRule="exact"/>
        <w:rPr>
          <w:sz w:val="20"/>
          <w:szCs w:val="20"/>
          <w:color w:val="auto"/>
        </w:rPr>
      </w:pPr>
    </w:p>
    <w:p>
      <w:pPr>
        <w:ind w:left="200" w:right="299" w:firstLine="657"/>
        <w:spacing w:after="0" w:line="237" w:lineRule="auto"/>
        <w:tabs>
          <w:tab w:leader="none" w:pos="109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12" w:lineRule="exact"/>
        <w:rPr>
          <w:rFonts w:ascii="Arial" w:cs="Arial" w:eastAsia="Arial" w:hAnsi="Arial"/>
          <w:sz w:val="17"/>
          <w:szCs w:val="17"/>
          <w:color w:val="auto"/>
        </w:rPr>
      </w:pPr>
    </w:p>
    <w:p>
      <w:pPr>
        <w:ind w:left="200" w:right="299" w:firstLine="657"/>
        <w:spacing w:after="0" w:line="253" w:lineRule="auto"/>
        <w:tabs>
          <w:tab w:leader="none" w:pos="1103"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31" w:lineRule="exact"/>
        <w:rPr>
          <w:sz w:val="20"/>
          <w:szCs w:val="20"/>
          <w:color w:val="auto"/>
        </w:rPr>
      </w:pPr>
    </w:p>
    <w:p>
      <w:pPr>
        <w:ind w:left="200" w:right="219" w:firstLine="657"/>
        <w:spacing w:after="0" w:line="251" w:lineRule="auto"/>
        <w:tabs>
          <w:tab w:leader="none" w:pos="109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04" w:lineRule="exact"/>
        <w:rPr>
          <w:rFonts w:ascii="Arial" w:cs="Arial" w:eastAsia="Arial" w:hAnsi="Arial"/>
          <w:sz w:val="16"/>
          <w:szCs w:val="16"/>
          <w:color w:val="auto"/>
        </w:rPr>
      </w:pPr>
    </w:p>
    <w:p>
      <w:pPr>
        <w:ind w:left="200" w:right="299" w:firstLine="657"/>
        <w:spacing w:after="0" w:line="254" w:lineRule="auto"/>
        <w:tabs>
          <w:tab w:leader="none" w:pos="110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83" w:lineRule="exact"/>
        <w:rPr>
          <w:rFonts w:ascii="Arial" w:cs="Arial" w:eastAsia="Arial" w:hAnsi="Arial"/>
          <w:sz w:val="16"/>
          <w:szCs w:val="16"/>
          <w:color w:val="auto"/>
        </w:rPr>
      </w:pPr>
    </w:p>
    <w:p>
      <w:pPr>
        <w:jc w:val="both"/>
        <w:ind w:left="200" w:right="439" w:firstLine="657"/>
        <w:spacing w:after="0" w:line="307" w:lineRule="auto"/>
        <w:tabs>
          <w:tab w:leader="none" w:pos="1093"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56" w:lineRule="exact"/>
        <w:rPr>
          <w:sz w:val="20"/>
          <w:szCs w:val="20"/>
          <w:color w:val="auto"/>
        </w:rPr>
      </w:pPr>
    </w:p>
    <w:p>
      <w:pPr>
        <w:ind w:left="200" w:right="379" w:firstLine="648"/>
        <w:spacing w:after="0" w:line="231"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591820</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7" w:name="page108"/>
    <w:bookmarkEnd w:id="107"/>
    <w:p>
      <w:pPr>
        <w:ind w:left="200" w:right="299" w:firstLine="648"/>
        <w:spacing w:after="0" w:line="228"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97" w:lineRule="exact"/>
        <w:rPr>
          <w:sz w:val="20"/>
          <w:szCs w:val="20"/>
          <w:color w:val="auto"/>
        </w:rPr>
      </w:pPr>
    </w:p>
    <w:p>
      <w:pPr>
        <w:ind w:left="200" w:right="239" w:firstLine="648"/>
        <w:spacing w:after="0" w:line="253"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Other Indemnification</w:t>
      </w:r>
      <w:r>
        <w:rPr>
          <w:rFonts w:ascii="Arial" w:cs="Arial" w:eastAsia="Arial" w:hAnsi="Arial"/>
          <w:sz w:val="16"/>
          <w:szCs w:val="16"/>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99" w:lineRule="exact"/>
        <w:rPr>
          <w:sz w:val="20"/>
          <w:szCs w:val="20"/>
          <w:color w:val="auto"/>
        </w:rPr>
      </w:pPr>
    </w:p>
    <w:p>
      <w:pPr>
        <w:ind w:left="4020"/>
        <w:spacing w:after="0"/>
        <w:rPr>
          <w:sz w:val="20"/>
          <w:szCs w:val="20"/>
          <w:color w:val="auto"/>
        </w:rPr>
      </w:pPr>
      <w:r>
        <w:rPr>
          <w:rFonts w:ascii="Arial" w:cs="Arial" w:eastAsia="Arial" w:hAnsi="Arial"/>
          <w:sz w:val="18"/>
          <w:szCs w:val="18"/>
          <w:u w:val="single" w:color="auto"/>
          <w:color w:val="auto"/>
        </w:rPr>
        <w:t>ARTICLE VI</w:t>
      </w:r>
    </w:p>
    <w:p>
      <w:pPr>
        <w:spacing w:after="0" w:line="131"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Miscellaneous Provisions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the Board of Directors.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shall have power to adopt and alter the seal of the Corporation.</w:t>
      </w:r>
    </w:p>
    <w:p>
      <w:pPr>
        <w:spacing w:after="0" w:line="154" w:lineRule="exact"/>
        <w:rPr>
          <w:sz w:val="20"/>
          <w:szCs w:val="20"/>
          <w:color w:val="auto"/>
        </w:rPr>
      </w:pPr>
    </w:p>
    <w:p>
      <w:pPr>
        <w:ind w:left="200" w:right="379" w:firstLine="648"/>
        <w:spacing w:after="0" w:line="242"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Execution of Instruments</w:t>
      </w:r>
      <w:r>
        <w:rPr>
          <w:rFonts w:ascii="Arial" w:cs="Arial" w:eastAsia="Arial" w:hAnsi="Arial"/>
          <w:sz w:val="17"/>
          <w:szCs w:val="17"/>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the executive committee of the Board may authorize.</w:t>
      </w:r>
    </w:p>
    <w:p>
      <w:pPr>
        <w:spacing w:after="0" w:line="94" w:lineRule="exact"/>
        <w:rPr>
          <w:sz w:val="20"/>
          <w:szCs w:val="20"/>
          <w:color w:val="auto"/>
        </w:rPr>
      </w:pPr>
    </w:p>
    <w:p>
      <w:pPr>
        <w:ind w:left="200" w:right="359" w:firstLine="648"/>
        <w:spacing w:after="0" w:line="24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08" w:lineRule="exact"/>
        <w:rPr>
          <w:sz w:val="20"/>
          <w:szCs w:val="20"/>
          <w:color w:val="auto"/>
        </w:rPr>
      </w:pPr>
    </w:p>
    <w:p>
      <w:pPr>
        <w:ind w:left="200" w:right="259" w:firstLine="648"/>
        <w:spacing w:after="0" w:line="246"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02" w:lineRule="exact"/>
        <w:rPr>
          <w:sz w:val="20"/>
          <w:szCs w:val="20"/>
          <w:color w:val="auto"/>
        </w:rPr>
      </w:pPr>
    </w:p>
    <w:p>
      <w:pPr>
        <w:ind w:left="200" w:right="319" w:firstLine="648"/>
        <w:spacing w:after="0" w:line="22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Corporate Records</w:t>
      </w:r>
      <w:r>
        <w:rPr>
          <w:rFonts w:ascii="Arial" w:cs="Arial" w:eastAsia="Arial" w:hAnsi="Arial"/>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94" w:lineRule="exact"/>
        <w:rPr>
          <w:sz w:val="20"/>
          <w:szCs w:val="20"/>
          <w:color w:val="auto"/>
        </w:rPr>
      </w:pPr>
    </w:p>
    <w:p>
      <w:pPr>
        <w:ind w:left="200" w:right="359" w:firstLine="648"/>
        <w:spacing w:after="0" w:line="235"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0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131" w:lineRule="exact"/>
        <w:rPr>
          <w:sz w:val="20"/>
          <w:szCs w:val="20"/>
          <w:color w:val="auto"/>
        </w:rPr>
      </w:pPr>
    </w:p>
    <w:p>
      <w:pPr>
        <w:ind w:left="200" w:right="799" w:firstLine="657"/>
        <w:spacing w:after="0" w:line="307" w:lineRule="auto"/>
        <w:tabs>
          <w:tab w:leader="none" w:pos="1092"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Amendment by Directors</w:t>
      </w:r>
      <w:r>
        <w:rPr>
          <w:rFonts w:ascii="Arial" w:cs="Arial" w:eastAsia="Arial" w:hAnsi="Arial"/>
          <w:sz w:val="16"/>
          <w:szCs w:val="16"/>
          <w:color w:val="auto"/>
        </w:rPr>
        <w:t>. Except as provided otherwise by law, these Bylaws may be amended or repealed by the Board of Directors by the affirmative vote of a majority of the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558800</wp:posOffset>
            </wp:positionV>
            <wp:extent cx="5452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8" w:name="page109"/>
    <w:bookmarkEnd w:id="108"/>
    <w:p>
      <w:pPr>
        <w:ind w:left="200" w:right="239" w:firstLine="657"/>
        <w:spacing w:after="0" w:line="238" w:lineRule="auto"/>
        <w:tabs>
          <w:tab w:leader="none" w:pos="110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Amendment by Stockholders</w:t>
      </w:r>
      <w:r>
        <w:rPr>
          <w:rFonts w:ascii="Arial" w:cs="Arial" w:eastAsia="Arial" w:hAnsi="Arial"/>
          <w:sz w:val="17"/>
          <w:szCs w:val="17"/>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96" w:lineRule="exact"/>
        <w:rPr>
          <w:sz w:val="20"/>
          <w:szCs w:val="20"/>
          <w:color w:val="auto"/>
        </w:rPr>
      </w:pPr>
    </w:p>
    <w:p>
      <w:pPr>
        <w:ind w:left="200" w:right="499" w:firstLine="648"/>
        <w:spacing w:after="0" w:line="26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Notices</w:t>
      </w:r>
      <w:r>
        <w:rPr>
          <w:rFonts w:ascii="Arial" w:cs="Arial" w:eastAsia="Arial" w:hAnsi="Arial"/>
          <w:sz w:val="16"/>
          <w:szCs w:val="16"/>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89" w:lineRule="exact"/>
        <w:rPr>
          <w:sz w:val="20"/>
          <w:szCs w:val="20"/>
          <w:color w:val="auto"/>
        </w:rPr>
      </w:pPr>
    </w:p>
    <w:p>
      <w:pPr>
        <w:ind w:left="200" w:right="519" w:firstLine="648"/>
        <w:spacing w:after="0" w:line="24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03" w:lineRule="exact"/>
        <w:rPr>
          <w:sz w:val="20"/>
          <w:szCs w:val="20"/>
          <w:color w:val="auto"/>
        </w:rPr>
      </w:pPr>
    </w:p>
    <w:p>
      <w:pPr>
        <w:ind w:left="200" w:right="239" w:firstLine="648"/>
        <w:spacing w:after="0" w:line="23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Exclusive Jurisdiction of Delaware Courts or the United States District Court for the District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Massachusetts</w:t>
      </w:r>
      <w:r>
        <w:rPr>
          <w:rFonts w:ascii="Arial" w:cs="Arial" w:eastAsia="Arial" w:hAnsi="Arial"/>
          <w:sz w:val="17"/>
          <w:szCs w:val="17"/>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Delaware General Corporation Law or the Corporation’s Certificate of Incorporation or Bylaws, or (iv) any action asserting a claim against the Corporation governed by the internal affairs doctrine. Unless the Corporation consents in writing to the selection of an alternative forum, the United States District Court for the District of Massachusetts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11.</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ADOPTED: March 12, 2015</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EFFECTIVE: May 6, 2015</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AMENDED: April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606425</wp:posOffset>
            </wp:positionV>
            <wp:extent cx="545211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9" w:name="page110"/>
    <w:bookmarkEnd w:id="109"/>
    <w:p>
      <w:pPr>
        <w:jc w:val="right"/>
        <w:ind w:right="219"/>
        <w:spacing w:after="0"/>
        <w:rPr>
          <w:sz w:val="20"/>
          <w:szCs w:val="20"/>
          <w:color w:val="auto"/>
        </w:rPr>
      </w:pPr>
      <w:r>
        <w:rPr>
          <w:rFonts w:ascii="Arial" w:cs="Arial" w:eastAsia="Arial" w:hAnsi="Arial"/>
          <w:sz w:val="18"/>
          <w:szCs w:val="18"/>
          <w:b w:val="1"/>
          <w:bCs w:val="1"/>
          <w:color w:val="auto"/>
        </w:rPr>
        <w:t>Exhibit 10.1</w:t>
      </w:r>
    </w:p>
    <w:p>
      <w:pPr>
        <w:spacing w:after="0" w:line="382" w:lineRule="exact"/>
        <w:rPr>
          <w:sz w:val="20"/>
          <w:szCs w:val="20"/>
          <w:color w:val="auto"/>
        </w:rPr>
      </w:pPr>
    </w:p>
    <w:p>
      <w:pPr>
        <w:jc w:val="both"/>
        <w:ind w:left="200" w:right="219" w:firstLine="9"/>
        <w:spacing w:after="0" w:line="227" w:lineRule="auto"/>
        <w:tabs>
          <w:tab w:leader="none" w:pos="64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 (I) NOT MATERIAL AND (II) WOULD BE COMPETITIVELY HARMFUL IF PUBLICLY DISCLOSED.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EIGHTH AMENDMENT TO COLLABORATION AND LICENSE AGREEMENT</w:t>
      </w:r>
    </w:p>
    <w:p>
      <w:pPr>
        <w:spacing w:after="0" w:line="212" w:lineRule="exact"/>
        <w:rPr>
          <w:sz w:val="20"/>
          <w:szCs w:val="20"/>
          <w:color w:val="auto"/>
        </w:rPr>
      </w:pPr>
    </w:p>
    <w:p>
      <w:pPr>
        <w:ind w:left="200" w:right="259" w:firstLine="648"/>
        <w:spacing w:after="0"/>
        <w:rPr>
          <w:sz w:val="20"/>
          <w:szCs w:val="20"/>
          <w:color w:val="auto"/>
        </w:rPr>
      </w:pPr>
      <w:r>
        <w:rPr>
          <w:rFonts w:ascii="Arial" w:cs="Arial" w:eastAsia="Arial" w:hAnsi="Arial"/>
          <w:sz w:val="18"/>
          <w:szCs w:val="18"/>
          <w:color w:val="auto"/>
        </w:rPr>
        <w:t>This Eighth Amendment (this “</w:t>
      </w:r>
      <w:r>
        <w:rPr>
          <w:rFonts w:ascii="Arial" w:cs="Arial" w:eastAsia="Arial" w:hAnsi="Arial"/>
          <w:sz w:val="18"/>
          <w:szCs w:val="18"/>
          <w:b w:val="1"/>
          <w:bCs w:val="1"/>
          <w:color w:val="auto"/>
        </w:rPr>
        <w:t>Eighth Amendment</w:t>
      </w:r>
      <w:r>
        <w:rPr>
          <w:rFonts w:ascii="Arial" w:cs="Arial" w:eastAsia="Arial" w:hAnsi="Arial"/>
          <w:sz w:val="18"/>
          <w:szCs w:val="18"/>
          <w:color w:val="auto"/>
        </w:rPr>
        <w:t>”), effective April 30, 2020 (“</w:t>
      </w:r>
      <w:r>
        <w:rPr>
          <w:rFonts w:ascii="Arial" w:cs="Arial" w:eastAsia="Arial" w:hAnsi="Arial"/>
          <w:sz w:val="18"/>
          <w:szCs w:val="18"/>
          <w:b w:val="1"/>
          <w:bCs w:val="1"/>
          <w:color w:val="auto"/>
        </w:rPr>
        <w:t>Eighth</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by and between F. Hoffmann-La Roche Ltd, with an office and place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18"/>
          <w:szCs w:val="18"/>
          <w:b w:val="1"/>
          <w:bCs w:val="1"/>
          <w:color w:val="auto"/>
        </w:rPr>
        <w:t>Roche</w:t>
      </w:r>
      <w:r>
        <w:rPr>
          <w:rFonts w:ascii="Arial" w:cs="Arial" w:eastAsia="Arial" w:hAnsi="Arial"/>
          <w:sz w:val="18"/>
          <w:szCs w:val="18"/>
          <w:color w:val="auto"/>
        </w:rPr>
        <w:t>”) and Blueprint Medicines Corporation, with a principal place of business at 45 Sidney Street, Cambridge, Massachusetts 02139 U.S.A. (“</w:t>
      </w:r>
      <w:r>
        <w:rPr>
          <w:rFonts w:ascii="Arial" w:cs="Arial" w:eastAsia="Arial" w:hAnsi="Arial"/>
          <w:sz w:val="18"/>
          <w:szCs w:val="18"/>
          <w:b w:val="1"/>
          <w:bCs w:val="1"/>
          <w:color w:val="auto"/>
        </w:rPr>
        <w:t>BPM</w:t>
      </w:r>
      <w:r>
        <w:rPr>
          <w:rFonts w:ascii="Arial" w:cs="Arial" w:eastAsia="Arial" w:hAnsi="Arial"/>
          <w:sz w:val="18"/>
          <w:szCs w:val="18"/>
          <w:color w:val="auto"/>
        </w:rPr>
        <w:t>”). Capitalized terms used and not otherwise defined in this Eighth Amendment shall have the meanings set forth in the Agreement (as defined below).</w:t>
      </w:r>
    </w:p>
    <w:p>
      <w:pPr>
        <w:spacing w:after="0" w:line="207" w:lineRule="exact"/>
        <w:rPr>
          <w:sz w:val="20"/>
          <w:szCs w:val="20"/>
          <w:color w:val="auto"/>
        </w:rPr>
      </w:pPr>
    </w:p>
    <w:p>
      <w:pPr>
        <w:ind w:left="200" w:right="239" w:firstLine="648"/>
        <w:spacing w:after="0" w:line="238" w:lineRule="auto"/>
        <w:rPr>
          <w:sz w:val="20"/>
          <w:szCs w:val="20"/>
          <w:color w:val="auto"/>
        </w:rPr>
      </w:pPr>
      <w:r>
        <w:rPr>
          <w:rFonts w:ascii="Arial" w:cs="Arial" w:eastAsia="Arial" w:hAnsi="Arial"/>
          <w:sz w:val="18"/>
          <w:szCs w:val="18"/>
          <w:color w:val="auto"/>
        </w:rPr>
        <w:t>WHEREAS, BPM and Roche entered into a Collaboration and License Agreement, dated March 14, 2016, as amended by an amendment, effective April 15, 2016, a second amendment, effective April 27, 2016, a third amendment, effective August 4, 2016, a fourth amendment, effective February 25, 2019, a fifth amendment, effective June 28, 2019, a sixth amendment effective November 1, 2019 and a seventh amendment effective December 17, 2019 (collectively,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9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WHEREAS, BPM and Roche desire to amend certain terms under the Agreement, as set forth</w:t>
      </w:r>
    </w:p>
    <w:p>
      <w:pPr>
        <w:ind w:left="200"/>
        <w:spacing w:after="0"/>
        <w:rPr>
          <w:sz w:val="20"/>
          <w:szCs w:val="20"/>
          <w:color w:val="auto"/>
        </w:rPr>
      </w:pPr>
      <w:r>
        <w:rPr>
          <w:rFonts w:ascii="Arial" w:cs="Arial" w:eastAsia="Arial" w:hAnsi="Arial"/>
          <w:sz w:val="18"/>
          <w:szCs w:val="18"/>
          <w:color w:val="auto"/>
        </w:rPr>
        <w:t>below;</w:t>
      </w:r>
    </w:p>
    <w:p>
      <w:pPr>
        <w:spacing w:after="0" w:line="21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NOW THEREFORE, Roche and Blueprint hereby agree as follows:</w:t>
      </w:r>
    </w:p>
    <w:p>
      <w:pPr>
        <w:spacing w:after="0" w:line="225" w:lineRule="exact"/>
        <w:rPr>
          <w:sz w:val="20"/>
          <w:szCs w:val="20"/>
          <w:color w:val="auto"/>
        </w:rPr>
      </w:pPr>
    </w:p>
    <w:p>
      <w:pPr>
        <w:ind w:left="1520" w:hanging="663"/>
        <w:spacing w:after="0"/>
        <w:tabs>
          <w:tab w:leader="none" w:pos="15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Section 1.86 (Option Period) of the Agreement shall be deleted in its entirety and replaced</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by the following:</w:t>
      </w:r>
    </w:p>
    <w:p>
      <w:pPr>
        <w:spacing w:after="0" w:line="200" w:lineRule="exact"/>
        <w:rPr>
          <w:sz w:val="20"/>
          <w:szCs w:val="20"/>
          <w:color w:val="auto"/>
        </w:rPr>
      </w:pPr>
    </w:p>
    <w:p>
      <w:pPr>
        <w:spacing w:after="0" w:line="214" w:lineRule="exact"/>
        <w:rPr>
          <w:sz w:val="20"/>
          <w:szCs w:val="20"/>
          <w:color w:val="auto"/>
        </w:rPr>
      </w:pPr>
    </w:p>
    <w:p>
      <w:pPr>
        <w:ind w:left="1500" w:right="299"/>
        <w:spacing w:after="0" w:line="248" w:lineRule="auto"/>
        <w:rPr>
          <w:sz w:val="20"/>
          <w:szCs w:val="20"/>
          <w:color w:val="auto"/>
        </w:rPr>
      </w:pPr>
      <w:r>
        <w:rPr>
          <w:rFonts w:ascii="Arial" w:cs="Arial" w:eastAsia="Arial" w:hAnsi="Arial"/>
          <w:sz w:val="17"/>
          <w:szCs w:val="17"/>
          <w:color w:val="auto"/>
        </w:rPr>
        <w:t>“The term ‘Option Period’ shall mean, for each Collaboration Target, the period beginning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w:t>
      </w:r>
    </w:p>
    <w:p>
      <w:pPr>
        <w:spacing w:after="0" w:line="3" w:lineRule="exact"/>
        <w:rPr>
          <w:sz w:val="20"/>
          <w:szCs w:val="20"/>
          <w:color w:val="auto"/>
        </w:rPr>
      </w:pPr>
    </w:p>
    <w:p>
      <w:pPr>
        <w:ind w:left="1500" w:right="239" w:firstLine="5"/>
        <w:spacing w:after="0" w:line="236" w:lineRule="auto"/>
        <w:tabs>
          <w:tab w:leader="none" w:pos="18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the date upon which a Product (including Backup Compounds) for such Collaboration Target is no longer in GLP Tox Studies, in Phase I Studies, or progressing from GLP Tox Studies to Phase I Studies, or (v) [***] after achievement of Lead Series Identified Criteria has been confirmed by the JRC for such Collaboration Target if Initiation of the GLP Tox Study has not been achieved for such Collaboration Target prior to such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 for purposes of this clause 1.86(v), [***]. Promptly after the Eighth</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Effective Date, the JRC will [***] as the JRC deems reasonably appropriate with the goals of (a) [***] on or prior to [***] and [***], and (b) [***]. The Parties hereby agree that [***]. In the event that the JRC subsequently [***].</w:t>
      </w:r>
    </w:p>
    <w:p>
      <w:pPr>
        <w:spacing w:after="0" w:line="206" w:lineRule="exact"/>
        <w:rPr>
          <w:rFonts w:ascii="Arial" w:cs="Arial" w:eastAsia="Arial" w:hAnsi="Arial"/>
          <w:sz w:val="18"/>
          <w:szCs w:val="18"/>
          <w:color w:val="auto"/>
        </w:rPr>
      </w:pPr>
    </w:p>
    <w:p>
      <w:pPr>
        <w:ind w:left="200" w:right="219" w:firstLine="657"/>
        <w:spacing w:after="0" w:line="238" w:lineRule="auto"/>
        <w:tabs>
          <w:tab w:leader="none" w:pos="1538"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event that (A) Initiation of the GLP Tox Study for [***] or (B) prior to such date, the JRC determines [***] shall not be continued for any reason, then [***] shall automatically be classified as a “Terminated Target” under the Agreement in all countries in the Territory in accordance with Section 21.2.4 (the failure to satisfy the deadline under clause (A) or the occurrence of the trigger under clause (B), as applicable, is hereinafter referred to as the “</w:t>
      </w:r>
      <w:r>
        <w:rPr>
          <w:rFonts w:ascii="Arial" w:cs="Arial" w:eastAsia="Arial" w:hAnsi="Arial"/>
          <w:sz w:val="18"/>
          <w:szCs w:val="18"/>
          <w:b w:val="1"/>
          <w:bCs w:val="1"/>
          <w:color w:val="auto"/>
        </w:rPr>
        <w:t>[***]</w:t>
      </w:r>
      <w:r>
        <w:rPr>
          <w:rFonts w:ascii="Arial" w:cs="Arial" w:eastAsia="Arial" w:hAnsi="Arial"/>
          <w:sz w:val="18"/>
          <w:szCs w:val="18"/>
          <w:color w:val="auto"/>
        </w:rPr>
        <w:t>”). Notwithstanding the written notice period set forth in such Section 21.2.4, the effective date of termination of such Terminated Target will be the [***]. Further, the Parties hereby acknowledge and agree that effective as of the [***], this Eighth Amendment will be deemed to constitute a “Continuation Election Notice” in accordance with Section 21.3.1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ind w:left="200" w:right="339"/>
        <w:spacing w:after="0" w:line="234" w:lineRule="auto"/>
        <w:rPr>
          <w:sz w:val="20"/>
          <w:szCs w:val="20"/>
          <w:color w:val="auto"/>
        </w:rPr>
      </w:pPr>
      <w:r>
        <w:rPr>
          <w:rFonts w:ascii="Arial" w:cs="Arial" w:eastAsia="Arial" w:hAnsi="Arial"/>
          <w:sz w:val="18"/>
          <w:szCs w:val="18"/>
          <w:color w:val="auto"/>
        </w:rPr>
        <w:t>Roche will comply with its obligations under 21.3.1 and 21.3.4; provided that no payment will be due or payable to Roche under Section 21.3.1(f) or 21.3.4.4. As of the [***], (a) the rights and licenses granted by BPM to Roche under the Agreement related to [***] will terminate in their entirety in all countries in the Territory, (b) except as set forth herein, the rights and obligations of the Parties under the Agreement will terminate with respect to [***], (c) Roche’s obligations under Section 20.1 will survive with respect to [***],</w:t>
      </w:r>
    </w:p>
    <w:p>
      <w:pPr>
        <w:spacing w:after="0" w:line="3" w:lineRule="exact"/>
        <w:rPr>
          <w:sz w:val="20"/>
          <w:szCs w:val="20"/>
          <w:color w:val="auto"/>
        </w:rPr>
      </w:pPr>
    </w:p>
    <w:p>
      <w:pPr>
        <w:ind w:left="200" w:right="239" w:firstLine="9"/>
        <w:spacing w:after="0" w:line="236" w:lineRule="auto"/>
        <w:tabs>
          <w:tab w:leader="none" w:pos="4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BPM will solely own all Collaboration Compounds and Other Compounds for [***], including their methods of manufacture and use, and all Patent Rights and Know-How relating thereto and (e) for the avoidance of doubt, BPM will have the right to (i) research, develop, manufacture, commercialize and otherwise exploit compounds and products related to [***] outside of the Agreement without any financial obligations to Roche, (ii) publish data and other Know-How related to [***] (including without limitation the name of the target and Collaboration Compounds and Other Compounds for such Terminated Target) generated by or on behalf of the Parties under the Agreement prior to the [***] or thereafter without obtaining prior review or approval from Roche and (iii) disclose, in its sole discretion, in a manner consistent with BPM’s then-current disclosure or publication practices or policies that such data or Know-How was generated under the Agreement and/or the names and affiliations of the individuals involved in the generation of such data or Know-How, if and as applicable.</w:t>
      </w:r>
    </w:p>
    <w:p>
      <w:pPr>
        <w:spacing w:after="0" w:line="204" w:lineRule="exact"/>
        <w:rPr>
          <w:rFonts w:ascii="Arial" w:cs="Arial" w:eastAsia="Arial" w:hAnsi="Arial"/>
          <w:sz w:val="18"/>
          <w:szCs w:val="18"/>
          <w:color w:val="auto"/>
        </w:rPr>
      </w:pPr>
    </w:p>
    <w:p>
      <w:pPr>
        <w:ind w:left="200" w:right="319" w:firstLine="657"/>
        <w:spacing w:after="0" w:line="242" w:lineRule="auto"/>
        <w:tabs>
          <w:tab w:leader="none" w:pos="164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Eighth Amendment may be executed in two (2) or more counterparts, each of which shall be deemed an original, but all of which together shall constitute one and the same</w:t>
      </w:r>
    </w:p>
    <w:p>
      <w:pPr>
        <w:spacing w:after="0" w:line="1" w:lineRule="exact"/>
        <w:rPr>
          <w:rFonts w:ascii="Arial" w:cs="Arial" w:eastAsia="Arial" w:hAnsi="Arial"/>
          <w:sz w:val="18"/>
          <w:szCs w:val="18"/>
          <w:color w:val="auto"/>
        </w:rPr>
      </w:pPr>
    </w:p>
    <w:p>
      <w:pPr>
        <w:jc w:val="both"/>
        <w:ind w:left="200" w:right="479"/>
        <w:spacing w:after="0"/>
        <w:rPr>
          <w:rFonts w:ascii="Arial" w:cs="Arial" w:eastAsia="Arial" w:hAnsi="Arial"/>
          <w:sz w:val="18"/>
          <w:szCs w:val="18"/>
          <w:color w:val="auto"/>
        </w:rPr>
      </w:pPr>
      <w:r>
        <w:rPr>
          <w:rFonts w:ascii="Arial" w:cs="Arial" w:eastAsia="Arial" w:hAnsi="Arial"/>
          <w:sz w:val="18"/>
          <w:szCs w:val="18"/>
          <w:color w:val="auto"/>
        </w:rPr>
        <w:t>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202" w:lineRule="exact"/>
        <w:rPr>
          <w:rFonts w:ascii="Arial" w:cs="Arial" w:eastAsia="Arial" w:hAnsi="Arial"/>
          <w:sz w:val="18"/>
          <w:szCs w:val="18"/>
          <w:color w:val="auto"/>
        </w:rPr>
      </w:pPr>
    </w:p>
    <w:p>
      <w:pPr>
        <w:ind w:left="1660" w:hanging="803"/>
        <w:spacing w:after="0"/>
        <w:tabs>
          <w:tab w:leader="none" w:pos="16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This Eighth Amendment shall be effective as of the Eighth Amendment Effective</w:t>
      </w:r>
    </w:p>
    <w:p>
      <w:pPr>
        <w:spacing w:after="0" w:line="9" w:lineRule="exact"/>
        <w:rPr>
          <w:sz w:val="20"/>
          <w:szCs w:val="20"/>
          <w:color w:val="auto"/>
        </w:rPr>
      </w:pPr>
    </w:p>
    <w:p>
      <w:pPr>
        <w:ind w:left="200" w:right="419"/>
        <w:spacing w:after="0" w:line="237" w:lineRule="auto"/>
        <w:rPr>
          <w:sz w:val="20"/>
          <w:szCs w:val="20"/>
          <w:color w:val="auto"/>
        </w:rPr>
      </w:pPr>
      <w:r>
        <w:rPr>
          <w:rFonts w:ascii="Arial" w:cs="Arial" w:eastAsia="Arial" w:hAnsi="Arial"/>
          <w:sz w:val="18"/>
          <w:szCs w:val="18"/>
          <w:color w:val="auto"/>
        </w:rPr>
        <w:t>Date. On and after the Eighth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Eighth Amendment. Except as specifically amended above, the Agreement shall remain in full force and effect in accordance with its terms and is hereby ratified and confirmed.</w:t>
      </w:r>
    </w:p>
    <w:p>
      <w:pPr>
        <w:spacing w:after="0" w:line="205" w:lineRule="exact"/>
        <w:rPr>
          <w:sz w:val="20"/>
          <w:szCs w:val="20"/>
          <w:color w:val="auto"/>
        </w:rPr>
      </w:pPr>
    </w:p>
    <w:p>
      <w:pPr>
        <w:ind w:left="200" w:right="219" w:firstLine="657"/>
        <w:spacing w:after="0" w:line="248" w:lineRule="auto"/>
        <w:tabs>
          <w:tab w:leader="none" w:pos="164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Eighth Amendment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780415</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11" w:name="page112"/>
    <w:bookmarkEnd w:id="111"/>
    <w:p>
      <w:pPr>
        <w:ind w:left="200" w:right="459" w:firstLine="550"/>
        <w:spacing w:after="0" w:line="246" w:lineRule="auto"/>
        <w:rPr>
          <w:sz w:val="20"/>
          <w:szCs w:val="20"/>
          <w:color w:val="auto"/>
        </w:rPr>
      </w:pPr>
      <w:r>
        <w:rPr>
          <w:rFonts w:ascii="Arial" w:cs="Arial" w:eastAsia="Arial" w:hAnsi="Arial"/>
          <w:sz w:val="18"/>
          <w:szCs w:val="18"/>
          <w:color w:val="auto"/>
        </w:rPr>
        <w:t>IN WITNESS WHEREOF, the Parties have caused this Eighth Amendment to be executed by their respective duly authorized representatives as of the Eighth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 Jeffrey W. Albers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Jeffrey W. Albers</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320" w:type="dxa"/>
        <w:tblCellMar>
          <w:top w:w="0" w:type="dxa"/>
          <w:left w:w="0" w:type="dxa"/>
          <w:bottom w:w="0" w:type="dxa"/>
          <w:right w:w="0" w:type="dxa"/>
        </w:tblCellMar>
      </w:tblPr>
      <w:tr>
        <w:trPr>
          <w:trHeight w:val="239"/>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F. Hoffmann-La Roche Ltd</w:t>
            </w: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80"/>
        </w:trPr>
        <w:tc>
          <w:tcPr>
            <w:tcW w:w="4660" w:type="dxa"/>
            <w:vAlign w:val="bottom"/>
            <w:gridSpan w:val="2"/>
          </w:tcPr>
          <w:p>
            <w:pPr>
              <w:spacing w:after="0"/>
              <w:rPr>
                <w:sz w:val="20"/>
                <w:szCs w:val="20"/>
                <w:color w:val="auto"/>
              </w:rPr>
            </w:pPr>
            <w:r>
              <w:rPr>
                <w:rFonts w:ascii="Arial" w:cs="Arial" w:eastAsia="Arial" w:hAnsi="Arial"/>
                <w:sz w:val="18"/>
                <w:szCs w:val="18"/>
                <w:color w:val="auto"/>
              </w:rPr>
              <w:t>/s/ Markus Keller</w:t>
            </w:r>
          </w:p>
        </w:tc>
        <w:tc>
          <w:tcPr>
            <w:tcW w:w="2020" w:type="dxa"/>
            <w:vAlign w:val="bottom"/>
            <w:gridSpan w:val="2"/>
          </w:tcPr>
          <w:p>
            <w:pPr>
              <w:spacing w:after="0"/>
              <w:rPr>
                <w:sz w:val="20"/>
                <w:szCs w:val="20"/>
                <w:color w:val="auto"/>
              </w:rPr>
            </w:pPr>
            <w:r>
              <w:rPr>
                <w:rFonts w:ascii="Arial" w:cs="Arial" w:eastAsia="Arial" w:hAnsi="Arial"/>
                <w:sz w:val="18"/>
                <w:szCs w:val="18"/>
                <w:color w:val="auto"/>
              </w:rPr>
              <w:t>/s/ Stefan Arnold</w:t>
            </w:r>
          </w:p>
        </w:tc>
      </w:tr>
      <w:tr>
        <w:trPr>
          <w:trHeight w:val="20"/>
        </w:trPr>
        <w:tc>
          <w:tcPr>
            <w:tcW w:w="13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39"/>
        </w:trPr>
        <w:tc>
          <w:tcPr>
            <w:tcW w:w="4660" w:type="dxa"/>
            <w:vAlign w:val="bottom"/>
            <w:gridSpan w:val="2"/>
          </w:tcPr>
          <w:p>
            <w:pPr>
              <w:spacing w:after="0"/>
              <w:rPr>
                <w:sz w:val="20"/>
                <w:szCs w:val="20"/>
                <w:color w:val="auto"/>
              </w:rPr>
            </w:pPr>
            <w:r>
              <w:rPr>
                <w:rFonts w:ascii="Arial" w:cs="Arial" w:eastAsia="Arial" w:hAnsi="Arial"/>
                <w:sz w:val="18"/>
                <w:szCs w:val="18"/>
                <w:color w:val="auto"/>
              </w:rPr>
              <w:t>Name: Markus Keller</w:t>
            </w:r>
          </w:p>
        </w:tc>
        <w:tc>
          <w:tcPr>
            <w:tcW w:w="2020" w:type="dxa"/>
            <w:vAlign w:val="bottom"/>
            <w:gridSpan w:val="2"/>
          </w:tcPr>
          <w:p>
            <w:pPr>
              <w:spacing w:after="0"/>
              <w:rPr>
                <w:sz w:val="20"/>
                <w:szCs w:val="20"/>
                <w:color w:val="auto"/>
              </w:rPr>
            </w:pPr>
            <w:r>
              <w:rPr>
                <w:rFonts w:ascii="Arial" w:cs="Arial" w:eastAsia="Arial" w:hAnsi="Arial"/>
                <w:sz w:val="18"/>
                <w:szCs w:val="18"/>
                <w:color w:val="auto"/>
              </w:rPr>
              <w:t>Name: Stefan Arnold</w:t>
            </w:r>
          </w:p>
        </w:tc>
      </w:tr>
      <w:tr>
        <w:trPr>
          <w:trHeight w:val="311"/>
        </w:trPr>
        <w:tc>
          <w:tcPr>
            <w:tcW w:w="4660" w:type="dxa"/>
            <w:vAlign w:val="bottom"/>
            <w:gridSpan w:val="2"/>
          </w:tcPr>
          <w:p>
            <w:pPr>
              <w:spacing w:after="0"/>
              <w:rPr>
                <w:sz w:val="20"/>
                <w:szCs w:val="20"/>
                <w:color w:val="auto"/>
              </w:rPr>
            </w:pPr>
            <w:r>
              <w:rPr>
                <w:rFonts w:ascii="Arial" w:cs="Arial" w:eastAsia="Arial" w:hAnsi="Arial"/>
                <w:sz w:val="18"/>
                <w:szCs w:val="18"/>
                <w:color w:val="auto"/>
              </w:rPr>
              <w:t>Title: Global Alliance &amp; Asset Management Director</w:t>
            </w:r>
          </w:p>
        </w:tc>
        <w:tc>
          <w:tcPr>
            <w:tcW w:w="2020" w:type="dxa"/>
            <w:vAlign w:val="bottom"/>
            <w:gridSpan w:val="2"/>
          </w:tcPr>
          <w:p>
            <w:pPr>
              <w:spacing w:after="0"/>
              <w:rPr>
                <w:sz w:val="20"/>
                <w:szCs w:val="20"/>
                <w:color w:val="auto"/>
              </w:rPr>
            </w:pPr>
            <w:r>
              <w:rPr>
                <w:rFonts w:ascii="Arial" w:cs="Arial" w:eastAsia="Arial" w:hAnsi="Arial"/>
                <w:sz w:val="18"/>
                <w:szCs w:val="18"/>
                <w:color w:val="auto"/>
                <w:w w:val="97"/>
              </w:rPr>
              <w:t>Title: Head Legal Pharma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Hoffmann-La Roche Inc.</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/s/ John P. Parise</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Name: John P. Parise</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820420</wp:posOffset>
            </wp:positionV>
            <wp:extent cx="545211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12" w:name="page113"/>
    <w:bookmarkEnd w:id="112"/>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520" w:hanging="663"/>
        <w:spacing w:after="0"/>
        <w:tabs>
          <w:tab w:leader="none" w:pos="15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200" w:right="299" w:firstLine="657"/>
        <w:spacing w:after="0" w:line="224" w:lineRule="auto"/>
        <w:tabs>
          <w:tab w:leader="none" w:pos="151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200" w:right="439" w:firstLine="657"/>
        <w:spacing w:after="0" w:line="224" w:lineRule="auto"/>
        <w:tabs>
          <w:tab w:leader="none" w:pos="151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200" w:right="459" w:firstLine="657"/>
        <w:spacing w:after="0" w:line="259" w:lineRule="auto"/>
        <w:tabs>
          <w:tab w:leader="none" w:pos="1514"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860" w:right="279" w:firstLine="645"/>
        <w:spacing w:after="0" w:line="219" w:lineRule="auto"/>
        <w:tabs>
          <w:tab w:leader="none" w:pos="215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39" w:firstLine="645"/>
        <w:spacing w:after="0" w:line="219" w:lineRule="auto"/>
        <w:tabs>
          <w:tab w:leader="none" w:pos="216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60" w:right="399" w:firstLine="645"/>
        <w:spacing w:after="0" w:line="237" w:lineRule="auto"/>
        <w:tabs>
          <w:tab w:leader="none" w:pos="2184"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19" w:lineRule="auto"/>
        <w:tabs>
          <w:tab w:leader="none" w:pos="2168"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200" w:right="259" w:firstLine="657"/>
        <w:spacing w:after="0" w:line="224" w:lineRule="auto"/>
        <w:tabs>
          <w:tab w:leader="none" w:pos="151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860" w:right="419" w:firstLine="645"/>
        <w:spacing w:after="0" w:line="224" w:lineRule="auto"/>
        <w:tabs>
          <w:tab w:leader="none" w:pos="215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860" w:right="579" w:firstLine="645"/>
        <w:spacing w:after="0" w:line="258" w:lineRule="auto"/>
        <w:tabs>
          <w:tab w:leader="none" w:pos="2168"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0"/>
        <w:spacing w:after="0"/>
        <w:tabs>
          <w:tab w:leader="none" w:pos="44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wp:posOffset>
            </wp:positionV>
            <wp:extent cx="2562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441960</wp:posOffset>
            </wp:positionV>
            <wp:extent cx="54521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3" w:name="page114"/>
    <w:bookmarkEnd w:id="113"/>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520" w:hanging="663"/>
        <w:spacing w:after="0"/>
        <w:tabs>
          <w:tab w:leader="none" w:pos="1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200" w:right="299" w:firstLine="657"/>
        <w:spacing w:after="0" w:line="224" w:lineRule="auto"/>
        <w:tabs>
          <w:tab w:leader="none" w:pos="15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200" w:right="439" w:firstLine="657"/>
        <w:spacing w:after="0" w:line="224" w:lineRule="auto"/>
        <w:tabs>
          <w:tab w:leader="none" w:pos="15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Arial" w:cs="Arial" w:eastAsia="Arial" w:hAnsi="Arial"/>
          <w:sz w:val="18"/>
          <w:szCs w:val="18"/>
          <w:color w:val="auto"/>
        </w:rPr>
      </w:pPr>
    </w:p>
    <w:p>
      <w:pPr>
        <w:ind w:left="200" w:right="459" w:firstLine="657"/>
        <w:spacing w:after="0" w:line="259" w:lineRule="auto"/>
        <w:tabs>
          <w:tab w:leader="none" w:pos="1514"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6"/>
          <w:szCs w:val="16"/>
          <w:color w:val="auto"/>
        </w:rPr>
      </w:pPr>
    </w:p>
    <w:p>
      <w:pPr>
        <w:ind w:left="860" w:right="279" w:firstLine="645"/>
        <w:spacing w:after="0" w:line="219" w:lineRule="auto"/>
        <w:tabs>
          <w:tab w:leader="none" w:pos="21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39" w:firstLine="645"/>
        <w:spacing w:after="0" w:line="219" w:lineRule="auto"/>
        <w:tabs>
          <w:tab w:leader="none" w:pos="216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60" w:right="399" w:firstLine="645"/>
        <w:spacing w:after="0" w:line="237" w:lineRule="auto"/>
        <w:tabs>
          <w:tab w:leader="none" w:pos="2184" w:val="left"/>
        </w:tabs>
        <w:numPr>
          <w:ilvl w:val="1"/>
          <w:numId w:val="6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19" w:lineRule="auto"/>
        <w:tabs>
          <w:tab w:leader="none" w:pos="2168"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200" w:right="259" w:firstLine="657"/>
        <w:spacing w:after="0" w:line="224" w:lineRule="auto"/>
        <w:tabs>
          <w:tab w:leader="none" w:pos="151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8"/>
          <w:szCs w:val="18"/>
          <w:color w:val="auto"/>
        </w:rPr>
      </w:pPr>
    </w:p>
    <w:p>
      <w:pPr>
        <w:ind w:left="860" w:right="419" w:firstLine="645"/>
        <w:spacing w:after="0" w:line="224" w:lineRule="auto"/>
        <w:tabs>
          <w:tab w:leader="none" w:pos="215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Arial" w:cs="Arial" w:eastAsia="Arial" w:hAnsi="Arial"/>
          <w:sz w:val="18"/>
          <w:szCs w:val="18"/>
          <w:color w:val="auto"/>
        </w:rPr>
      </w:pPr>
    </w:p>
    <w:p>
      <w:pPr>
        <w:ind w:left="860" w:right="579" w:firstLine="645"/>
        <w:spacing w:after="0" w:line="258" w:lineRule="auto"/>
        <w:tabs>
          <w:tab w:leader="none" w:pos="2168"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20"/>
        <w:spacing w:after="0"/>
        <w:tabs>
          <w:tab w:leader="none" w:pos="44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-635</wp:posOffset>
            </wp:positionV>
            <wp:extent cx="25717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ind w:left="4740"/>
        <w:spacing w:after="0" w:line="203" w:lineRule="auto"/>
        <w:rPr>
          <w:sz w:val="20"/>
          <w:szCs w:val="20"/>
          <w:color w:val="auto"/>
        </w:rPr>
      </w:pPr>
      <w:r>
        <w:rPr>
          <w:rFonts w:ascii="Arial" w:cs="Arial" w:eastAsia="Arial" w:hAnsi="Arial"/>
          <w:sz w:val="18"/>
          <w:szCs w:val="18"/>
          <w:color w:val="auto"/>
        </w:rPr>
        <w:t>Michael Landsittel</w:t>
      </w:r>
    </w:p>
    <w:p>
      <w:pPr>
        <w:ind w:left="47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441960</wp:posOffset>
            </wp:positionV>
            <wp:extent cx="545211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4" w:name="page115"/>
    <w:bookmarkEnd w:id="114"/>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200" w:right="21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200" w:right="27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March 31, 2020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500" w:right="239" w:hanging="562"/>
        <w:spacing w:after="0" w:line="235" w:lineRule="auto"/>
        <w:tabs>
          <w:tab w:leader="none" w:pos="15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500" w:right="879" w:hanging="562"/>
        <w:spacing w:after="0" w:line="235" w:lineRule="auto"/>
        <w:tabs>
          <w:tab w:leader="none" w:pos="152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wp:posOffset>
            </wp:positionV>
            <wp:extent cx="25114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Jeffrey W. Albers</w:t>
      </w:r>
    </w:p>
    <w:p>
      <w:pPr>
        <w:ind w:left="484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May 6, 2020</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wp:posOffset>
            </wp:positionV>
            <wp:extent cx="25114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Michael Landsittel</w:t>
      </w:r>
    </w:p>
    <w:p>
      <w:pPr>
        <w:ind w:left="4840"/>
        <w:spacing w:after="0" w:line="203"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441960</wp:posOffset>
            </wp:positionV>
            <wp:extent cx="5452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3"/>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lvl w:ilvl="1">
      <w:lvlJc w:val="left"/>
      <w:lvlText w:val="%2"/>
      <w:numFmt w:val="decimal"/>
      <w:start w:val="104"/>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1)"/>
      <w:numFmt w:val="lowerLetter"/>
      <w:start w:val="1"/>
    </w:lvl>
    <w:lvl w:ilvl="1">
      <w:lvlJc w:val="left"/>
      <w:lvlText w:val="(%2)"/>
      <w:numFmt w:val="decimal"/>
      <w:start w:val="1"/>
    </w:lvl>
  </w:abstractNum>
  <w:abstractNum w:abstractNumId="43">
    <w:nsid w:val="39386575"/>
    <w:multiLevelType w:val="hybridMultilevel"/>
    <w:lvl w:ilvl="0">
      <w:lvlJc w:val="left"/>
      <w:lvlText w:val="%1"/>
      <w:numFmt w:val="lowerLetter"/>
      <w:start w:val="1"/>
    </w:lvl>
    <w:lvl w:ilvl="1">
      <w:lvlJc w:val="left"/>
      <w:lvlText w:val="(%2)"/>
      <w:numFmt w:val="upperLetter"/>
      <w:start w:val="1"/>
    </w:lvl>
  </w:abstractNum>
  <w:abstractNum w:abstractNumId="44">
    <w:nsid w:val="1CF10FD8"/>
    <w:multiLevelType w:val="hybridMultilevel"/>
    <w:lvl w:ilvl="0">
      <w:lvlJc w:val="left"/>
      <w:lvlText w:val="(%1)"/>
      <w:numFmt w:val="lowerLetter"/>
      <w:start w:val="3"/>
    </w:lvl>
    <w:lvl w:ilvl="1">
      <w:lvlJc w:val="left"/>
      <w:lvlText w:val="%2"/>
      <w:numFmt w:val="upperLetter"/>
      <w:start w:val="1"/>
    </w:lvl>
  </w:abstractNum>
  <w:abstractNum w:abstractNumId="45">
    <w:nsid w:val="180115BE"/>
    <w:multiLevelType w:val="hybridMultilevel"/>
    <w:lvl w:ilvl="0">
      <w:lvlJc w:val="left"/>
      <w:lvlText w:val="(%1)"/>
      <w:numFmt w:val="upperLetter"/>
      <w:start w:val="4"/>
    </w:lvl>
  </w:abstractNum>
  <w:abstractNum w:abstractNumId="46">
    <w:nsid w:val="235BA861"/>
    <w:multiLevelType w:val="hybridMultilevel"/>
    <w:lvl w:ilvl="0">
      <w:lvlJc w:val="left"/>
      <w:lvlText w:val="(%1)"/>
      <w:numFmt w:val="lowerRoman"/>
      <w:start w:val="1"/>
    </w:lvl>
    <w:lvl w:ilvl="1">
      <w:lvlJc w:val="left"/>
      <w:lvlText w:val="(%2)"/>
      <w:numFmt w:val="decimal"/>
      <w:start w:val="3"/>
    </w:lvl>
  </w:abstractNum>
  <w:abstractNum w:abstractNumId="47">
    <w:nsid w:val="47398C89"/>
    <w:multiLevelType w:val="hybridMultilevel"/>
    <w:lvl w:ilvl="0">
      <w:lvlJc w:val="left"/>
      <w:lvlText w:val="(%1)"/>
      <w:numFmt w:val="lowerLetter"/>
      <w:start w:val="2"/>
    </w:lvl>
    <w:lvl w:ilvl="1">
      <w:lvlJc w:val="left"/>
      <w:lvlText w:val="(%2)"/>
      <w:numFmt w:val="decimal"/>
      <w:start w:val="1"/>
    </w:lvl>
  </w:abstractNum>
  <w:abstractNum w:abstractNumId="48">
    <w:nsid w:val="354FE9F9"/>
    <w:multiLevelType w:val="hybridMultilevel"/>
    <w:lvl w:ilvl="0">
      <w:lvlJc w:val="left"/>
      <w:lvlText w:val="(%1)"/>
      <w:numFmt w:val="lowerLetter"/>
      <w:start w:val="35"/>
    </w:lvl>
    <w:lvl w:ilvl="1">
      <w:lvlJc w:val="left"/>
      <w:lvlText w:val="%2"/>
      <w:numFmt w:val="decimal"/>
      <w:start w:val="1"/>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decimal"/>
      <w:start w:val="10"/>
    </w:lvl>
  </w:abstractNum>
  <w:abstractNum w:abstractNumId="51">
    <w:nsid w:val="D34B6A8"/>
    <w:multiLevelType w:val="hybridMultilevel"/>
    <w:lvl w:ilvl="0">
      <w:lvlJc w:val="left"/>
      <w:lvlText w:val="(%1)"/>
      <w:numFmt w:val="lowerLetter"/>
      <w:start w:val="1"/>
    </w:lvl>
  </w:abstractNum>
  <w:abstractNum w:abstractNumId="52">
    <w:nsid w:val="10233C99"/>
    <w:multiLevelType w:val="hybridMultilevel"/>
    <w:lvl w:ilvl="0">
      <w:lvlJc w:val="left"/>
      <w:lvlText w:val="(%1)"/>
      <w:numFmt w:val="lowerLetter"/>
      <w:start w:val="6"/>
    </w:lvl>
  </w:abstractNum>
  <w:abstractNum w:abstractNumId="53">
    <w:nsid w:val="3F6AB60F"/>
    <w:multiLevelType w:val="hybridMultilevel"/>
    <w:lvl w:ilvl="0">
      <w:lvlJc w:val="left"/>
      <w:lvlText w:val="(%1)"/>
      <w:numFmt w:val="lowerLetter"/>
      <w:start w:val="1"/>
    </w:lvl>
    <w:lvl w:ilvl="1">
      <w:lvlJc w:val="left"/>
      <w:lvlText w:val="(%2)"/>
      <w:numFmt w:val="decimal"/>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3"/>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1"/>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lowerLetter"/>
      <w:start w:val="2"/>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lvl w:ilvl="1">
      <w:lvlJc w:val="left"/>
      <w:lvlText w:val="(%2)"/>
      <w:numFmt w:val="lowerRoman"/>
      <w:start w:val="4"/>
    </w:lvl>
  </w:abstractNum>
  <w:abstractNum w:abstractNumId="63">
    <w:nsid w:val="4AD084E9"/>
    <w:multiLevelType w:val="hybridMultilevel"/>
    <w:lvl w:ilvl="0">
      <w:lvlJc w:val="left"/>
      <w:lvlText w:val="%1."/>
      <w:numFmt w:val="decimal"/>
      <w:start w:val="2"/>
    </w:lvl>
    <w:lvl w:ilvl="1">
      <w:lvlJc w:val="left"/>
      <w:lvlText w:val="%2"/>
      <w:numFmt w:val="lowerRoman"/>
      <w:start w:val="1"/>
    </w:lvl>
  </w:abstractNum>
  <w:abstractNum w:abstractNumId="64">
    <w:nsid w:val="1F48EAA1"/>
    <w:multiLevelType w:val="hybridMultilevel"/>
    <w:lvl w:ilvl="0">
      <w:lvlJc w:val="left"/>
      <w:lvlText w:val="(%1)"/>
      <w:numFmt w:val="lowerLetter"/>
      <w:start w:val="4"/>
    </w:lvl>
    <w:lvl w:ilvl="1">
      <w:lvlJc w:val="left"/>
      <w:lvlText w:val="%2."/>
      <w:numFmt w:val="decimal"/>
      <w:start w:val="3"/>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2020-05-06T08:20:10Z</dcterms:created>
  <dcterms:modified xsi:type="dcterms:W3CDTF">2020-05-06T08:20:10Z</dcterms:modified>
</cp:coreProperties>
</file>