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 PROSPECTUS SUPPLEMENT</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333-211266</w:t>
      </w:r>
    </w:p>
    <w:p>
      <w:pPr>
        <w:spacing w:after="0" w:line="190" w:lineRule="exact"/>
        <w:rPr>
          <w:sz w:val="24"/>
          <w:szCs w:val="24"/>
          <w:color w:val="auto"/>
        </w:rPr>
      </w:pPr>
    </w:p>
    <w:p>
      <w:pPr>
        <w:ind w:right="40"/>
        <w:spacing w:after="0" w:line="244" w:lineRule="auto"/>
        <w:rPr>
          <w:sz w:val="20"/>
          <w:szCs w:val="20"/>
          <w:color w:val="auto"/>
        </w:rPr>
      </w:pPr>
      <w:r>
        <w:rPr>
          <w:rFonts w:ascii="Arial" w:cs="Arial" w:eastAsia="Arial" w:hAnsi="Arial"/>
          <w:sz w:val="18"/>
          <w:szCs w:val="18"/>
          <w:b w:val="1"/>
          <w:bCs w:val="1"/>
          <w:color w:val="FF4040"/>
        </w:rPr>
        <w:t>The information in this preliminary prospectus supplement is not complete and may be changed. A registration statement relating to these securities has become effective by rule of the Securities and Exchange Commission. This preliminary prospectus supplement and the accompanying prospectus are not an offer to sell these securities, and we are not soliciting offers to buy these securities, in any state or other jurisdiction where the offer or sale is not permitted.</w:t>
      </w:r>
    </w:p>
    <w:p>
      <w:pPr>
        <w:spacing w:after="0" w:line="185"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FF4040"/>
        </w:rPr>
        <w:t>SUBJECT TO COMPLETION, DATED DECEMBER 6, 2016</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 to Prospectus dated July 25, 2016.</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$125,000,000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1883410</wp:posOffset>
            </wp:positionH>
            <wp:positionV relativeFrom="paragraph">
              <wp:posOffset>144780</wp:posOffset>
            </wp:positionV>
            <wp:extent cx="3498850" cy="1183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98850" cy="1183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4"/>
          <w:szCs w:val="24"/>
          <w:color w:val="auto"/>
        </w:rPr>
      </w:pPr>
    </w:p>
    <w:p>
      <w:pPr>
        <w:ind w:left="4880"/>
        <w:spacing w:after="0"/>
        <w:rPr>
          <w:sz w:val="20"/>
          <w:szCs w:val="20"/>
          <w:color w:val="auto"/>
        </w:rPr>
      </w:pPr>
      <w:r>
        <w:rPr>
          <w:rFonts w:ascii="Arial" w:cs="Arial" w:eastAsia="Arial" w:hAnsi="Arial"/>
          <w:sz w:val="24"/>
          <w:szCs w:val="24"/>
          <w:color w:val="auto"/>
        </w:rPr>
        <w:t>Common Stock</w:t>
      </w:r>
    </w:p>
    <w:p>
      <w:pPr>
        <w:spacing w:after="0" w:line="23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We are offering up to $125,000,000 of shares of our common stock.</w:t>
      </w:r>
    </w:p>
    <w:p>
      <w:pPr>
        <w:spacing w:after="0" w:line="212" w:lineRule="exact"/>
        <w:rPr>
          <w:sz w:val="24"/>
          <w:szCs w:val="24"/>
          <w:color w:val="auto"/>
        </w:rPr>
      </w:pPr>
    </w:p>
    <w:p>
      <w:pPr>
        <w:ind w:right="240" w:firstLine="488"/>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"BPMC". The last reported sale price of our common stock on The NASDAQ Global Select Market on December 5, 2016 was $28.65 per share.</w:t>
      </w:r>
    </w:p>
    <w:p>
      <w:pPr>
        <w:spacing w:after="0" w:line="209" w:lineRule="exact"/>
        <w:rPr>
          <w:sz w:val="24"/>
          <w:szCs w:val="24"/>
          <w:color w:val="auto"/>
        </w:rPr>
      </w:pPr>
    </w:p>
    <w:p>
      <w:pPr>
        <w:ind w:right="40" w:firstLine="488"/>
        <w:spacing w:after="0" w:line="239"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supplement and future filings.</w:t>
      </w:r>
    </w:p>
    <w:p>
      <w:pPr>
        <w:spacing w:after="0" w:line="191" w:lineRule="exact"/>
        <w:rPr>
          <w:sz w:val="24"/>
          <w:szCs w:val="24"/>
          <w:color w:val="auto"/>
        </w:rPr>
      </w:pPr>
    </w:p>
    <w:p>
      <w:pPr>
        <w:ind w:right="100" w:firstLine="488"/>
        <w:spacing w:after="0" w:line="247" w:lineRule="auto"/>
        <w:rPr>
          <w:sz w:val="20"/>
          <w:szCs w:val="20"/>
          <w:color w:val="auto"/>
        </w:rPr>
      </w:pPr>
      <w:r>
        <w:rPr>
          <w:rFonts w:ascii="Arial" w:cs="Arial" w:eastAsia="Arial" w:hAnsi="Arial"/>
          <w:sz w:val="18"/>
          <w:szCs w:val="18"/>
          <w:i w:val="1"/>
          <w:iCs w:val="1"/>
          <w:color w:val="auto"/>
        </w:rPr>
        <w:t>Investing in our common stock involves a high degree of risk. See "Risk Factors" beginning on page S-15 of this prospectus supplement, as well as in the documents incorporated or deemed to be incorporated by reference into this prospectus supplement and the accompanying prospectus, for a discussion of the factors you should carefully consider before deciding to purchase our common stock.</w:t>
      </w:r>
    </w:p>
    <w:p>
      <w:pPr>
        <w:spacing w:after="0" w:line="181" w:lineRule="exact"/>
        <w:rPr>
          <w:sz w:val="24"/>
          <w:szCs w:val="24"/>
          <w:color w:val="auto"/>
        </w:rPr>
      </w:pPr>
    </w:p>
    <w:p>
      <w:pPr>
        <w:ind w:right="140" w:firstLine="488"/>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adequacy or accuracy of this prospectus supplement or the accompanying prospectus. Any representation to the contrary is a criminal offense.</w:t>
      </w: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14"/>
        </w:trPr>
        <w:tc>
          <w:tcPr>
            <w:tcW w:w="9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Per share</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Total</w:t>
            </w:r>
          </w:p>
        </w:tc>
      </w:tr>
      <w:tr>
        <w:trPr>
          <w:trHeight w:val="205"/>
        </w:trPr>
        <w:tc>
          <w:tcPr>
            <w:tcW w:w="5960" w:type="dxa"/>
            <w:vAlign w:val="bottom"/>
            <w:gridSpan w:val="2"/>
          </w:tcPr>
          <w:p>
            <w:pPr>
              <w:spacing w:after="0" w:line="206" w:lineRule="exact"/>
              <w:rPr>
                <w:sz w:val="20"/>
                <w:szCs w:val="20"/>
                <w:color w:val="auto"/>
              </w:rPr>
            </w:pPr>
            <w:r>
              <w:rPr>
                <w:rFonts w:ascii="Arial" w:cs="Arial" w:eastAsia="Arial" w:hAnsi="Arial"/>
                <w:sz w:val="18"/>
                <w:szCs w:val="18"/>
                <w:color w:val="auto"/>
              </w:rPr>
              <w:t>Public offering price</w:t>
            </w:r>
          </w:p>
        </w:tc>
        <w:tc>
          <w:tcPr>
            <w:tcW w:w="1820" w:type="dxa"/>
            <w:vAlign w:val="bottom"/>
            <w:gridSpan w:val="2"/>
          </w:tcPr>
          <w:p>
            <w:pPr>
              <w:ind w:left="1040"/>
              <w:spacing w:after="0" w:line="20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52"/>
              <w:spacing w:after="0" w:line="206" w:lineRule="exact"/>
              <w:rPr>
                <w:sz w:val="20"/>
                <w:szCs w:val="20"/>
                <w:color w:val="auto"/>
              </w:rPr>
            </w:pPr>
            <w:r>
              <w:rPr>
                <w:rFonts w:ascii="Arial" w:cs="Arial" w:eastAsia="Arial" w:hAnsi="Arial"/>
                <w:sz w:val="18"/>
                <w:szCs w:val="18"/>
                <w:color w:val="auto"/>
              </w:rPr>
              <w:t>$</w:t>
            </w:r>
          </w:p>
        </w:tc>
      </w:tr>
      <w:tr>
        <w:trPr>
          <w:trHeight w:val="244"/>
        </w:trPr>
        <w:tc>
          <w:tcPr>
            <w:tcW w:w="5960" w:type="dxa"/>
            <w:vAlign w:val="bottom"/>
            <w:gridSpan w:val="2"/>
          </w:tcPr>
          <w:p>
            <w:pPr>
              <w:spacing w:after="0" w:line="243" w:lineRule="exact"/>
              <w:rPr>
                <w:sz w:val="20"/>
                <w:szCs w:val="20"/>
                <w:color w:val="auto"/>
              </w:rPr>
            </w:pPr>
            <w:r>
              <w:rPr>
                <w:rFonts w:ascii="Arial" w:cs="Arial" w:eastAsia="Arial" w:hAnsi="Arial"/>
                <w:sz w:val="17"/>
                <w:szCs w:val="17"/>
                <w:color w:val="auto"/>
              </w:rPr>
              <w:t>Underwriting discount</w:t>
            </w:r>
            <w:r>
              <w:rPr>
                <w:rFonts w:ascii="Arial" w:cs="Arial" w:eastAsia="Arial" w:hAnsi="Arial"/>
                <w:sz w:val="28"/>
                <w:szCs w:val="28"/>
                <w:color w:val="auto"/>
                <w:vertAlign w:val="superscript"/>
              </w:rPr>
              <w:t>(1)</w:t>
            </w:r>
          </w:p>
        </w:tc>
        <w:tc>
          <w:tcPr>
            <w:tcW w:w="18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52"/>
              <w:spacing w:after="0"/>
              <w:rPr>
                <w:sz w:val="20"/>
                <w:szCs w:val="20"/>
                <w:color w:val="auto"/>
              </w:rPr>
            </w:pPr>
            <w:r>
              <w:rPr>
                <w:rFonts w:ascii="Arial" w:cs="Arial" w:eastAsia="Arial" w:hAnsi="Arial"/>
                <w:sz w:val="18"/>
                <w:szCs w:val="18"/>
                <w:color w:val="auto"/>
              </w:rPr>
              <w:t>$</w:t>
            </w:r>
          </w:p>
        </w:tc>
      </w:tr>
      <w:tr>
        <w:trPr>
          <w:trHeight w:val="211"/>
        </w:trPr>
        <w:tc>
          <w:tcPr>
            <w:tcW w:w="5960" w:type="dxa"/>
            <w:vAlign w:val="bottom"/>
            <w:gridSpan w:val="2"/>
          </w:tcPr>
          <w:p>
            <w:pPr>
              <w:spacing w:after="0"/>
              <w:rPr>
                <w:sz w:val="20"/>
                <w:szCs w:val="20"/>
                <w:color w:val="auto"/>
              </w:rPr>
            </w:pPr>
            <w:r>
              <w:rPr>
                <w:rFonts w:ascii="Arial" w:cs="Arial" w:eastAsia="Arial" w:hAnsi="Arial"/>
                <w:sz w:val="18"/>
                <w:szCs w:val="18"/>
                <w:color w:val="auto"/>
              </w:rPr>
              <w:t>Proceeds, before expenses, to Blueprint Medicines Corporation</w:t>
            </w:r>
          </w:p>
        </w:tc>
        <w:tc>
          <w:tcPr>
            <w:tcW w:w="18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52"/>
              <w:spacing w:after="0"/>
              <w:rPr>
                <w:sz w:val="20"/>
                <w:szCs w:val="20"/>
                <w:color w:val="auto"/>
              </w:rPr>
            </w:pPr>
            <w:r>
              <w:rPr>
                <w:rFonts w:ascii="Arial" w:cs="Arial" w:eastAsia="Arial" w:hAnsi="Arial"/>
                <w:sz w:val="18"/>
                <w:szCs w:val="18"/>
                <w:color w:val="auto"/>
              </w:rPr>
              <w:t>$</w:t>
            </w:r>
          </w:p>
        </w:tc>
      </w:tr>
      <w:tr>
        <w:trPr>
          <w:trHeight w:val="97"/>
        </w:trPr>
        <w:tc>
          <w:tcPr>
            <w:tcW w:w="940" w:type="dxa"/>
            <w:vAlign w:val="bottom"/>
            <w:tcBorders>
              <w:bottom w:val="single" w:sz="8" w:color="auto"/>
            </w:tcBorders>
          </w:tcPr>
          <w:p>
            <w:pPr>
              <w:spacing w:after="0"/>
              <w:rPr>
                <w:sz w:val="8"/>
                <w:szCs w:val="8"/>
                <w:color w:val="auto"/>
              </w:rPr>
            </w:pPr>
          </w:p>
        </w:tc>
        <w:tc>
          <w:tcPr>
            <w:tcW w:w="5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r>
    </w:tbl>
    <w:p>
      <w:pPr>
        <w:spacing w:after="0" w:line="140" w:lineRule="exact"/>
        <w:rPr>
          <w:sz w:val="24"/>
          <w:szCs w:val="24"/>
          <w:color w:val="auto"/>
        </w:rPr>
      </w:pPr>
    </w:p>
    <w:p>
      <w:pPr>
        <w:ind w:left="1680" w:hanging="531"/>
        <w:spacing w:after="0"/>
        <w:tabs>
          <w:tab w:leader="none" w:pos="168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We refer you to "Underwriting" beginning on page S-24 of this prospectus supplement for additional information regarding underwriter compensation.</w:t>
      </w:r>
    </w:p>
    <w:p>
      <w:pPr>
        <w:spacing w:after="0" w:line="204" w:lineRule="exact"/>
        <w:rPr>
          <w:sz w:val="24"/>
          <w:szCs w:val="24"/>
          <w:color w:val="auto"/>
        </w:rPr>
      </w:pPr>
    </w:p>
    <w:p>
      <w:pPr>
        <w:ind w:right="600" w:firstLine="488"/>
        <w:spacing w:after="0" w:line="299" w:lineRule="auto"/>
        <w:rPr>
          <w:sz w:val="20"/>
          <w:szCs w:val="20"/>
          <w:color w:val="auto"/>
        </w:rPr>
      </w:pPr>
      <w:r>
        <w:rPr>
          <w:rFonts w:ascii="Arial" w:cs="Arial" w:eastAsia="Arial" w:hAnsi="Arial"/>
          <w:sz w:val="16"/>
          <w:szCs w:val="16"/>
          <w:color w:val="auto"/>
        </w:rPr>
        <w:t>We have granted the underwriters an option for a period of 30 days from the date of this prospectus supplement to purchase up to an additional $18,750,000 of shares of our common stock at the public offering price less the underwriting discounts and commissions.</w:t>
      </w:r>
    </w:p>
    <w:p>
      <w:pPr>
        <w:spacing w:after="0" w:line="163" w:lineRule="exact"/>
        <w:rPr>
          <w:sz w:val="24"/>
          <w:szCs w:val="24"/>
          <w:color w:val="auto"/>
        </w:rPr>
      </w:pPr>
    </w:p>
    <w:p>
      <w:pPr>
        <w:ind w:left="500"/>
        <w:spacing w:after="0"/>
        <w:tabs>
          <w:tab w:leader="none" w:pos="9180" w:val="left"/>
        </w:tabs>
        <w:rPr>
          <w:sz w:val="20"/>
          <w:szCs w:val="20"/>
          <w:color w:val="auto"/>
        </w:rPr>
      </w:pPr>
      <w:r>
        <w:rPr>
          <w:rFonts w:ascii="Arial" w:cs="Arial" w:eastAsia="Arial" w:hAnsi="Arial"/>
          <w:sz w:val="18"/>
          <w:szCs w:val="18"/>
          <w:color w:val="auto"/>
        </w:rPr>
        <w:t>The underwriters expect to deliver the shares against payment in New York, New York on or about December</w:t>
      </w:r>
      <w:r>
        <w:rPr>
          <w:sz w:val="20"/>
          <w:szCs w:val="20"/>
          <w:color w:val="auto"/>
        </w:rPr>
        <w:tab/>
      </w:r>
      <w:r>
        <w:rPr>
          <w:rFonts w:ascii="Arial" w:cs="Arial" w:eastAsia="Arial" w:hAnsi="Arial"/>
          <w:sz w:val="16"/>
          <w:szCs w:val="16"/>
          <w:color w:val="auto"/>
        </w:rPr>
        <w:t>, 2016.</w:t>
      </w:r>
    </w:p>
    <w:p>
      <w:pPr>
        <w:spacing w:after="0" w:line="175" w:lineRule="exact"/>
        <w:rPr>
          <w:sz w:val="24"/>
          <w:szCs w:val="24"/>
          <w:color w:val="auto"/>
        </w:rPr>
      </w:pPr>
    </w:p>
    <w:p>
      <w:pPr>
        <w:ind w:left="1140"/>
        <w:spacing w:after="0"/>
        <w:tabs>
          <w:tab w:leader="none" w:pos="5120" w:val="left"/>
          <w:tab w:leader="none" w:pos="7640" w:val="left"/>
        </w:tabs>
        <w:rPr>
          <w:sz w:val="20"/>
          <w:szCs w:val="20"/>
          <w:color w:val="auto"/>
        </w:rPr>
      </w:pPr>
      <w:r>
        <w:rPr>
          <w:rFonts w:ascii="Arial" w:cs="Arial" w:eastAsia="Arial" w:hAnsi="Arial"/>
          <w:sz w:val="24"/>
          <w:szCs w:val="24"/>
          <w:b w:val="1"/>
          <w:bCs w:val="1"/>
          <w:color w:val="auto"/>
        </w:rPr>
        <w:t>Goldman, Sachs &amp; Co.</w:t>
      </w:r>
      <w:r>
        <w:rPr>
          <w:sz w:val="20"/>
          <w:szCs w:val="20"/>
          <w:color w:val="auto"/>
        </w:rPr>
        <w:tab/>
      </w: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4"/>
          <w:szCs w:val="24"/>
          <w:b w:val="1"/>
          <w:bCs w:val="1"/>
          <w:color w:val="auto"/>
        </w:rPr>
        <w:t>Cowen and Company</w:t>
      </w:r>
    </w:p>
    <w:p>
      <w:pPr>
        <w:spacing w:after="0" w:line="224" w:lineRule="exact"/>
        <w:rPr>
          <w:sz w:val="24"/>
          <w:szCs w:val="24"/>
          <w:color w:val="auto"/>
        </w:rPr>
      </w:pPr>
    </w:p>
    <w:p>
      <w:pPr>
        <w:ind w:left="1140"/>
        <w:spacing w:after="0"/>
        <w:tabs>
          <w:tab w:leader="none" w:pos="8040" w:val="left"/>
        </w:tabs>
        <w:rPr>
          <w:sz w:val="20"/>
          <w:szCs w:val="20"/>
          <w:color w:val="auto"/>
        </w:rPr>
      </w:pPr>
      <w:r>
        <w:rPr>
          <w:rFonts w:ascii="Arial" w:cs="Arial" w:eastAsia="Arial" w:hAnsi="Arial"/>
          <w:sz w:val="24"/>
          <w:szCs w:val="24"/>
          <w:b w:val="1"/>
          <w:bCs w:val="1"/>
          <w:color w:val="auto"/>
        </w:rPr>
        <w:t>JMP Securities</w:t>
      </w:r>
      <w:r>
        <w:rPr>
          <w:sz w:val="20"/>
          <w:szCs w:val="20"/>
          <w:color w:val="auto"/>
        </w:rPr>
        <w:tab/>
      </w:r>
      <w:r>
        <w:rPr>
          <w:rFonts w:ascii="Arial" w:cs="Arial" w:eastAsia="Arial" w:hAnsi="Arial"/>
          <w:sz w:val="24"/>
          <w:szCs w:val="24"/>
          <w:b w:val="1"/>
          <w:bCs w:val="1"/>
          <w:color w:val="auto"/>
        </w:rPr>
        <w:t>Wedbush PacGrow</w:t>
      </w:r>
    </w:p>
    <w:p>
      <w:pPr>
        <w:sectPr>
          <w:pgSz w:w="11900" w:h="16838" w:orient="portrait"/>
          <w:cols w:equalWidth="0" w:num="1">
            <w:col w:w="11420"/>
          </w:cols>
          <w:pgMar w:left="240" w:top="685" w:right="239" w:bottom="838" w:gutter="0" w:footer="0" w:header="0"/>
        </w:sectPr>
      </w:pPr>
    </w:p>
    <w:p>
      <w:pPr>
        <w:spacing w:after="0" w:line="200" w:lineRule="exact"/>
        <w:rPr>
          <w:sz w:val="24"/>
          <w:szCs w:val="24"/>
          <w:color w:val="auto"/>
        </w:rPr>
      </w:pPr>
    </w:p>
    <w:p>
      <w:pPr>
        <w:spacing w:after="0" w:line="344"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color w:val="auto"/>
        </w:rPr>
        <w:t>Prospectus Supplement dated December</w:t>
      </w:r>
      <w:r>
        <w:rPr>
          <w:sz w:val="20"/>
          <w:szCs w:val="20"/>
          <w:color w:val="auto"/>
        </w:rPr>
        <w:tab/>
      </w:r>
      <w:r>
        <w:rPr>
          <w:rFonts w:ascii="Arial" w:cs="Arial" w:eastAsia="Arial" w:hAnsi="Arial"/>
          <w:sz w:val="16"/>
          <w:szCs w:val="16"/>
          <w:color w:val="auto"/>
        </w:rPr>
        <w:t>,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83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600" w:type="dxa"/>
            <w:vAlign w:val="bottom"/>
            <w:gridSpan w:val="2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40"/>
        </w:trPr>
        <w:tc>
          <w:tcPr>
            <w:tcW w:w="1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6"/>
          </w:tcPr>
          <w:p>
            <w:pPr>
              <w:jc w:val="center"/>
              <w:ind w:right="2860"/>
              <w:spacing w:after="0"/>
              <w:rPr>
                <w:sz w:val="20"/>
                <w:szCs w:val="20"/>
                <w:color w:val="auto"/>
              </w:rPr>
            </w:pPr>
            <w:r>
              <w:rPr>
                <w:rFonts w:ascii="Arial" w:cs="Arial" w:eastAsia="Arial" w:hAnsi="Arial"/>
                <w:sz w:val="18"/>
                <w:szCs w:val="18"/>
                <w:b w:val="1"/>
                <w:bCs w:val="1"/>
                <w:color w:val="auto"/>
                <w:w w:val="96"/>
              </w:rPr>
              <w:t>TABLE OF CONTENTS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w w:val="97"/>
              </w:rPr>
              <w:t>PROSPECTUS SUPPLEMENT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176"/>
        </w:trPr>
        <w:tc>
          <w:tcPr>
            <w:tcW w:w="1140" w:type="dxa"/>
            <w:vAlign w:val="bottom"/>
          </w:tcPr>
          <w:p>
            <w:pPr>
              <w:spacing w:after="0"/>
              <w:rPr>
                <w:sz w:val="15"/>
                <w:szCs w:val="15"/>
                <w:color w:val="auto"/>
              </w:rPr>
            </w:pPr>
          </w:p>
        </w:tc>
        <w:tc>
          <w:tcPr>
            <w:tcW w:w="8460" w:type="dxa"/>
            <w:vAlign w:val="bottom"/>
            <w:gridSpan w:val="2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S-2</w:t>
              </w:r>
            </w:hyperlink>
          </w:p>
        </w:tc>
      </w:tr>
      <w:tr>
        <w:trPr>
          <w:trHeight w:val="183"/>
        </w:trPr>
        <w:tc>
          <w:tcPr>
            <w:tcW w:w="1140" w:type="dxa"/>
            <w:vAlign w:val="bottom"/>
          </w:tcPr>
          <w:p>
            <w:pPr>
              <w:spacing w:after="0"/>
              <w:rPr>
                <w:sz w:val="15"/>
                <w:szCs w:val="15"/>
                <w:color w:val="auto"/>
              </w:rPr>
            </w:pPr>
          </w:p>
        </w:tc>
        <w:tc>
          <w:tcPr>
            <w:tcW w:w="29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7"/>
          </w:tcPr>
          <w:p>
            <w:pPr>
              <w:spacing w:after="0"/>
              <w:rPr>
                <w:sz w:val="15"/>
                <w:szCs w:val="15"/>
                <w:color w:val="auto"/>
              </w:rPr>
            </w:pPr>
          </w:p>
        </w:tc>
        <w:tc>
          <w:tcPr>
            <w:tcW w:w="466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EE"/>
              <w:bottom w:val="single" w:sz="8" w:color="0000EE"/>
            </w:tcBorders>
            <w:gridSpan w:val="3"/>
          </w:tcPr>
          <w:p>
            <w:pPr>
              <w:jc w:val="right"/>
              <w:spacing w:after="0" w:line="182"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S-2</w:t>
              </w:r>
            </w:hyperlink>
          </w:p>
        </w:tc>
      </w:tr>
      <w:tr>
        <w:trPr>
          <w:trHeight w:val="183"/>
        </w:trPr>
        <w:tc>
          <w:tcPr>
            <w:tcW w:w="1140" w:type="dxa"/>
            <w:vAlign w:val="bottom"/>
          </w:tcPr>
          <w:p>
            <w:pPr>
              <w:spacing w:after="0"/>
              <w:rPr>
                <w:sz w:val="15"/>
                <w:szCs w:val="15"/>
                <w:color w:val="auto"/>
              </w:rPr>
            </w:pPr>
          </w:p>
        </w:tc>
        <w:tc>
          <w:tcPr>
            <w:tcW w:w="5820" w:type="dxa"/>
            <w:vAlign w:val="bottom"/>
            <w:tcBorders>
              <w:bottom w:val="single" w:sz="8" w:color="0000EE"/>
            </w:tcBorders>
            <w:gridSpan w:val="22"/>
          </w:tcPr>
          <w:p>
            <w:pPr>
              <w:spacing w:after="0" w:line="18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CAUTIONARY NOTE REGARDING FORWARD-LOOKING STATEMENTS</w:t>
              </w:r>
            </w:hyperlink>
          </w:p>
        </w:tc>
        <w:tc>
          <w:tcPr>
            <w:tcW w:w="26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S-4</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PROSPECTUS SUPPLEMENT SUMMARY</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S-6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2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THE OFFERING</w:t>
              </w:r>
            </w:hyperlink>
          </w:p>
        </w:tc>
        <w:tc>
          <w:tcPr>
            <w:tcW w:w="2040" w:type="dxa"/>
            <w:vAlign w:val="bottom"/>
            <w:gridSpan w:val="12"/>
          </w:tcPr>
          <w:p>
            <w:pPr>
              <w:spacing w:after="0"/>
              <w:rPr>
                <w:sz w:val="15"/>
                <w:szCs w:val="15"/>
                <w:color w:val="auto"/>
              </w:rPr>
            </w:pPr>
          </w:p>
        </w:tc>
        <w:tc>
          <w:tcPr>
            <w:tcW w:w="510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S-13</w:t>
              </w:r>
            </w:hyperlink>
          </w:p>
        </w:tc>
      </w:tr>
      <w:tr>
        <w:trPr>
          <w:trHeight w:val="183"/>
        </w:trPr>
        <w:tc>
          <w:tcPr>
            <w:tcW w:w="114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RISK FACTORS</w:t>
              </w:r>
            </w:hyperlink>
          </w:p>
        </w:tc>
        <w:tc>
          <w:tcPr>
            <w:tcW w:w="7160" w:type="dxa"/>
            <w:vAlign w:val="bottom"/>
            <w:gridSpan w:val="21"/>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S-15</w:t>
              </w:r>
            </w:hyperlink>
          </w:p>
        </w:tc>
      </w:tr>
      <w:tr>
        <w:trPr>
          <w:trHeight w:val="183"/>
        </w:trPr>
        <w:tc>
          <w:tcPr>
            <w:tcW w:w="1140" w:type="dxa"/>
            <w:vAlign w:val="bottom"/>
          </w:tcPr>
          <w:p>
            <w:pPr>
              <w:spacing w:after="0"/>
              <w:rPr>
                <w:sz w:val="15"/>
                <w:szCs w:val="15"/>
                <w:color w:val="auto"/>
              </w:rPr>
            </w:pPr>
          </w:p>
        </w:tc>
        <w:tc>
          <w:tcPr>
            <w:tcW w:w="170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USE OF PROCEEDS</w:t>
              </w:r>
            </w:hyperlink>
          </w:p>
        </w:tc>
        <w:tc>
          <w:tcPr>
            <w:tcW w:w="6760" w:type="dxa"/>
            <w:vAlign w:val="bottom"/>
            <w:gridSpan w:val="16"/>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S-19</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DILUTION</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S-20</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PRICE RANGE OF COMMON STOCK</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S-22</w:t>
              </w:r>
            </w:hyperlink>
          </w:p>
        </w:tc>
      </w:tr>
      <w:tr>
        <w:trPr>
          <w:trHeight w:val="183"/>
        </w:trPr>
        <w:tc>
          <w:tcPr>
            <w:tcW w:w="1140" w:type="dxa"/>
            <w:vAlign w:val="bottom"/>
          </w:tcPr>
          <w:p>
            <w:pPr>
              <w:spacing w:after="0"/>
              <w:rPr>
                <w:sz w:val="15"/>
                <w:szCs w:val="15"/>
                <w:color w:val="auto"/>
              </w:rPr>
            </w:pPr>
          </w:p>
        </w:tc>
        <w:tc>
          <w:tcPr>
            <w:tcW w:w="30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DIVIDEND POLICY</w:t>
              </w:r>
            </w:hyperlink>
          </w:p>
        </w:tc>
        <w:tc>
          <w:tcPr>
            <w:tcW w:w="5440" w:type="dxa"/>
            <w:vAlign w:val="bottom"/>
            <w:gridSpan w:val="10"/>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S-23</w:t>
              </w:r>
            </w:hyperlink>
          </w:p>
        </w:tc>
      </w:tr>
      <w:tr>
        <w:trPr>
          <w:trHeight w:val="183"/>
        </w:trPr>
        <w:tc>
          <w:tcPr>
            <w:tcW w:w="114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UNDERWRITING</w:t>
              </w:r>
            </w:hyperlink>
          </w:p>
        </w:tc>
        <w:tc>
          <w:tcPr>
            <w:tcW w:w="140" w:type="dxa"/>
            <w:vAlign w:val="bottom"/>
            <w:tcBorders>
              <w:top w:val="single" w:sz="8" w:color="0000EE"/>
            </w:tcBorders>
            <w:gridSpan w:val="2"/>
          </w:tcPr>
          <w:p>
            <w:pPr>
              <w:spacing w:after="0"/>
              <w:rPr>
                <w:sz w:val="15"/>
                <w:szCs w:val="15"/>
                <w:color w:val="auto"/>
              </w:rPr>
            </w:pPr>
          </w:p>
        </w:tc>
        <w:tc>
          <w:tcPr>
            <w:tcW w:w="6920" w:type="dxa"/>
            <w:vAlign w:val="bottom"/>
            <w:gridSpan w:val="17"/>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S-24</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MATERIAL U.S. FEDERAL INCOME TAX CONSIDERATIONS FOR NON-U.S. HOLDERS</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S-31</w:t>
              </w:r>
            </w:hyperlink>
          </w:p>
        </w:tc>
      </w:tr>
      <w:tr>
        <w:trPr>
          <w:trHeight w:val="183"/>
        </w:trPr>
        <w:tc>
          <w:tcPr>
            <w:tcW w:w="1140" w:type="dxa"/>
            <w:vAlign w:val="bottom"/>
          </w:tcPr>
          <w:p>
            <w:pPr>
              <w:spacing w:after="0"/>
              <w:rPr>
                <w:sz w:val="15"/>
                <w:szCs w:val="15"/>
                <w:color w:val="auto"/>
              </w:rPr>
            </w:pPr>
          </w:p>
        </w:tc>
        <w:tc>
          <w:tcPr>
            <w:tcW w:w="70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LEGAL MATTERS</w:t>
              </w:r>
            </w:hyperlink>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S-35</w:t>
              </w:r>
            </w:hyperlink>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EXPERTS</w:t>
              </w:r>
            </w:hyperlink>
          </w:p>
        </w:tc>
        <w:tc>
          <w:tcPr>
            <w:tcW w:w="7020" w:type="dxa"/>
            <w:vAlign w:val="bottom"/>
            <w:gridSpan w:val="18"/>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S-35</w:t>
              </w:r>
            </w:hyperlink>
          </w:p>
        </w:tc>
      </w:tr>
      <w:tr>
        <w:trPr>
          <w:trHeight w:val="640"/>
        </w:trPr>
        <w:tc>
          <w:tcPr>
            <w:tcW w:w="1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5"/>
          </w:tcPr>
          <w:p>
            <w:pPr>
              <w:jc w:val="center"/>
              <w:ind w:right="3160"/>
              <w:spacing w:after="0"/>
              <w:rPr>
                <w:sz w:val="20"/>
                <w:szCs w:val="20"/>
                <w:color w:val="auto"/>
              </w:rPr>
            </w:pPr>
            <w:r>
              <w:rPr>
                <w:rFonts w:ascii="Arial" w:cs="Arial" w:eastAsia="Arial" w:hAnsi="Arial"/>
                <w:sz w:val="18"/>
                <w:szCs w:val="18"/>
                <w:b w:val="1"/>
                <w:bCs w:val="1"/>
                <w:color w:val="auto"/>
                <w:w w:val="98"/>
              </w:rPr>
              <w:t>PROSPECTUS</w:t>
            </w: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176"/>
        </w:trPr>
        <w:tc>
          <w:tcPr>
            <w:tcW w:w="1140" w:type="dxa"/>
            <w:vAlign w:val="bottom"/>
          </w:tcPr>
          <w:p>
            <w:pPr>
              <w:spacing w:after="0"/>
              <w:rPr>
                <w:sz w:val="15"/>
                <w:szCs w:val="15"/>
                <w:color w:val="auto"/>
              </w:rPr>
            </w:pPr>
          </w:p>
        </w:tc>
        <w:tc>
          <w:tcPr>
            <w:tcW w:w="8460" w:type="dxa"/>
            <w:vAlign w:val="bottom"/>
            <w:gridSpan w:val="2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ABOUT THIS PROSPECTUS</w:t>
              </w:r>
            </w:hyperlink>
          </w:p>
        </w:tc>
        <w:tc>
          <w:tcPr>
            <w:tcW w:w="520" w:type="dxa"/>
            <w:vAlign w:val="bottom"/>
            <w:gridSpan w:val="5"/>
          </w:tcPr>
          <w:p>
            <w:pPr>
              <w:jc w:val="right"/>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00" w:type="dxa"/>
            <w:vAlign w:val="bottom"/>
            <w:gridSpan w:val="3"/>
          </w:tcPr>
          <w:p>
            <w:pPr>
              <w:spacing w:after="0" w:line="182"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RISK FACTORS</w:t>
              </w:r>
            </w:hyperlink>
          </w:p>
        </w:tc>
        <w:tc>
          <w:tcPr>
            <w:tcW w:w="1020" w:type="dxa"/>
            <w:vAlign w:val="bottom"/>
            <w:gridSpan w:val="7"/>
          </w:tcPr>
          <w:p>
            <w:pPr>
              <w:spacing w:after="0"/>
              <w:rPr>
                <w:sz w:val="15"/>
                <w:szCs w:val="15"/>
                <w:color w:val="auto"/>
              </w:rPr>
            </w:pPr>
          </w:p>
        </w:tc>
        <w:tc>
          <w:tcPr>
            <w:tcW w:w="6140" w:type="dxa"/>
            <w:vAlign w:val="bottom"/>
            <w:gridSpan w:val="14"/>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WHERE YOU CAN FIND MORE INFORMATION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00" w:type="dxa"/>
            <w:vAlign w:val="bottom"/>
            <w:gridSpan w:val="12"/>
          </w:tcPr>
          <w:p>
            <w:pPr>
              <w:spacing w:after="0" w:line="182" w:lineRule="exact"/>
              <w:rPr>
                <w:rFonts w:ascii="Arial" w:cs="Arial" w:eastAsia="Arial" w:hAnsi="Arial"/>
                <w:sz w:val="18"/>
                <w:szCs w:val="18"/>
                <w:color w:val="0000EE"/>
                <w:w w:val="96"/>
              </w:rPr>
            </w:pPr>
            <w:hyperlink w:anchor="page42">
              <w:r>
                <w:rPr>
                  <w:rFonts w:ascii="Arial" w:cs="Arial" w:eastAsia="Arial" w:hAnsi="Arial"/>
                  <w:sz w:val="18"/>
                  <w:szCs w:val="18"/>
                  <w:color w:val="0000EE"/>
                  <w:w w:val="96"/>
                </w:rPr>
                <w:t>INCORPORATION BY REFERENCE</w:t>
              </w:r>
            </w:hyperlink>
          </w:p>
        </w:tc>
        <w:tc>
          <w:tcPr>
            <w:tcW w:w="900" w:type="dxa"/>
            <w:vAlign w:val="bottom"/>
            <w:gridSpan w:val="7"/>
          </w:tcPr>
          <w:p>
            <w:pPr>
              <w:spacing w:after="0"/>
              <w:rPr>
                <w:sz w:val="15"/>
                <w:szCs w:val="15"/>
                <w:color w:val="auto"/>
              </w:rPr>
            </w:pPr>
          </w:p>
        </w:tc>
        <w:tc>
          <w:tcPr>
            <w:tcW w:w="4660" w:type="dxa"/>
            <w:vAlign w:val="bottom"/>
            <w:gridSpan w:val="5"/>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FORWARD-LOOKING STATEMENTS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BLUEPRINT MEDICINES CORPORATION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RATIO OF EARNINGS TO FIXED CHARGES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w w:val="97"/>
              </w:rPr>
            </w:pPr>
            <w:hyperlink w:anchor="page46">
              <w:r>
                <w:rPr>
                  <w:rFonts w:ascii="Arial" w:cs="Arial" w:eastAsia="Arial" w:hAnsi="Arial"/>
                  <w:sz w:val="18"/>
                  <w:szCs w:val="18"/>
                  <w:color w:val="0000EE"/>
                  <w:w w:val="97"/>
                </w:rPr>
                <w:t>USE OF PROCEEDS</w:t>
              </w:r>
            </w:hyperlink>
          </w:p>
        </w:tc>
        <w:tc>
          <w:tcPr>
            <w:tcW w:w="3280" w:type="dxa"/>
            <w:vAlign w:val="bottom"/>
            <w:gridSpan w:val="12"/>
          </w:tcPr>
          <w:p>
            <w:pPr>
              <w:spacing w:after="0"/>
              <w:rPr>
                <w:sz w:val="15"/>
                <w:szCs w:val="15"/>
                <w:color w:val="auto"/>
              </w:rPr>
            </w:pPr>
          </w:p>
        </w:tc>
        <w:tc>
          <w:tcPr>
            <w:tcW w:w="3480" w:type="dxa"/>
            <w:vAlign w:val="bottom"/>
            <w:gridSpan w:val="4"/>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DILUTION</w:t>
              </w:r>
            </w:hyperlink>
          </w:p>
        </w:tc>
        <w:tc>
          <w:tcPr>
            <w:tcW w:w="6760" w:type="dxa"/>
            <w:vAlign w:val="bottom"/>
            <w:gridSpan w:val="16"/>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20" w:type="dxa"/>
            <w:vAlign w:val="bottom"/>
            <w:gridSpan w:val="13"/>
          </w:tcPr>
          <w:p>
            <w:pPr>
              <w:spacing w:after="0" w:line="182"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DESCRIPTION OF CAPITAL STOCK</w:t>
              </w:r>
            </w:hyperlink>
          </w:p>
        </w:tc>
        <w:tc>
          <w:tcPr>
            <w:tcW w:w="5540" w:type="dxa"/>
            <w:vAlign w:val="bottom"/>
            <w:gridSpan w:val="11"/>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DESCRIPTION OF DEBT SECURITIES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440" w:type="dxa"/>
            <w:vAlign w:val="bottom"/>
            <w:tcBorders>
              <w:bottom w:val="single" w:sz="8" w:color="0000EE"/>
            </w:tcBorders>
            <w:gridSpan w:val="17"/>
          </w:tcPr>
          <w:p>
            <w:pPr>
              <w:spacing w:after="0" w:line="182" w:lineRule="exact"/>
              <w:rPr>
                <w:rFonts w:ascii="Arial" w:cs="Arial" w:eastAsia="Arial" w:hAnsi="Arial"/>
                <w:sz w:val="18"/>
                <w:szCs w:val="18"/>
                <w:color w:val="0000EE"/>
                <w:w w:val="96"/>
              </w:rPr>
            </w:pPr>
            <w:hyperlink w:anchor="page70">
              <w:r>
                <w:rPr>
                  <w:rFonts w:ascii="Arial" w:cs="Arial" w:eastAsia="Arial" w:hAnsi="Arial"/>
                  <w:sz w:val="18"/>
                  <w:szCs w:val="18"/>
                  <w:color w:val="0000EE"/>
                  <w:w w:val="96"/>
                </w:rPr>
                <w:t>DESCRIPTION OF DEPOSITARY SHARES</w:t>
              </w:r>
            </w:hyperlink>
          </w:p>
        </w:tc>
        <w:tc>
          <w:tcPr>
            <w:tcW w:w="5020" w:type="dxa"/>
            <w:vAlign w:val="bottom"/>
            <w:gridSpan w:val="7"/>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31</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DESCRIPTION OF PURCHASE CONTRACTS AND PURCHASE UNITS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34</w:t>
              </w:r>
            </w:hyperlink>
          </w:p>
        </w:tc>
      </w:tr>
      <w:tr>
        <w:trPr>
          <w:trHeight w:val="183"/>
        </w:trPr>
        <w:tc>
          <w:tcPr>
            <w:tcW w:w="1140" w:type="dxa"/>
            <w:vAlign w:val="bottom"/>
          </w:tcPr>
          <w:p>
            <w:pPr>
              <w:spacing w:after="0"/>
              <w:rPr>
                <w:sz w:val="15"/>
                <w:szCs w:val="15"/>
                <w:color w:val="auto"/>
              </w:rPr>
            </w:pPr>
          </w:p>
        </w:tc>
        <w:tc>
          <w:tcPr>
            <w:tcW w:w="568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DESCRIPTION OF WARRANTS</w:t>
              </w:r>
            </w:hyperlink>
          </w:p>
        </w:tc>
        <w:tc>
          <w:tcPr>
            <w:tcW w:w="2780" w:type="dxa"/>
            <w:vAlign w:val="bottom"/>
            <w:gridSpan w:val="3"/>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35</w:t>
              </w:r>
            </w:hyperlink>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7"/>
              </w:rPr>
            </w:pPr>
            <w:hyperlink w:anchor="page75">
              <w:r>
                <w:rPr>
                  <w:rFonts w:ascii="Arial" w:cs="Arial" w:eastAsia="Arial" w:hAnsi="Arial"/>
                  <w:sz w:val="18"/>
                  <w:szCs w:val="18"/>
                  <w:color w:val="0000EE"/>
                  <w:w w:val="97"/>
                </w:rPr>
                <w:t>FORMS OF SECURITIES</w:t>
              </w:r>
            </w:hyperlink>
          </w:p>
        </w:tc>
        <w:tc>
          <w:tcPr>
            <w:tcW w:w="500" w:type="dxa"/>
            <w:vAlign w:val="bottom"/>
            <w:tcBorders>
              <w:top w:val="single" w:sz="8" w:color="0000EE"/>
            </w:tcBorders>
            <w:gridSpan w:val="2"/>
          </w:tcPr>
          <w:p>
            <w:pPr>
              <w:spacing w:after="0"/>
              <w:rPr>
                <w:sz w:val="15"/>
                <w:szCs w:val="15"/>
                <w:color w:val="auto"/>
              </w:rPr>
            </w:pPr>
          </w:p>
        </w:tc>
        <w:tc>
          <w:tcPr>
            <w:tcW w:w="5920" w:type="dxa"/>
            <w:vAlign w:val="bottom"/>
            <w:gridSpan w:val="13"/>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36</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PLAN OF DISTRIBUTION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38</w:t>
              </w:r>
            </w:hyperlink>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LEGAL MATTERS</w:t>
              </w:r>
            </w:hyperlink>
          </w:p>
        </w:tc>
        <w:tc>
          <w:tcPr>
            <w:tcW w:w="6420" w:type="dxa"/>
            <w:vAlign w:val="bottom"/>
            <w:gridSpan w:val="15"/>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41</w:t>
              </w:r>
            </w:hyperlink>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EXPERTS</w:t>
              </w:r>
            </w:hyperlink>
          </w:p>
        </w:tc>
        <w:tc>
          <w:tcPr>
            <w:tcW w:w="7020" w:type="dxa"/>
            <w:vAlign w:val="bottom"/>
            <w:gridSpan w:val="18"/>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41</w:t>
              </w:r>
            </w:hyperlink>
          </w:p>
        </w:tc>
      </w:tr>
      <w:tr>
        <w:trPr>
          <w:trHeight w:val="20"/>
        </w:trPr>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right="120" w:firstLine="485"/>
        <w:spacing w:after="0" w:line="236" w:lineRule="auto"/>
        <w:rPr>
          <w:sz w:val="20"/>
          <w:szCs w:val="20"/>
          <w:color w:val="auto"/>
        </w:rPr>
      </w:pPr>
      <w:r>
        <w:rPr>
          <w:rFonts w:ascii="Arial" w:cs="Arial" w:eastAsia="Arial" w:hAnsi="Arial"/>
          <w:sz w:val="18"/>
          <w:szCs w:val="18"/>
          <w:color w:val="auto"/>
        </w:rPr>
        <w:t>This document is part of the registration statement that we filed with the Securities and Exchange Commission, or the SEC, using a "shelf" registration process and consists of two parts. The first part is this prospectus supplement, including the documents incorporated by reference, which describes the specific terms of this offering. The second part, the accompanying prospectus, including the documents incorporated by reference, gives more general information, some of which may not apply to this offering. Generally, when we refer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210"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If information in this prospectus supplement is inconsistent with the accompanying prospectus or with any document incorporated by reference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you should know before investing in our securities. You should also read and consider information in the documents we have referred you to in the sections of this prospectus supplement entitled "Where You Can Find More Information" and "Incorporation by Reference" and the accompanying prospectus entitled "Where You Can Find More Information" and "Incorporation by Reference".</w:t>
      </w:r>
    </w:p>
    <w:p>
      <w:pPr>
        <w:spacing w:after="0" w:line="209"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11"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take no responsibility for, and can provide no assurances as to the reliability of, any information that is in addition to or different from that contained or incorporated by reference in this prospectus supplement and the accompanying prospectus. We are not offering to sell these securities in any jurisdiction where the offer or sale is not permitted.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the date of such documents regardless of the time of delivery of this prospectus supplement and the accompanying prospectus or any sale of our securities. Our business, financial condition, liquidity, results of operations and prospects may have changed since those dates.</w:t>
      </w:r>
    </w:p>
    <w:p>
      <w:pPr>
        <w:spacing w:after="0" w:line="191" w:lineRule="exact"/>
        <w:rPr>
          <w:sz w:val="20"/>
          <w:szCs w:val="20"/>
          <w:color w:val="auto"/>
        </w:rPr>
      </w:pPr>
    </w:p>
    <w:p>
      <w:pPr>
        <w:ind w:right="140" w:firstLine="488"/>
        <w:spacing w:after="0" w:line="247" w:lineRule="auto"/>
        <w:rPr>
          <w:sz w:val="20"/>
          <w:szCs w:val="20"/>
          <w:color w:val="auto"/>
        </w:rPr>
      </w:pPr>
      <w:r>
        <w:rPr>
          <w:rFonts w:ascii="Arial" w:cs="Arial" w:eastAsia="Arial" w:hAnsi="Arial"/>
          <w:sz w:val="18"/>
          <w:szCs w:val="18"/>
          <w:i w:val="1"/>
          <w:iCs w:val="1"/>
          <w:color w:val="auto"/>
        </w:rPr>
        <w:t>Unless otherwise stated, all references in this prospectus supplement or the accompanying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181" w:lineRule="exact"/>
        <w:rPr>
          <w:sz w:val="20"/>
          <w:szCs w:val="20"/>
          <w:color w:val="auto"/>
        </w:rPr>
      </w:pPr>
    </w:p>
    <w:p>
      <w:pPr>
        <w:ind w:right="100" w:firstLine="488"/>
        <w:spacing w:after="0" w:line="242" w:lineRule="auto"/>
        <w:rPr>
          <w:sz w:val="20"/>
          <w:szCs w:val="20"/>
          <w:color w:val="auto"/>
        </w:rPr>
      </w:pPr>
      <w:r>
        <w:rPr>
          <w:rFonts w:ascii="Arial" w:cs="Arial" w:eastAsia="Arial" w:hAnsi="Arial"/>
          <w:sz w:val="18"/>
          <w:szCs w:val="18"/>
          <w:b w:val="1"/>
          <w:bCs w:val="1"/>
          <w:color w:val="auto"/>
        </w:rPr>
        <w:t>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supplement or the accompanying prospectus and is not incorporated by reference in this prospectus supplement or the accompanying prospectus. You may also read and copy any document we file at the SEC's Public Reference Room, 100 F Street, N.E., Washington, D.C. 20549. Please call the SEC at 1-800-SEC-0330 for further information on the operation of the Public Reference Room.</w:t>
      </w:r>
    </w:p>
    <w:p>
      <w:pPr>
        <w:spacing w:after="0" w:line="210" w:lineRule="exact"/>
        <w:rPr>
          <w:sz w:val="20"/>
          <w:szCs w:val="20"/>
          <w:color w:val="auto"/>
        </w:rPr>
      </w:pPr>
    </w:p>
    <w:p>
      <w:pPr>
        <w:ind w:right="80" w:firstLine="485"/>
        <w:spacing w:after="0" w:line="236" w:lineRule="auto"/>
        <w:rPr>
          <w:sz w:val="20"/>
          <w:szCs w:val="20"/>
          <w:color w:val="auto"/>
        </w:rPr>
      </w:pPr>
      <w:r>
        <w:rPr>
          <w:rFonts w:ascii="Arial" w:cs="Arial" w:eastAsia="Arial" w:hAnsi="Arial"/>
          <w:sz w:val="18"/>
          <w:szCs w:val="18"/>
          <w:color w:val="auto"/>
        </w:rPr>
        <w:t>This prospectus supplement is part of a registration statement we filed with the SEC. This prospectus supplement, filed as part of the registration statement,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between the date of this prospectus supplement and the termination of this offering:</w:t>
      </w:r>
    </w:p>
    <w:p>
      <w:pPr>
        <w:spacing w:after="0" w:line="215" w:lineRule="exact"/>
        <w:rPr>
          <w:sz w:val="20"/>
          <w:szCs w:val="20"/>
          <w:color w:val="auto"/>
        </w:rPr>
      </w:pPr>
    </w:p>
    <w:p>
      <w:pPr>
        <w:ind w:left="1080" w:right="20" w:hanging="532"/>
        <w:spacing w:after="0" w:line="23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2015, including the information specifically incorporated by reference into the Annual Report on Form 10-K from our definitive proxy statement (other than information furnished rather than filed) for the 2016 Annual Meeting of Stockholders, which was filed with the SEC on April 28, 2016;</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quarters ended March 31, 2016, June 30, 2016 and September 30, 2016;</w:t>
      </w:r>
    </w:p>
    <w:p>
      <w:pPr>
        <w:spacing w:after="0" w:line="198" w:lineRule="exact"/>
        <w:rPr>
          <w:rFonts w:ascii="Arial" w:cs="Arial" w:eastAsia="Arial" w:hAnsi="Arial"/>
          <w:sz w:val="18"/>
          <w:szCs w:val="18"/>
          <w:color w:val="auto"/>
        </w:rPr>
      </w:pPr>
    </w:p>
    <w:p>
      <w:pPr>
        <w:ind w:left="1080" w:right="180" w:hanging="532"/>
        <w:spacing w:after="0" w:line="23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on January 6, 2016, February 8, 2016, March 7, 2016, March 18, 2016 (solely with respect to Items 1.01 and 8.01), April 15, 2016, June 24, 2016, August 23, 2016, September 6, 2016, November 14, 2016, December 1, 2016 (filed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spacing w:after="0" w:line="239" w:lineRule="auto"/>
        <w:rPr>
          <w:sz w:val="20"/>
          <w:szCs w:val="20"/>
          <w:color w:val="auto"/>
        </w:rPr>
      </w:pPr>
      <w:r>
        <w:rPr>
          <w:rFonts w:ascii="Arial" w:cs="Arial" w:eastAsia="Arial" w:hAnsi="Arial"/>
          <w:sz w:val="18"/>
          <w:szCs w:val="18"/>
          <w:color w:val="auto"/>
        </w:rPr>
        <w:t>at 6:09pm EST on November 30, 2016), December 1, 2016 (filed at 11:56am EST on December 1, 2016) and December 5, 2016 (filed at 6:06am EST on December 5, 2016); and</w:t>
      </w:r>
    </w:p>
    <w:p>
      <w:pPr>
        <w:spacing w:after="0" w:line="209" w:lineRule="exact"/>
        <w:rPr>
          <w:sz w:val="20"/>
          <w:szCs w:val="20"/>
          <w:color w:val="auto"/>
        </w:rPr>
      </w:pPr>
    </w:p>
    <w:p>
      <w:pPr>
        <w:ind w:left="1080" w:right="80" w:hanging="532"/>
        <w:spacing w:after="0" w:line="23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April 27, 2015, including any amendments or reports filed for the purpose of updating such description.</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0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Blueprint Medicines Corporation</w:t>
      </w:r>
    </w:p>
    <w:p>
      <w:pPr>
        <w:jc w:val="center"/>
        <w:ind w:right="-359"/>
        <w:spacing w:after="0" w:line="234" w:lineRule="auto"/>
        <w:rPr>
          <w:sz w:val="20"/>
          <w:szCs w:val="20"/>
          <w:color w:val="auto"/>
        </w:rPr>
      </w:pPr>
      <w:r>
        <w:rPr>
          <w:rFonts w:ascii="Arial" w:cs="Arial" w:eastAsia="Arial" w:hAnsi="Arial"/>
          <w:sz w:val="18"/>
          <w:szCs w:val="18"/>
          <w:color w:val="auto"/>
        </w:rPr>
        <w:t>38 Sidney Street, Suite 200</w:t>
      </w:r>
    </w:p>
    <w:p>
      <w:pPr>
        <w:jc w:val="center"/>
        <w:ind w:right="-359"/>
        <w:spacing w:after="0" w:line="235" w:lineRule="auto"/>
        <w:rPr>
          <w:sz w:val="20"/>
          <w:szCs w:val="20"/>
          <w:color w:val="auto"/>
        </w:rPr>
      </w:pPr>
      <w:r>
        <w:rPr>
          <w:rFonts w:ascii="Arial" w:cs="Arial" w:eastAsia="Arial" w:hAnsi="Arial"/>
          <w:sz w:val="18"/>
          <w:szCs w:val="18"/>
          <w:color w:val="auto"/>
        </w:rPr>
        <w:t>Cambridge, Massachusetts 02139</w:t>
      </w:r>
    </w:p>
    <w:p>
      <w:pPr>
        <w:jc w:val="center"/>
        <w:ind w:right="-359"/>
        <w:spacing w:after="0" w:line="235" w:lineRule="auto"/>
        <w:rPr>
          <w:sz w:val="20"/>
          <w:szCs w:val="20"/>
          <w:color w:val="auto"/>
        </w:rPr>
      </w:pPr>
      <w:r>
        <w:rPr>
          <w:rFonts w:ascii="Arial" w:cs="Arial" w:eastAsia="Arial" w:hAnsi="Arial"/>
          <w:sz w:val="18"/>
          <w:szCs w:val="18"/>
          <w:color w:val="auto"/>
        </w:rPr>
        <w:t>Attn: Investor Relations</w:t>
      </w:r>
    </w:p>
    <w:p>
      <w:pPr>
        <w:jc w:val="center"/>
        <w:ind w:right="-359"/>
        <w:spacing w:after="0" w:line="235" w:lineRule="auto"/>
        <w:rPr>
          <w:sz w:val="20"/>
          <w:szCs w:val="20"/>
          <w:color w:val="auto"/>
        </w:rPr>
      </w:pPr>
      <w:r>
        <w:rPr>
          <w:rFonts w:ascii="Arial" w:cs="Arial" w:eastAsia="Arial" w:hAnsi="Arial"/>
          <w:sz w:val="18"/>
          <w:szCs w:val="18"/>
          <w:color w:val="auto"/>
        </w:rPr>
        <w:t>Phone: (617) 714-6674</w:t>
      </w:r>
    </w:p>
    <w:p>
      <w:pPr>
        <w:jc w:val="center"/>
        <w:ind w:right="-359"/>
        <w:spacing w:after="0"/>
        <w:rPr>
          <w:sz w:val="20"/>
          <w:szCs w:val="20"/>
          <w:color w:val="auto"/>
        </w:rPr>
      </w:pPr>
      <w:r>
        <w:rPr>
          <w:rFonts w:ascii="Arial" w:cs="Arial" w:eastAsia="Arial" w:hAnsi="Arial"/>
          <w:sz w:val="18"/>
          <w:szCs w:val="18"/>
          <w:color w:val="auto"/>
        </w:rPr>
        <w:t>E-mail: ir@blueprintmedicines.com</w:t>
      </w:r>
    </w:p>
    <w:p>
      <w:pPr>
        <w:spacing w:after="0" w:line="21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43" w:right="5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information incorporated by reference herein and therein contain statements that are not historical facts and are considered forward-looking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w:t>
      </w:r>
    </w:p>
    <w:p>
      <w:pPr>
        <w:spacing w:after="0" w:line="20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211" w:lineRule="exact"/>
        <w:rPr>
          <w:rFonts w:ascii="Arial" w:cs="Arial" w:eastAsia="Arial" w:hAnsi="Arial"/>
          <w:sz w:val="18"/>
          <w:szCs w:val="18"/>
          <w:color w:val="auto"/>
        </w:rPr>
      </w:pPr>
    </w:p>
    <w:p>
      <w:pPr>
        <w:ind w:left="1080" w:right="10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Phase 1 clinical trials for BLU-285 and BLU-554 and our anticipated Phase 1 clinical trial for BLU-667, and our research and development programs;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198"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211" w:lineRule="exact"/>
        <w:rPr>
          <w:rFonts w:ascii="Arial" w:cs="Arial" w:eastAsia="Arial" w:hAnsi="Arial"/>
          <w:sz w:val="18"/>
          <w:szCs w:val="18"/>
          <w:color w:val="auto"/>
        </w:rPr>
      </w:pPr>
    </w:p>
    <w:p>
      <w:pPr>
        <w:ind w:left="1080" w:right="240" w:hanging="532"/>
        <w:spacing w:after="0" w:line="23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our existing rare genetic disease collaboration with Alexion Pharma Holding and our existing cancer immunotherapy collaboration with F. Hoffmann-La Roche Ltd and Hoffmann-La Roche Inc., as well as our ability to enter into other strategic arrangements;</w:t>
      </w:r>
    </w:p>
    <w:p>
      <w:pPr>
        <w:spacing w:after="0" w:line="194" w:lineRule="exact"/>
        <w:rPr>
          <w:rFonts w:ascii="Arial" w:cs="Arial" w:eastAsia="Arial" w:hAnsi="Arial"/>
          <w:sz w:val="18"/>
          <w:szCs w:val="18"/>
          <w:color w:val="auto"/>
        </w:rPr>
      </w:pPr>
    </w:p>
    <w:p>
      <w:pPr>
        <w:ind w:left="1080" w:right="26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development of companion diagnostic tests for our drug candidates, including our companion diagnostic with Ventana Medical Systems, Inc. for BLU-554 and our companion diagnostic with QIAGEN Manchester Limited for BLU-285;</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grant funding;</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12" w:lineRule="exact"/>
        <w:rPr>
          <w:sz w:val="20"/>
          <w:szCs w:val="20"/>
          <w:color w:val="auto"/>
        </w:rPr>
      </w:pPr>
    </w:p>
    <w:p>
      <w:pPr>
        <w:ind w:right="80" w:firstLine="488"/>
        <w:spacing w:after="0" w:line="237"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the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documents incorporated by reference herein and therein, particularly in the "Risk factors" section, that could cause actual results or events to differ materially from the forward-looking statements that we make. Our forward-looking statements do not reflect the potential impact of any future acquisitions, mergers, dispositions, joint ventures or investments we may make or enter into.</w:t>
      </w:r>
    </w:p>
    <w:p>
      <w:pPr>
        <w:spacing w:after="0" w:line="208" w:lineRule="exact"/>
        <w:rPr>
          <w:sz w:val="20"/>
          <w:szCs w:val="20"/>
          <w:color w:val="auto"/>
        </w:rPr>
      </w:pPr>
    </w:p>
    <w:p>
      <w:pPr>
        <w:ind w:right="120" w:firstLine="485"/>
        <w:spacing w:after="0" w:line="236" w:lineRule="auto"/>
        <w:rPr>
          <w:sz w:val="20"/>
          <w:szCs w:val="20"/>
          <w:color w:val="auto"/>
        </w:rPr>
      </w:pPr>
      <w:r>
        <w:rPr>
          <w:rFonts w:ascii="Arial" w:cs="Arial" w:eastAsia="Arial" w:hAnsi="Arial"/>
          <w:sz w:val="18"/>
          <w:szCs w:val="18"/>
          <w:color w:val="auto"/>
        </w:rPr>
        <w:t>You should read this prospectus supplement, the accompanying prospectus and the documents incorporated by reference herein and therein, as well as the document that we have filed as exhibits to the registration statement of which this prospectus forms a part,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211" w:lineRule="exact"/>
        <w:rPr>
          <w:sz w:val="20"/>
          <w:szCs w:val="20"/>
          <w:color w:val="auto"/>
        </w:rPr>
      </w:pPr>
    </w:p>
    <w:p>
      <w:pPr>
        <w:ind w:right="120"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also contains estimate,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57842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784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240" w:right="60" w:firstLine="488"/>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and the accompanying prospectus and in the documents incorporated by reference herein or therein. This summary does not contain all the information that you should consider before investing in our common stock. You should read this entire prospectus supplement and the accompanying prospectus carefully, especially the risks of investing in our common stock discussed under "Risk Factors" beginning on page S-15 of this prospectus supplement, along with our consolidated financial statements and notes to those consolidated financial statements and the other information incorporated by reference in this prospectus supplement and the accompanying prospectus, before making an investment decision. This prospectus supplement may add to, update or change information in the accompanying prospectus.</w:t>
      </w: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40" w:firstLine="488"/>
        <w:spacing w:after="0" w:line="235" w:lineRule="auto"/>
        <w:rPr>
          <w:sz w:val="20"/>
          <w:szCs w:val="20"/>
          <w:color w:val="auto"/>
        </w:rPr>
      </w:pPr>
      <w:r>
        <w:rPr>
          <w:rFonts w:ascii="Arial" w:cs="Arial" w:eastAsia="Arial" w:hAnsi="Arial"/>
          <w:sz w:val="18"/>
          <w:szCs w:val="18"/>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for patients without adequate treatment options. This integrated biology and chemistry approach enables us to identify, characterize and drug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 We are currently evaluating our most advanced drug candidates, BLU-285 and BLU-554, in three ongoing Phase 1 clinical trials and recently presented preliminary data from the dose escalation stage of those clinical trials.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1 Clinical Programs</w:t>
      </w:r>
    </w:p>
    <w:p>
      <w:pPr>
        <w:spacing w:after="0" w:line="232" w:lineRule="exact"/>
        <w:rPr>
          <w:sz w:val="20"/>
          <w:szCs w:val="20"/>
          <w:color w:val="auto"/>
        </w:rPr>
      </w:pPr>
    </w:p>
    <w:p>
      <w:pPr>
        <w:ind w:left="240" w:firstLine="488"/>
        <w:spacing w:after="0" w:line="269" w:lineRule="auto"/>
        <w:rPr>
          <w:sz w:val="20"/>
          <w:szCs w:val="20"/>
          <w:color w:val="auto"/>
        </w:rPr>
      </w:pPr>
      <w:r>
        <w:rPr>
          <w:rFonts w:ascii="Arial" w:cs="Arial" w:eastAsia="Arial" w:hAnsi="Arial"/>
          <w:sz w:val="16"/>
          <w:szCs w:val="16"/>
          <w:color w:val="auto"/>
        </w:rPr>
        <w:t>One of our lead drug candidates is BLU-285, an orally available, potent and highly selective inhibitor that targets D842V mutant PDGFRa and Exon 17 mutant KIT, including the D816V mutation, abnormally active receptor tyrosine kinase mutants that are drivers of cancer and proliferative disorders. We are currently evaluating BLU-285 in ongoing Phase 1 clinical trials for defined subsets of patients with gastrointestinal stromal tumors, or GIST, and systemic mastocytosis, or SM. GIST is the most common sarcoma, or tumor of bone or connective tissue, of the gastrointestinal tract, and SM is a myeloproliferative disorder of the mast cells. In December 2016, we presented preliminary data from our ongoing Phase 1 clinical trial of BLU-285 in patients with PDGFRa-driven GIST and patients with relapsed or refractory KIT-driven GIST, which we collectively refer to as advanced GIST. The data showed that BLU-285 was observed to be well tolerated and had achieved proof-of-concept in these indications. In December 2016, we presented preliminary data from our ongoing Phase 1 clinical trial of BLU-285 in patients with advanced SM, including patients with aggressive SM, advanced SM with an associated hematologic neoplasm and mast cell leukemia. The data showed that BLU-285 was observed to be well tolerated and achieved proof-of-concept in advanced SM. Our other lead drug candidate is BLU-554, an orally available, potent and highly selective inhibitor that targets FGFR4, a kinase that is aberrantly activated in a defined subset of patients with hepatocellular carcinoma, or HCC, the most common type of liver cancer. In November 2016, we presented preliminary data from our ongoing Phase 1 clinical trial of BLU-554 in patients with advanced HCC. The data showed that BLU-554 had achieved proof-of concept in this indication and a maximum tolerated dose, or MTD, had been established for BLU-554. BLU-554 is currently being evaluated in the expansion stage of our ongoing Phase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835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83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380"/>
        <w:spacing w:after="0" w:line="239" w:lineRule="auto"/>
        <w:rPr>
          <w:sz w:val="20"/>
          <w:szCs w:val="20"/>
          <w:color w:val="auto"/>
        </w:rPr>
      </w:pPr>
      <w:r>
        <w:rPr>
          <w:rFonts w:ascii="Arial" w:cs="Arial" w:eastAsia="Arial" w:hAnsi="Arial"/>
          <w:sz w:val="18"/>
          <w:szCs w:val="18"/>
          <w:color w:val="auto"/>
        </w:rPr>
        <w:t>clinical trial in patients with advanced HCC, and enrollment is ongoing. We have worldwide development and commercialization rights to BLU-285 and BLU-554.</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BLU-285 for Advanced GIST</w:t>
      </w:r>
    </w:p>
    <w:p>
      <w:pPr>
        <w:spacing w:after="0" w:line="230" w:lineRule="exact"/>
        <w:rPr>
          <w:sz w:val="20"/>
          <w:szCs w:val="20"/>
          <w:color w:val="auto"/>
        </w:rPr>
      </w:pPr>
    </w:p>
    <w:p>
      <w:pPr>
        <w:ind w:left="240" w:right="120" w:firstLine="488"/>
        <w:spacing w:after="0" w:line="218" w:lineRule="auto"/>
        <w:rPr>
          <w:sz w:val="20"/>
          <w:szCs w:val="20"/>
          <w:color w:val="auto"/>
        </w:rPr>
      </w:pPr>
      <w:r>
        <w:rPr>
          <w:rFonts w:ascii="Arial" w:cs="Arial" w:eastAsia="Arial" w:hAnsi="Arial"/>
          <w:sz w:val="17"/>
          <w:szCs w:val="17"/>
          <w:color w:val="auto"/>
        </w:rPr>
        <w:t>BLU-285 is currently being evaluated in the dose escalation stage of a Phase 1 clinical trial in patients with advanced GIST. We presented preliminary data from the dose escalation stage of this clinical trial in December 2016 at the 28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EORTC-NCI-AACR Symposium on Molecular Targets and Cancer Therapeutics. As of the data cutoff date of November 1, 2016, BLU-285 had been administered to</w:t>
      </w:r>
    </w:p>
    <w:p>
      <w:pPr>
        <w:spacing w:after="0" w:line="1" w:lineRule="exact"/>
        <w:rPr>
          <w:sz w:val="20"/>
          <w:szCs w:val="20"/>
          <w:color w:val="auto"/>
        </w:rPr>
      </w:pPr>
    </w:p>
    <w:p>
      <w:pPr>
        <w:ind w:left="240" w:right="140"/>
        <w:spacing w:after="0" w:line="241" w:lineRule="auto"/>
        <w:rPr>
          <w:sz w:val="20"/>
          <w:szCs w:val="20"/>
          <w:color w:val="auto"/>
        </w:rPr>
      </w:pPr>
      <w:r>
        <w:rPr>
          <w:rFonts w:ascii="Arial" w:cs="Arial" w:eastAsia="Arial" w:hAnsi="Arial"/>
          <w:sz w:val="18"/>
          <w:szCs w:val="18"/>
          <w:color w:val="auto"/>
        </w:rPr>
        <w:t>36 patients at seven dose levels ranging from 30 mg once daily, or QD, to 400 mg QD, including 18 patients with PDGFRa-driven GIST and 18 patients with KIT-driven GIST. The median age was 61 (ranging from 41 to 77), and the median number of prior treatment regimens was 3.5 (ranging from zero to 12). Preliminary pharmacokinetic, or PK, analysis at all dose levels demonstrated relatively rapid absorption of BLU-285 and a mean half-life of over 24 hours, which supports QD dosing.</w:t>
      </w:r>
    </w:p>
    <w:p>
      <w:pPr>
        <w:spacing w:after="0" w:line="191" w:lineRule="exact"/>
        <w:rPr>
          <w:sz w:val="20"/>
          <w:szCs w:val="20"/>
          <w:color w:val="auto"/>
        </w:rPr>
      </w:pPr>
    </w:p>
    <w:p>
      <w:pPr>
        <w:ind w:left="240" w:firstLine="488"/>
        <w:spacing w:after="0" w:line="274" w:lineRule="auto"/>
        <w:rPr>
          <w:sz w:val="20"/>
          <w:szCs w:val="20"/>
          <w:color w:val="auto"/>
        </w:rPr>
      </w:pPr>
      <w:r>
        <w:rPr>
          <w:rFonts w:ascii="Arial" w:cs="Arial" w:eastAsia="Arial" w:hAnsi="Arial"/>
          <w:sz w:val="16"/>
          <w:szCs w:val="16"/>
          <w:i w:val="1"/>
          <w:iCs w:val="1"/>
          <w:color w:val="auto"/>
        </w:rPr>
        <w:t xml:space="preserve">Preliminary Safety Data. </w:t>
      </w:r>
      <w:r>
        <w:rPr>
          <w:rFonts w:ascii="Arial" w:cs="Arial" w:eastAsia="Arial" w:hAnsi="Arial"/>
          <w:sz w:val="16"/>
          <w:szCs w:val="16"/>
          <w:color w:val="auto"/>
        </w:rPr>
        <w:t>As of the data cutoff date of November 1, 2016, BLU-285 was observed to be well tolerated at all doses. No</w:t>
      </w:r>
      <w:r>
        <w:rPr>
          <w:rFonts w:ascii="Arial" w:cs="Arial" w:eastAsia="Arial" w:hAnsi="Arial"/>
          <w:sz w:val="16"/>
          <w:szCs w:val="16"/>
          <w:i w:val="1"/>
          <w:iCs w:val="1"/>
          <w:color w:val="auto"/>
        </w:rPr>
        <w:t xml:space="preserve"> </w:t>
      </w:r>
      <w:r>
        <w:rPr>
          <w:rFonts w:ascii="Arial" w:cs="Arial" w:eastAsia="Arial" w:hAnsi="Arial"/>
          <w:sz w:val="16"/>
          <w:szCs w:val="16"/>
          <w:color w:val="auto"/>
        </w:rPr>
        <w:t>dose-limiting toxicities or treatment-related Grade 4 or 5 adverse events were reported, and no patients discontinued treatment with BLU-285 due to treatment-related adverse events. The majority of adverse events reported by investigators were Grade 1 or 2. Across all grades, adverse events reported by investigators most commonly included nausea (42%), vomiting (33%), peripheral edema (31%), fatigue (28%) and constipation (22%). Investigators reported treatment-related Grade 3 adverse events in three patients: nausea and vomiting (one patient); anemia and intratumoral hemorrhage (one patient); and hypophosphatemia (one patient), a deficiency of phosphates in the blood. An MTD for BLU-285 has not been established in this clinical trial, and enrollment in the dose escalation stage is ongoing.</w:t>
      </w:r>
    </w:p>
    <w:p>
      <w:pPr>
        <w:spacing w:after="0" w:line="164" w:lineRule="exact"/>
        <w:rPr>
          <w:sz w:val="20"/>
          <w:szCs w:val="20"/>
          <w:color w:val="auto"/>
        </w:rPr>
      </w:pPr>
    </w:p>
    <w:p>
      <w:pPr>
        <w:ind w:left="240" w:right="360" w:firstLine="488"/>
        <w:spacing w:after="0" w:line="243" w:lineRule="auto"/>
        <w:rPr>
          <w:sz w:val="20"/>
          <w:szCs w:val="20"/>
          <w:color w:val="auto"/>
        </w:rPr>
      </w:pPr>
      <w:r>
        <w:rPr>
          <w:rFonts w:ascii="Arial" w:cs="Arial" w:eastAsia="Arial" w:hAnsi="Arial"/>
          <w:sz w:val="18"/>
          <w:szCs w:val="18"/>
          <w:i w:val="1"/>
          <w:iCs w:val="1"/>
          <w:color w:val="auto"/>
        </w:rPr>
        <w:t xml:space="preserve">Preliminary Clinical Activity Data. </w:t>
      </w:r>
      <w:r>
        <w:rPr>
          <w:rFonts w:ascii="Arial" w:cs="Arial" w:eastAsia="Arial" w:hAnsi="Arial"/>
          <w:sz w:val="18"/>
          <w:szCs w:val="18"/>
          <w:color w:val="auto"/>
        </w:rPr>
        <w:t>As of the data cutoff date of November 1, 2016, 28 patients in the first six cohorts of the dose</w:t>
      </w:r>
      <w:r>
        <w:rPr>
          <w:rFonts w:ascii="Arial" w:cs="Arial" w:eastAsia="Arial" w:hAnsi="Arial"/>
          <w:sz w:val="18"/>
          <w:szCs w:val="18"/>
          <w:i w:val="1"/>
          <w:iCs w:val="1"/>
          <w:color w:val="auto"/>
        </w:rPr>
        <w:t xml:space="preserve"> </w:t>
      </w:r>
      <w:r>
        <w:rPr>
          <w:rFonts w:ascii="Arial" w:cs="Arial" w:eastAsia="Arial" w:hAnsi="Arial"/>
          <w:sz w:val="18"/>
          <w:szCs w:val="18"/>
          <w:color w:val="auto"/>
        </w:rPr>
        <w:t>escalation stage of the clinical trial at doses ranging from 30 mg QD to 300 mg QD had completed at least two 28-day dosing cycles and were evaluable for response assessment. Response assessments were based on CT and MRI imaging to measure clinical activity per Response Evaluation Criteria In Solid Tumors version 1.1, or RECIST.</w:t>
      </w:r>
    </w:p>
    <w:p>
      <w:pPr>
        <w:spacing w:after="0" w:line="208" w:lineRule="exact"/>
        <w:rPr>
          <w:sz w:val="20"/>
          <w:szCs w:val="20"/>
          <w:color w:val="auto"/>
        </w:rPr>
      </w:pPr>
    </w:p>
    <w:p>
      <w:pPr>
        <w:ind w:left="1320" w:right="120" w:hanging="538"/>
        <w:spacing w:after="0" w:line="243"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PDGFRa-driven GIST, investigators observed radiographic tumor reduction in 14 of 15 evaluable patients with six patients achieving a partial response, or PR, by RECIST (five confirmed, one unconfirmed). For a confirmed PR, the PR was maintained through two consecutive response assessments at least four weeks apart. For the unconfirmed PR, as of the data cutoff date, a second response assessment at least four weeks after the first response assessment was not available. Tumor reduction was observed at the first dose level in the PDGFRa-driven subgroup of advanced GIST.</w:t>
      </w:r>
    </w:p>
    <w:p>
      <w:pPr>
        <w:spacing w:after="0" w:line="206" w:lineRule="exact"/>
        <w:rPr>
          <w:rFonts w:ascii="Arial" w:cs="Arial" w:eastAsia="Arial" w:hAnsi="Arial"/>
          <w:sz w:val="18"/>
          <w:szCs w:val="18"/>
          <w:color w:val="auto"/>
        </w:rPr>
      </w:pPr>
    </w:p>
    <w:p>
      <w:pPr>
        <w:jc w:val="both"/>
        <w:ind w:left="1320" w:right="60" w:hanging="538"/>
        <w:spacing w:after="0" w:line="264"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KIT-driven GIST, investigators observed radiographic tumor reduction in five of the 13 evaluable patients, including one who achieved a PR by RECIST (confirmed). At the higher dose levels (greater than or equal to 135 mg), four out of six patients had tumor reduction, including the patient with a PR, which we believe suggests increased clinical activity with increased dose.</w:t>
      </w:r>
    </w:p>
    <w:p>
      <w:pPr>
        <w:ind w:left="1320"/>
        <w:spacing w:after="0"/>
        <w:rPr>
          <w:rFonts w:ascii="Arial" w:cs="Arial" w:eastAsia="Arial" w:hAnsi="Arial"/>
          <w:sz w:val="16"/>
          <w:szCs w:val="16"/>
          <w:color w:val="auto"/>
        </w:rPr>
      </w:pPr>
      <w:r>
        <w:rPr>
          <w:rFonts w:ascii="Arial" w:cs="Arial" w:eastAsia="Arial" w:hAnsi="Arial"/>
          <w:sz w:val="18"/>
          <w:szCs w:val="18"/>
          <w:color w:val="auto"/>
        </w:rPr>
        <w:t>Tumor reduction was first observed at the fourth dose level in the KIT-driven subgroup of advanced GIST.</w:t>
      </w:r>
    </w:p>
    <w:p>
      <w:pPr>
        <w:spacing w:after="0" w:line="198" w:lineRule="exact"/>
        <w:rPr>
          <w:rFonts w:ascii="Arial" w:cs="Arial" w:eastAsia="Arial" w:hAnsi="Arial"/>
          <w:sz w:val="16"/>
          <w:szCs w:val="16"/>
          <w:color w:val="auto"/>
        </w:rPr>
      </w:pPr>
    </w:p>
    <w:p>
      <w:pPr>
        <w:ind w:left="1320" w:right="80" w:hanging="538"/>
        <w:spacing w:after="0" w:line="244"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among all 36 patients administered BLU-285 for the treatment of advanced GIST, 27 patients remained on BLU-285, including all 18 patients with PDGFRa-driven GIST. For these 36 patients, the treatment duration ranged from 0.8 months to 12.3 months. Nine patients discontinued treatment with BLU-285 due to progressive disease.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269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5269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0" w:firstLine="488"/>
        <w:spacing w:after="0" w:line="276" w:lineRule="auto"/>
        <w:rPr>
          <w:sz w:val="20"/>
          <w:szCs w:val="20"/>
          <w:color w:val="auto"/>
        </w:rPr>
      </w:pPr>
      <w:r>
        <w:rPr>
          <w:rFonts w:ascii="Arial" w:cs="Arial" w:eastAsia="Arial" w:hAnsi="Arial"/>
          <w:sz w:val="16"/>
          <w:szCs w:val="16"/>
          <w:i w:val="1"/>
          <w:iCs w:val="1"/>
          <w:color w:val="auto"/>
        </w:rPr>
        <w:t xml:space="preserve">Clinical Development Plans. </w:t>
      </w:r>
      <w:r>
        <w:rPr>
          <w:rFonts w:ascii="Arial" w:cs="Arial" w:eastAsia="Arial" w:hAnsi="Arial"/>
          <w:sz w:val="16"/>
          <w:szCs w:val="16"/>
          <w:color w:val="auto"/>
        </w:rPr>
        <w:t>Based on the safety profile and clinical activity observed to date in this clinical trial, we will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enroll patients in the dose escalation stage of this clinical trial. Once the MTD is reached, or a lower recommended dose for further clinical evaluation has been established, we plan to open expansion cohorts for subsets of patients with advanced GIST. We expect enrollment for the expansion stage of this Phase 1 clinical trial would begin in the first half of 2017, and we plan to enroll approximately 35 patients with advanced GIST in the expansion stage. Based on these preliminary data, we also plan to increase the cohort size in the expansion stage to evaluate the potential of BLU-285 as a single agent therapy in PDGFRa-driven GIST and KIT-driven GIST and to accelerate our evaluation of expanded development options for BLU-285 in GIST, including opportunities to move to earlier lines of therapy and possible combinations.</w:t>
      </w:r>
    </w:p>
    <w:p>
      <w:pPr>
        <w:spacing w:after="0" w:line="185" w:lineRule="exact"/>
        <w:rPr>
          <w:sz w:val="20"/>
          <w:szCs w:val="20"/>
          <w:color w:val="auto"/>
        </w:rPr>
      </w:pPr>
    </w:p>
    <w:p>
      <w:pPr>
        <w:ind w:left="240" w:right="40" w:firstLine="488"/>
        <w:spacing w:after="0" w:line="238" w:lineRule="auto"/>
        <w:rPr>
          <w:sz w:val="20"/>
          <w:szCs w:val="20"/>
          <w:color w:val="auto"/>
        </w:rPr>
      </w:pPr>
      <w:r>
        <w:rPr>
          <w:rFonts w:ascii="Arial" w:cs="Arial" w:eastAsia="Arial" w:hAnsi="Arial"/>
          <w:sz w:val="18"/>
          <w:szCs w:val="18"/>
          <w:color w:val="auto"/>
        </w:rPr>
        <w:t>In January 2016, the U.S. Food and Drug Administration, or FDA, granted orphan drug designation to BLU-285 for the treatment of GIST. In October 2016, the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PDGFRa D842V mutation regardless of prior therapy. We plan to seek regulatory guidance on potential pathways for expedited clinical development of BLU-285 for the treatment of advanced GIST. In addition, in August 2016, we and QIAGEN Manchester Limited entered into an agreement to develop and commercialize an assay as a companion diagnostic test to identify GIST patients with the PDGFRa D842V mutation for use with BLU-285.</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BLU-285 for Advanced SM</w:t>
      </w:r>
    </w:p>
    <w:p>
      <w:pPr>
        <w:spacing w:after="0" w:line="230" w:lineRule="exact"/>
        <w:rPr>
          <w:sz w:val="20"/>
          <w:szCs w:val="20"/>
          <w:color w:val="auto"/>
        </w:rPr>
      </w:pPr>
    </w:p>
    <w:p>
      <w:pPr>
        <w:ind w:left="240" w:right="40" w:firstLine="488"/>
        <w:spacing w:after="0" w:line="270" w:lineRule="auto"/>
        <w:rPr>
          <w:sz w:val="20"/>
          <w:szCs w:val="20"/>
          <w:color w:val="auto"/>
        </w:rPr>
      </w:pPr>
      <w:r>
        <w:rPr>
          <w:rFonts w:ascii="Arial" w:cs="Arial" w:eastAsia="Arial" w:hAnsi="Arial"/>
          <w:sz w:val="16"/>
          <w:szCs w:val="16"/>
          <w:color w:val="auto"/>
        </w:rPr>
        <w:t>BLU-285 is also currently being evaluated in the dose escalation stage of a Phase 1 clinical trial in patients with advanced SM. We presented preliminary data from this ongoing clinical trial in December 2016 at the 2016 American Society of Hematology Annual Meeting. As of the data cutoff date of November 11, 2016, BLU-285 had been administered to 12 patients at three dose levels (30 mg, 60 mg and 100 mg QD). The median age was 61.5 (ranging from 39 to 82), and the KIT D816V mutation has been confirmed in bone marrow or blood from 11 of the 12 patients. Ten of the 12 patients remained on the clinical trial as of the data cutoff date. Preliminary PK analysis at all dose levels demonstrated relatively rapid absorption of BLU-285 and a mean half-life of over 19 hours, which supports QD dosing and is consistent with the initial data reported by us from the dose escalation stage of our Phase 1 clinical trial for BLU-285 in patients with advanced GIST.</w:t>
      </w:r>
    </w:p>
    <w:p>
      <w:pPr>
        <w:spacing w:after="0" w:line="167" w:lineRule="exact"/>
        <w:rPr>
          <w:sz w:val="20"/>
          <w:szCs w:val="20"/>
          <w:color w:val="auto"/>
        </w:rPr>
      </w:pPr>
    </w:p>
    <w:p>
      <w:pPr>
        <w:ind w:left="240" w:right="40" w:firstLine="488"/>
        <w:spacing w:after="0" w:line="271" w:lineRule="auto"/>
        <w:rPr>
          <w:sz w:val="20"/>
          <w:szCs w:val="20"/>
          <w:color w:val="auto"/>
        </w:rPr>
      </w:pPr>
      <w:r>
        <w:rPr>
          <w:rFonts w:ascii="Arial" w:cs="Arial" w:eastAsia="Arial" w:hAnsi="Arial"/>
          <w:sz w:val="16"/>
          <w:szCs w:val="16"/>
          <w:i w:val="1"/>
          <w:iCs w:val="1"/>
          <w:color w:val="auto"/>
        </w:rPr>
        <w:t xml:space="preserve">Preliminary Safety Data. </w:t>
      </w:r>
      <w:r>
        <w:rPr>
          <w:rFonts w:ascii="Arial" w:cs="Arial" w:eastAsia="Arial" w:hAnsi="Arial"/>
          <w:sz w:val="16"/>
          <w:szCs w:val="16"/>
          <w:color w:val="auto"/>
        </w:rPr>
        <w:t>As of the data cutoff date of November 11, 2016, BLU-285 was observed to be well tolerated at all doses.</w:t>
      </w:r>
      <w:r>
        <w:rPr>
          <w:rFonts w:ascii="Arial" w:cs="Arial" w:eastAsia="Arial" w:hAnsi="Arial"/>
          <w:sz w:val="16"/>
          <w:szCs w:val="16"/>
          <w:i w:val="1"/>
          <w:iCs w:val="1"/>
          <w:color w:val="auto"/>
        </w:rPr>
        <w:t xml:space="preserve"> </w:t>
      </w:r>
      <w:r>
        <w:rPr>
          <w:rFonts w:ascii="Arial" w:cs="Arial" w:eastAsia="Arial" w:hAnsi="Arial"/>
          <w:sz w:val="16"/>
          <w:szCs w:val="16"/>
          <w:color w:val="auto"/>
        </w:rPr>
        <w:t>No patients discontinued treatment due to an adverse event, and no Grade 4 or worse treatment-related adverse events were reported. The majority of adverse events reported by investigators were Grade 1 or Grade 2, and adverse events that occurred in two or more patients included fatigue (four patients), anemia (three patients) and alkaline phosphatase elevation (three patients). All three cases of alkaline phosphatase elevation were Grade 3 but were asymptomatic and transient and occurred in the absence of transaminase or bilirubin elevations. In addition, the Grade 3 alkaline phosphatase elevations occurred in the three patients with the highest bone marrow mast cell burden at baseline, suggesting the transient alkaline phosphatase elevations may be consistent with a pharmacodynamic, or PD, effect of BLU-285 on mast cells in the bone. One of the three cases of alkaline phosphatase elevation was considered possibly treatment-related and defined as a dose-limiting toxicity at the 60 mg dose level. All three patients continued treatment with BLU-285 without a dose reduction. The MTD for BLU-285 has not been established in this clinical trial, and enrollment in the dose escalation stage is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590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59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Preliminary Clinical Activity Data.</w:t>
      </w:r>
    </w:p>
    <w:p>
      <w:pPr>
        <w:spacing w:after="0" w:line="230" w:lineRule="exact"/>
        <w:rPr>
          <w:sz w:val="20"/>
          <w:szCs w:val="20"/>
          <w:color w:val="auto"/>
        </w:rPr>
      </w:pPr>
    </w:p>
    <w:p>
      <w:pPr>
        <w:ind w:left="240" w:firstLine="478"/>
        <w:spacing w:after="0" w:line="238" w:lineRule="auto"/>
        <w:rPr>
          <w:sz w:val="20"/>
          <w:szCs w:val="20"/>
          <w:color w:val="auto"/>
        </w:rPr>
      </w:pPr>
      <w:r>
        <w:rPr>
          <w:rFonts w:ascii="Arial" w:cs="Arial" w:eastAsia="Arial" w:hAnsi="Arial"/>
          <w:sz w:val="18"/>
          <w:szCs w:val="18"/>
          <w:color w:val="auto"/>
        </w:rPr>
        <w:t>As of the data cutoff date of November 11, 2016, all 12 patients in the first three cohorts of the dose escalation stage of the clinical trial at doses ranging from 30 mg QD to 100 mg QD had completed at least two 28-day dosing cycles and were evaluated for signs of clinical activity.</w:t>
      </w:r>
    </w:p>
    <w:p>
      <w:pPr>
        <w:spacing w:after="0" w:line="222" w:lineRule="exact"/>
        <w:rPr>
          <w:sz w:val="20"/>
          <w:szCs w:val="20"/>
          <w:color w:val="auto"/>
        </w:rPr>
      </w:pPr>
    </w:p>
    <w:p>
      <w:pPr>
        <w:ind w:left="1320" w:right="38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Investigators observed decreases in bone marrow mast cell infiltrate, measured by bone marrow biopsy, in six of the eight patients who had a bone marrow biopsy after starting treatment with BLU-285.</w:t>
      </w:r>
    </w:p>
    <w:p>
      <w:pPr>
        <w:spacing w:after="0" w:line="195" w:lineRule="exact"/>
        <w:rPr>
          <w:rFonts w:ascii="Arial" w:cs="Arial" w:eastAsia="Arial" w:hAnsi="Arial"/>
          <w:sz w:val="18"/>
          <w:szCs w:val="18"/>
          <w:color w:val="auto"/>
        </w:rPr>
      </w:pPr>
    </w:p>
    <w:p>
      <w:pPr>
        <w:ind w:left="1320" w:right="8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Three of the six patients had a decrease of bone marrow mast infiltrate of more than 50% from baseline, including one patient with no residual mast cells in the bone marrow.</w:t>
      </w:r>
    </w:p>
    <w:p>
      <w:pPr>
        <w:spacing w:after="0" w:line="195" w:lineRule="exact"/>
        <w:rPr>
          <w:rFonts w:ascii="Arial" w:cs="Arial" w:eastAsia="Arial" w:hAnsi="Arial"/>
          <w:sz w:val="18"/>
          <w:szCs w:val="18"/>
          <w:color w:val="auto"/>
        </w:rPr>
      </w:pPr>
    </w:p>
    <w:p>
      <w:pPr>
        <w:ind w:left="1320" w:right="10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measurements at a central laboratory, serum tryptase decreased in 10 of 12 patients. The serum tryptase decrease was greater than 50% in eight patients.</w:t>
      </w:r>
    </w:p>
    <w:p>
      <w:pPr>
        <w:spacing w:after="0" w:line="208" w:lineRule="exact"/>
        <w:rPr>
          <w:rFonts w:ascii="Arial" w:cs="Arial" w:eastAsia="Arial" w:hAnsi="Arial"/>
          <w:sz w:val="18"/>
          <w:szCs w:val="18"/>
          <w:color w:val="auto"/>
        </w:rPr>
      </w:pPr>
    </w:p>
    <w:p>
      <w:pPr>
        <w:ind w:left="1320" w:right="52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allele burden of D816V mutant KIT decreased within the first two treatment cycles in five of six evaluable patients in circulating tumor DNA and bone marrow.</w:t>
      </w:r>
    </w:p>
    <w:p>
      <w:pPr>
        <w:spacing w:after="0" w:line="195" w:lineRule="exact"/>
        <w:rPr>
          <w:rFonts w:ascii="Arial" w:cs="Arial" w:eastAsia="Arial" w:hAnsi="Arial"/>
          <w:sz w:val="18"/>
          <w:szCs w:val="18"/>
          <w:color w:val="auto"/>
        </w:rPr>
      </w:pPr>
    </w:p>
    <w:p>
      <w:pPr>
        <w:ind w:left="1320" w:right="84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Rash improved in five patients with urticaria pigmentosa from baseline based on investigator assessments. Urticaria pigmentosa is an allergy-mediated rash common in SM patients.</w:t>
      </w:r>
    </w:p>
    <w:p>
      <w:pPr>
        <w:spacing w:after="0" w:line="195"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Weight increased in 10 patients, and albumin increased in 11 patients, suggesting improvements in malabsorption.</w:t>
      </w:r>
    </w:p>
    <w:p>
      <w:pPr>
        <w:spacing w:after="0" w:line="211"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Ten of 12 patients remained on treatment with BLU-285, and the duration of treatment ranged from one month to 8.1 months.</w:t>
      </w:r>
    </w:p>
    <w:p>
      <w:pPr>
        <w:spacing w:after="0" w:line="217" w:lineRule="exact"/>
        <w:rPr>
          <w:sz w:val="20"/>
          <w:szCs w:val="20"/>
          <w:color w:val="auto"/>
        </w:rPr>
      </w:pPr>
    </w:p>
    <w:p>
      <w:pPr>
        <w:ind w:left="240" w:right="60" w:firstLine="488"/>
        <w:spacing w:after="0" w:line="271" w:lineRule="auto"/>
        <w:rPr>
          <w:sz w:val="20"/>
          <w:szCs w:val="20"/>
          <w:color w:val="auto"/>
        </w:rPr>
      </w:pPr>
      <w:r>
        <w:rPr>
          <w:rFonts w:ascii="Arial" w:cs="Arial" w:eastAsia="Arial" w:hAnsi="Arial"/>
          <w:sz w:val="16"/>
          <w:szCs w:val="16"/>
          <w:i w:val="1"/>
          <w:iCs w:val="1"/>
          <w:color w:val="auto"/>
        </w:rPr>
        <w:t xml:space="preserve">Clinical Development Plans. </w:t>
      </w:r>
      <w:r>
        <w:rPr>
          <w:rFonts w:ascii="Arial" w:cs="Arial" w:eastAsia="Arial" w:hAnsi="Arial"/>
          <w:sz w:val="16"/>
          <w:szCs w:val="16"/>
          <w:color w:val="auto"/>
        </w:rPr>
        <w:t>Based on the preliminary safety profile and clinical activity observed to date in this clinical trial, we plan</w:t>
      </w:r>
      <w:r>
        <w:rPr>
          <w:rFonts w:ascii="Arial" w:cs="Arial" w:eastAsia="Arial" w:hAnsi="Arial"/>
          <w:sz w:val="16"/>
          <w:szCs w:val="16"/>
          <w:i w:val="1"/>
          <w:iCs w:val="1"/>
          <w:color w:val="auto"/>
        </w:rPr>
        <w:t xml:space="preserve"> </w:t>
      </w:r>
      <w:r>
        <w:rPr>
          <w:rFonts w:ascii="Arial" w:cs="Arial" w:eastAsia="Arial" w:hAnsi="Arial"/>
          <w:sz w:val="16"/>
          <w:szCs w:val="16"/>
          <w:color w:val="auto"/>
        </w:rPr>
        <w:t>to continue to enroll patients in the dose escalation stage of this Phase 1 clinical trial until an MTD is reached or a recommended dose is established. We plan to open enrollment in expansion cohorts for specific subtypes of advanced SM to evaluate BLU-285 as a single agent in advanced SM once a recommended dose for further clinical evaluation has been determined or an MTD has been reached. We expect to initiate the expansion stage of this clinical trial in 2017 and plan to enroll approximately 35 patients with advanced SM in the expansion stage. We are also collaborating with a health research outcomes group to develop a disease-specific patient reported outcome tool to measure changes in total symptom burden in patients with advanced SM. Based on the preliminary safety and clinical activity data, we plan to evaluate options to expand the clinical development of BLU-285 in other KIT-driven diseases, including possible opportunities for the treatment of indolent SM and KIT-mutant acute myeloid leukemia, groups of patients in need of more effective treatments.</w:t>
      </w:r>
    </w:p>
    <w:p>
      <w:pPr>
        <w:spacing w:after="0" w:line="18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In addition, in January 2016, the FDA granted orphan drug designation to BLU-285 for the treatment of SM.</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BLU-554 for Advanced HCC</w:t>
      </w:r>
    </w:p>
    <w:p>
      <w:pPr>
        <w:spacing w:after="0" w:line="230" w:lineRule="exact"/>
        <w:rPr>
          <w:sz w:val="20"/>
          <w:szCs w:val="20"/>
          <w:color w:val="auto"/>
        </w:rPr>
      </w:pPr>
    </w:p>
    <w:p>
      <w:pPr>
        <w:ind w:left="240" w:right="20" w:firstLine="488"/>
        <w:spacing w:after="0" w:line="223" w:lineRule="auto"/>
        <w:rPr>
          <w:sz w:val="20"/>
          <w:szCs w:val="20"/>
          <w:color w:val="auto"/>
        </w:rPr>
      </w:pPr>
      <w:r>
        <w:rPr>
          <w:rFonts w:ascii="Arial" w:cs="Arial" w:eastAsia="Arial" w:hAnsi="Arial"/>
          <w:sz w:val="18"/>
          <w:szCs w:val="18"/>
          <w:color w:val="auto"/>
        </w:rPr>
        <w:t xml:space="preserve">BLU-554 is currently being evaluated in the expansion stage of a Phase 1 clinical trial in patients with advanced HCC, and enrollment is ongoing. We presented preliminary data from the dose escalation stage of this ongoing clinical trial in November 2016 at the 28 </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EORTC-NCI-AACR Symposium on Molecular Targets and Cancer Therapeutics. As of the data cutoff date of November 7, 2016, BLU-554 had been administered to 25 patients in the dose escalation stage of the clinical trial at five dose levels (ranging from 140 mg QD to 900 mg QD), with the majority of patients having previously received sorafenib. Ten patients had confirmed tumor FGF19 overexpression using an investigational immunohistochemistry, or IHC, assay. PK data across all dose levels showed rapid oral absorption, a mean half-life of approximately 10 hours and exposure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775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5775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140"/>
        <w:spacing w:after="0" w:line="238" w:lineRule="auto"/>
        <w:rPr>
          <w:sz w:val="20"/>
          <w:szCs w:val="20"/>
          <w:color w:val="auto"/>
        </w:rPr>
      </w:pPr>
      <w:r>
        <w:rPr>
          <w:rFonts w:ascii="Arial" w:cs="Arial" w:eastAsia="Arial" w:hAnsi="Arial"/>
          <w:sz w:val="18"/>
          <w:szCs w:val="18"/>
          <w:color w:val="auto"/>
        </w:rPr>
        <w:t>in the expected therapeutic range as predicted by HCC xenograft models in mice. PD data suggested that treatment with BLU-554 inhibited the FGFR4 pathway, as evidenced by effects on metabolic pathways downstream of FGFR4, with increases in the bile acid precursor C4, decreases in cholesterol and feedback upregulation of the ligand FGF19 in blood.</w:t>
      </w:r>
    </w:p>
    <w:p>
      <w:pPr>
        <w:spacing w:after="0" w:line="190" w:lineRule="exact"/>
        <w:rPr>
          <w:sz w:val="20"/>
          <w:szCs w:val="20"/>
          <w:color w:val="auto"/>
        </w:rPr>
      </w:pPr>
    </w:p>
    <w:p>
      <w:pPr>
        <w:ind w:left="240" w:firstLine="488"/>
        <w:spacing w:after="0" w:line="238" w:lineRule="auto"/>
        <w:rPr>
          <w:sz w:val="20"/>
          <w:szCs w:val="20"/>
          <w:color w:val="auto"/>
        </w:rPr>
      </w:pPr>
      <w:r>
        <w:rPr>
          <w:rFonts w:ascii="Arial" w:cs="Arial" w:eastAsia="Arial" w:hAnsi="Arial"/>
          <w:sz w:val="18"/>
          <w:szCs w:val="18"/>
          <w:i w:val="1"/>
          <w:iCs w:val="1"/>
          <w:color w:val="auto"/>
        </w:rPr>
        <w:t xml:space="preserve">Preliminary Safety Data. </w:t>
      </w:r>
      <w:r>
        <w:rPr>
          <w:rFonts w:ascii="Arial" w:cs="Arial" w:eastAsia="Arial" w:hAnsi="Arial"/>
          <w:sz w:val="18"/>
          <w:szCs w:val="18"/>
          <w:color w:val="auto"/>
        </w:rPr>
        <w:t>As of the data cutoff date of November 7, 2016, the majority of adverse events reported by investigators</w:t>
      </w:r>
      <w:r>
        <w:rPr>
          <w:rFonts w:ascii="Arial" w:cs="Arial" w:eastAsia="Arial" w:hAnsi="Arial"/>
          <w:sz w:val="18"/>
          <w:szCs w:val="18"/>
          <w:i w:val="1"/>
          <w:iCs w:val="1"/>
          <w:color w:val="auto"/>
        </w:rPr>
        <w:t xml:space="preserve"> </w:t>
      </w:r>
      <w:r>
        <w:rPr>
          <w:rFonts w:ascii="Arial" w:cs="Arial" w:eastAsia="Arial" w:hAnsi="Arial"/>
          <w:sz w:val="18"/>
          <w:szCs w:val="18"/>
          <w:color w:val="auto"/>
        </w:rPr>
        <w:t>were Grade 1 or 2 and most commonly included diarrhea (72%), nausea (44%), abdominal pain (40%), vomiting (40%), fatigue (36%), transaminase elevation (alanine aminotransferase, or ALT (32%) and aspartate aminotransferase, or AST (28%)) and decreased appetite (24%). Investigators reported Grade 3 or higher adverse events in 17 patients. Grade 3 or worse adverse events occurring in three or more patients included anemia, elevated transaminases (AST and ALT), abdominal pain and decreased lymphocytes. The MTD for BLU-554 was identified to be 600 mg QD. Two patients experienced dose-limiting toxicities at 900 mg (Grade 3 abdominal pain and Grade 3 fatigue). Only two patients discontinued treatment with BLU-554 due to treatment-related toxicities (Grade 4 increased AST and Grade 3 hemorrhage). The case of Grade 3 hemorrhage occurred in a patient treated at 900 mg, which was above the MTD.</w:t>
      </w:r>
    </w:p>
    <w:p>
      <w:pPr>
        <w:spacing w:after="0" w:line="195" w:lineRule="exact"/>
        <w:rPr>
          <w:sz w:val="20"/>
          <w:szCs w:val="20"/>
          <w:color w:val="auto"/>
        </w:rPr>
      </w:pPr>
    </w:p>
    <w:p>
      <w:pPr>
        <w:ind w:left="240" w:right="440" w:firstLine="488"/>
        <w:spacing w:after="0" w:line="260" w:lineRule="auto"/>
        <w:rPr>
          <w:sz w:val="20"/>
          <w:szCs w:val="20"/>
          <w:color w:val="auto"/>
        </w:rPr>
      </w:pPr>
      <w:r>
        <w:rPr>
          <w:rFonts w:ascii="Arial" w:cs="Arial" w:eastAsia="Arial" w:hAnsi="Arial"/>
          <w:sz w:val="18"/>
          <w:szCs w:val="18"/>
          <w:i w:val="1"/>
          <w:iCs w:val="1"/>
          <w:color w:val="auto"/>
        </w:rPr>
        <w:t xml:space="preserve">Preliminary Clinical Activity Data. </w:t>
      </w:r>
      <w:r>
        <w:rPr>
          <w:rFonts w:ascii="Arial" w:cs="Arial" w:eastAsia="Arial" w:hAnsi="Arial"/>
          <w:sz w:val="18"/>
          <w:szCs w:val="18"/>
          <w:color w:val="auto"/>
        </w:rPr>
        <w:t>As of the data cutoff date of November 7, 2016, 25 patients in the first five cohorts of the dose</w:t>
      </w:r>
      <w:r>
        <w:rPr>
          <w:rFonts w:ascii="Arial" w:cs="Arial" w:eastAsia="Arial" w:hAnsi="Arial"/>
          <w:sz w:val="18"/>
          <w:szCs w:val="18"/>
          <w:i w:val="1"/>
          <w:iCs w:val="1"/>
          <w:color w:val="auto"/>
        </w:rPr>
        <w:t xml:space="preserve"> </w:t>
      </w:r>
      <w:r>
        <w:rPr>
          <w:rFonts w:ascii="Arial" w:cs="Arial" w:eastAsia="Arial" w:hAnsi="Arial"/>
          <w:sz w:val="18"/>
          <w:szCs w:val="18"/>
          <w:color w:val="auto"/>
        </w:rPr>
        <w:t>escalation stage of the clinical trial (at doses ranging from 140 mg QD to 900 mg QD) were evaluable for clinical activity.</w:t>
      </w:r>
    </w:p>
    <w:p>
      <w:pPr>
        <w:spacing w:after="0" w:line="204" w:lineRule="exact"/>
        <w:rPr>
          <w:sz w:val="20"/>
          <w:szCs w:val="20"/>
          <w:color w:val="auto"/>
        </w:rPr>
      </w:pPr>
    </w:p>
    <w:p>
      <w:pPr>
        <w:ind w:left="1320" w:right="140" w:hanging="538"/>
        <w:spacing w:after="0" w:line="299"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Investigators observed one patient with a confirmed PR, who remained on the clinical trial for eight 28-day dosing cycles, and 12 patients with stable disease, or SD, including seven who had tumor reduction but did not reach the threshold for a PR.</w:t>
      </w:r>
    </w:p>
    <w:p>
      <w:pPr>
        <w:spacing w:after="0" w:line="149" w:lineRule="exact"/>
        <w:rPr>
          <w:rFonts w:ascii="Arial" w:cs="Arial" w:eastAsia="Arial" w:hAnsi="Arial"/>
          <w:sz w:val="16"/>
          <w:szCs w:val="16"/>
          <w:color w:val="auto"/>
        </w:rPr>
      </w:pPr>
    </w:p>
    <w:p>
      <w:pPr>
        <w:ind w:left="1320" w:right="180" w:hanging="538"/>
        <w:spacing w:after="0" w:line="23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 10 evaluable patients with FGF19 overexpression in their tumors, five had radiographic tumor reduction, including one patient with a confirmed PR. Seven of the 10 patients with FGF19 overexpression remained on the clinical trial as of the data cutoff.</w:t>
      </w:r>
    </w:p>
    <w:p>
      <w:pPr>
        <w:spacing w:after="0" w:line="194" w:lineRule="exact"/>
        <w:rPr>
          <w:rFonts w:ascii="Arial" w:cs="Arial" w:eastAsia="Arial" w:hAnsi="Arial"/>
          <w:sz w:val="18"/>
          <w:szCs w:val="18"/>
          <w:color w:val="auto"/>
        </w:rPr>
      </w:pPr>
    </w:p>
    <w:p>
      <w:pPr>
        <w:ind w:left="1320" w:right="200" w:hanging="538"/>
        <w:spacing w:after="0" w:line="281"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Among all 25 evaluable patients, seven patients remained on treatment as of the data cutoff date, with treatment duration ranging from 0.8 to 7.6 months. Eighteen patients discontinued treatment with BLU-554, including 15 patients due to disease progression, two patients due to treatment-related adverse events and one patient due to the investigator's decision.</w:t>
      </w:r>
    </w:p>
    <w:p>
      <w:pPr>
        <w:spacing w:after="0" w:line="160" w:lineRule="exact"/>
        <w:rPr>
          <w:sz w:val="20"/>
          <w:szCs w:val="20"/>
          <w:color w:val="auto"/>
        </w:rPr>
      </w:pPr>
    </w:p>
    <w:p>
      <w:pPr>
        <w:ind w:left="240" w:firstLine="488"/>
        <w:spacing w:after="0" w:line="272" w:lineRule="auto"/>
        <w:rPr>
          <w:sz w:val="20"/>
          <w:szCs w:val="20"/>
          <w:color w:val="auto"/>
        </w:rPr>
      </w:pPr>
      <w:r>
        <w:rPr>
          <w:rFonts w:ascii="Arial" w:cs="Arial" w:eastAsia="Arial" w:hAnsi="Arial"/>
          <w:sz w:val="16"/>
          <w:szCs w:val="16"/>
          <w:i w:val="1"/>
          <w:iCs w:val="1"/>
          <w:color w:val="auto"/>
        </w:rPr>
        <w:t xml:space="preserve">Clinical Development Plans. </w:t>
      </w:r>
      <w:r>
        <w:rPr>
          <w:rFonts w:ascii="Arial" w:cs="Arial" w:eastAsia="Arial" w:hAnsi="Arial"/>
          <w:sz w:val="16"/>
          <w:szCs w:val="16"/>
          <w:color w:val="auto"/>
        </w:rPr>
        <w:t>We have initiated enrollment of the biomarker-selected expansion cohorts for this clinical trial at the</w:t>
      </w:r>
      <w:r>
        <w:rPr>
          <w:rFonts w:ascii="Arial" w:cs="Arial" w:eastAsia="Arial" w:hAnsi="Arial"/>
          <w:sz w:val="16"/>
          <w:szCs w:val="16"/>
          <w:i w:val="1"/>
          <w:iCs w:val="1"/>
          <w:color w:val="auto"/>
        </w:rPr>
        <w:t xml:space="preserve"> </w:t>
      </w:r>
      <w:r>
        <w:rPr>
          <w:rFonts w:ascii="Arial" w:cs="Arial" w:eastAsia="Arial" w:hAnsi="Arial"/>
          <w:sz w:val="16"/>
          <w:szCs w:val="16"/>
          <w:color w:val="auto"/>
        </w:rPr>
        <w:t>MTD of 600 mg QD. In the expansion stage of our Phase 1 clinical trial of BLU-554 in advanced HCC, patients are prospectively evaluated for tumor expression of FGF19 using an investigational IHC assay. We plan to enroll approximately 45 patients in three subsets with a range of tumors expressing FGF19. Two subsets of patients will be selected to have tumors that overexpress FGF19 (confirmed by the IHC assay), which is indicative of autocrine physiology where FGF19 is produced by the tumor cells in the liver. One of the patient subsets with tumors that overexpress FGF19 will have FGF19 gene amplification (confirmed by fluorescence in situ hybridization). The third subset of patients will be selected to have tumor FGF19 expression of less than 1% by the IHC assay, which is indicative of normal endocrine physiology, where FGF19 is produced by the intestines. Based on the preliminary data, we also plan to accelerate our evaluation of expanded development options for BLU-554 in HCC, including opportunities to move to earlier lines of therapy and possible combinations.</w:t>
      </w:r>
    </w:p>
    <w:p>
      <w:pPr>
        <w:spacing w:after="0" w:line="389" w:lineRule="exact"/>
        <w:rPr>
          <w:sz w:val="20"/>
          <w:szCs w:val="20"/>
          <w:color w:val="auto"/>
        </w:rPr>
      </w:pPr>
    </w:p>
    <w:p>
      <w:pPr>
        <w:ind w:left="240" w:right="140" w:firstLine="488"/>
        <w:spacing w:after="0" w:line="281" w:lineRule="auto"/>
        <w:rPr>
          <w:sz w:val="20"/>
          <w:szCs w:val="20"/>
          <w:color w:val="auto"/>
        </w:rPr>
      </w:pPr>
      <w:r>
        <w:rPr>
          <w:rFonts w:ascii="Arial" w:cs="Arial" w:eastAsia="Arial" w:hAnsi="Arial"/>
          <w:sz w:val="16"/>
          <w:szCs w:val="16"/>
          <w:color w:val="auto"/>
        </w:rPr>
        <w:t>In September 2015, the FDA granted orphan drug designation to BLU-554 for the treatment of HCC. In addition, in March 2015, we entered into an agreement with Ventana Medical Systems, Inc. to develop and commercialize an IHC assay as a companion diagnostic test for use with BLU-554 to identify HCC patients with aberrantly active FGFR4 signaling as indicated by FGF19 protein overexpression.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3157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Preclinical Development Programs</w:t>
      </w:r>
    </w:p>
    <w:p>
      <w:pPr>
        <w:spacing w:after="0" w:line="232" w:lineRule="exact"/>
        <w:rPr>
          <w:sz w:val="20"/>
          <w:szCs w:val="20"/>
          <w:color w:val="auto"/>
        </w:rPr>
      </w:pPr>
    </w:p>
    <w:p>
      <w:pPr>
        <w:ind w:left="240" w:firstLine="488"/>
        <w:spacing w:after="0" w:line="236" w:lineRule="auto"/>
        <w:rPr>
          <w:sz w:val="20"/>
          <w:szCs w:val="20"/>
          <w:color w:val="auto"/>
        </w:rPr>
      </w:pPr>
      <w:r>
        <w:rPr>
          <w:rFonts w:ascii="Arial" w:cs="Arial" w:eastAsia="Arial" w:hAnsi="Arial"/>
          <w:sz w:val="18"/>
          <w:szCs w:val="18"/>
          <w:color w:val="auto"/>
        </w:rPr>
        <w:t>We are also developing BLU-667, a drug candidate that targets RET, a receptor tyrosine kinase that is abnormally activated by mutations or translocations and RET resistant mutants that we predict will arise from treatment with first generation therapies. RET is a driver of disease in non-small cell lung cancer and cancers of the thyroid, and our research suggests that RET may be a driver of disease in subsets of colon and breast cancer. In November 2016, we filed an Investigational New Drug, or IND, application for BLU-667 with the FDA. Subject to the FDA approving our IND application for BLU-667 for the treatment of RET, we expect to initiate a Phase 1 clinical trial for BLU-667 in non-small cell lung cancer, thyroid cancer and other advanced solid tumors in the first half of 2017.</w:t>
      </w:r>
    </w:p>
    <w:p>
      <w:pPr>
        <w:spacing w:after="0" w:line="210" w:lineRule="exact"/>
        <w:rPr>
          <w:sz w:val="20"/>
          <w:szCs w:val="20"/>
          <w:color w:val="auto"/>
        </w:rPr>
      </w:pPr>
    </w:p>
    <w:p>
      <w:pPr>
        <w:ind w:left="240" w:right="260" w:firstLine="488"/>
        <w:spacing w:after="0" w:line="237" w:lineRule="auto"/>
        <w:rPr>
          <w:sz w:val="20"/>
          <w:szCs w:val="20"/>
          <w:color w:val="auto"/>
        </w:rPr>
      </w:pPr>
      <w:r>
        <w:rPr>
          <w:rFonts w:ascii="Arial" w:cs="Arial" w:eastAsia="Arial" w:hAnsi="Arial"/>
          <w:sz w:val="18"/>
          <w:szCs w:val="18"/>
          <w:color w:val="auto"/>
        </w:rPr>
        <w:t>In September 2015, we announced a new discovery program targeting protein kinase cAMP-activated catalytic subunit alpha, or PRKACA, fusions for the treatment of fibrolamellar carcinoma, or FLC, a rare and distinct subtype of liver cancer that typically arises in young adults. Currently, there are no approved therapies for FLC, and surgery is the only available treatment option for some patients, but most patients inevitably progress.</w:t>
      </w:r>
    </w:p>
    <w:p>
      <w:pPr>
        <w:spacing w:after="0" w:line="209" w:lineRule="exact"/>
        <w:rPr>
          <w:sz w:val="20"/>
          <w:szCs w:val="20"/>
          <w:color w:val="auto"/>
        </w:rPr>
      </w:pPr>
    </w:p>
    <w:p>
      <w:pPr>
        <w:ind w:left="240" w:right="40" w:firstLine="488"/>
        <w:spacing w:after="0" w:line="238" w:lineRule="auto"/>
        <w:rPr>
          <w:sz w:val="20"/>
          <w:szCs w:val="20"/>
          <w:color w:val="auto"/>
        </w:rPr>
      </w:pPr>
      <w:r>
        <w:rPr>
          <w:rFonts w:ascii="Arial" w:cs="Arial" w:eastAsia="Arial" w:hAnsi="Arial"/>
          <w:sz w:val="18"/>
          <w:szCs w:val="18"/>
          <w:color w:val="auto"/>
        </w:rPr>
        <w:t>We will continue to leverage our platform to systematically and reproducibly identify kinases that are drivers of diseases in genomically defined patient populations and craft drug candidates that potently and selectively target these kinases. Our goal is to file one IND application annually on average. We anticipate nominating at least one additional discovery program in 2017.</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Collaboration Programs</w:t>
      </w:r>
    </w:p>
    <w:p>
      <w:pPr>
        <w:spacing w:after="0" w:line="234" w:lineRule="exact"/>
        <w:rPr>
          <w:sz w:val="20"/>
          <w:szCs w:val="20"/>
          <w:color w:val="auto"/>
        </w:rPr>
      </w:pPr>
    </w:p>
    <w:p>
      <w:pPr>
        <w:ind w:left="240" w:right="20" w:firstLine="488"/>
        <w:spacing w:after="0" w:line="236" w:lineRule="auto"/>
        <w:rPr>
          <w:sz w:val="20"/>
          <w:szCs w:val="20"/>
          <w:color w:val="auto"/>
        </w:rPr>
      </w:pPr>
      <w:r>
        <w:rPr>
          <w:rFonts w:ascii="Arial" w:cs="Arial" w:eastAsia="Arial" w:hAnsi="Arial"/>
          <w:sz w:val="18"/>
          <w:szCs w:val="18"/>
          <w:color w:val="auto"/>
        </w:rPr>
        <w:t>In addition to our wholly-owned clinical and preclinical programs, we have leveraged our platform to enter into collaboration programs with Alexion Pharma Holding, or Alexion, and F. Hoffmann-La Roche Ltd and Hoffmann-La Roche Inc., which we refer to collectively as Roche. In March 2015, we entered into an agreement with Alexion to discover, develop and commercialize one or more drug candidates targeting an undisclosed rare genetic disease. In March 2016, we entered into an agreement with Roche to discover, develop and commercialize up to five small molecule therapeutics targeting kinases believed to be important in cancer immunotherapy, as single products or possibly in combination with other therapeutics. We will continue to evaluate additional collaborations that could maximize the value for our programs and allow us to leverage the expertise of strategic collaborators. We are also focused on engaging in collaborations to capitalize on our platform outside of our primary strategic focus area of cancer.</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34" w:lineRule="exact"/>
        <w:rPr>
          <w:sz w:val="20"/>
          <w:szCs w:val="20"/>
          <w:color w:val="auto"/>
        </w:rPr>
      </w:pPr>
    </w:p>
    <w:p>
      <w:pPr>
        <w:ind w:left="240" w:right="180" w:firstLine="478"/>
        <w:spacing w:after="0" w:line="238" w:lineRule="auto"/>
        <w:rPr>
          <w:sz w:val="20"/>
          <w:szCs w:val="20"/>
          <w:color w:val="auto"/>
        </w:rPr>
      </w:pPr>
      <w:r>
        <w:rPr>
          <w:rFonts w:ascii="Arial" w:cs="Arial" w:eastAsia="Arial" w:hAnsi="Arial"/>
          <w:sz w:val="18"/>
          <w:szCs w:val="18"/>
          <w:color w:val="auto"/>
        </w:rPr>
        <w:t>As of September 30, 2016, we had cash, cash equivalents and investments of $152.5 million. We expect that our cash, cash equivalents and investments balance will be at least $125 million at December 31, 2016, before giving effect to the sale of $125,000,000 of common stock in this offering.</w:t>
      </w:r>
    </w:p>
    <w:p>
      <w:pPr>
        <w:spacing w:after="0" w:line="3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4" w:lineRule="exact"/>
        <w:rPr>
          <w:sz w:val="20"/>
          <w:szCs w:val="20"/>
          <w:color w:val="auto"/>
        </w:rPr>
      </w:pPr>
    </w:p>
    <w:p>
      <w:pPr>
        <w:ind w:left="240" w:right="100" w:firstLine="488"/>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will remain an emerging growth company until the earlier of (i) December 31, 2020; (ii) the last day of the fiscal year in which we have total annual gross revenues of $1 billion or more;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June 30th of the previous year. For so long as we remain an emerging growth company, we are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662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66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00"/>
        <w:spacing w:after="0" w:line="239" w:lineRule="auto"/>
        <w:rPr>
          <w:sz w:val="20"/>
          <w:szCs w:val="20"/>
          <w:color w:val="auto"/>
        </w:rPr>
      </w:pPr>
      <w:r>
        <w:rPr>
          <w:rFonts w:ascii="Arial" w:cs="Arial" w:eastAsia="Arial" w:hAnsi="Arial"/>
          <w:sz w:val="18"/>
          <w:szCs w:val="18"/>
          <w:color w:val="auto"/>
        </w:rPr>
        <w:t>permitted and intend to rely on exemptions from certain disclosure requirements that are applicable to other public companies that are not emerging growth companies.</w:t>
      </w:r>
    </w:p>
    <w:p>
      <w:pPr>
        <w:spacing w:after="0" w:line="39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Company Information</w:t>
      </w:r>
    </w:p>
    <w:p>
      <w:pPr>
        <w:spacing w:after="0" w:line="234" w:lineRule="exact"/>
        <w:rPr>
          <w:sz w:val="20"/>
          <w:szCs w:val="20"/>
          <w:color w:val="auto"/>
        </w:rPr>
      </w:pPr>
    </w:p>
    <w:p>
      <w:pPr>
        <w:ind w:left="240" w:right="120" w:firstLine="488"/>
        <w:spacing w:after="0" w:line="273" w:lineRule="auto"/>
        <w:rPr>
          <w:sz w:val="20"/>
          <w:szCs w:val="20"/>
          <w:color w:val="auto"/>
        </w:rPr>
      </w:pPr>
      <w:r>
        <w:rPr>
          <w:rFonts w:ascii="Arial" w:cs="Arial" w:eastAsia="Arial" w:hAnsi="Arial"/>
          <w:sz w:val="16"/>
          <w:szCs w:val="16"/>
          <w:color w:val="auto"/>
        </w:rPr>
        <w:t>We were incorporated in Delaware in October 2008. Our mailing address and executive offices are located at 38 Sidney Street, Suite 200, Cambridge, Massachusetts, 02139, and our telephone number is (617) 374-7580. We maintain an Internet website at the following address: www.blueprintmedicines.com. The information on, or that can be accessed through, our website does not constitute part of this prospectus supplement or the accompanying prospectus, and you should not rely on any such information in making the decision whether to purchase our common stock. Our common stock trades on The NASDAQ Global Select Market under the symbol "BPMC".</w:t>
      </w:r>
    </w:p>
    <w:p>
      <w:pPr>
        <w:spacing w:after="0" w:line="183" w:lineRule="exact"/>
        <w:rPr>
          <w:sz w:val="20"/>
          <w:szCs w:val="20"/>
          <w:color w:val="auto"/>
        </w:rPr>
      </w:pPr>
    </w:p>
    <w:p>
      <w:pPr>
        <w:ind w:left="240" w:firstLine="485"/>
        <w:spacing w:after="0" w:line="237" w:lineRule="auto"/>
        <w:rPr>
          <w:sz w:val="20"/>
          <w:szCs w:val="20"/>
          <w:color w:val="auto"/>
        </w:rPr>
      </w:pPr>
      <w:r>
        <w:rPr>
          <w:rFonts w:ascii="Arial" w:cs="Arial" w:eastAsia="Arial" w:hAnsi="Arial"/>
          <w:sz w:val="18"/>
          <w:szCs w:val="18"/>
          <w:color w:val="auto"/>
        </w:rPr>
        <w:t>The trademarks, trade names and services marks appearing in this prospectus supplement and the accompanying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941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694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0940"/>
          </w:cols>
          <w:pgMar w:left="240" w:top="143" w:right="719" w:bottom="1440" w:gutter="0" w:footer="0" w:header="0"/>
        </w:sectPr>
      </w:pPr>
    </w:p>
    <w:p>
      <w:pPr>
        <w:spacing w:after="0" w:line="25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$125,000,000 of shares</w:t>
      </w:r>
    </w:p>
    <w:p>
      <w:pPr>
        <w:spacing w:after="0" w:line="200" w:lineRule="exact"/>
        <w:rPr>
          <w:sz w:val="20"/>
          <w:szCs w:val="20"/>
          <w:color w:val="auto"/>
        </w:rPr>
      </w:pPr>
    </w:p>
    <w:p>
      <w:pPr>
        <w:sectPr>
          <w:pgSz w:w="11900" w:h="16838" w:orient="portrait"/>
          <w:cols w:equalWidth="0" w:num="2">
            <w:col w:w="5160" w:space="720"/>
            <w:col w:w="5060"/>
          </w:cols>
          <w:pgMar w:left="240" w:top="143" w:right="719" w:bottom="1440" w:gutter="0" w:footer="0" w:header="0"/>
          <w:type w:val="continuous"/>
        </w:sectPr>
      </w:pPr>
    </w:p>
    <w:p>
      <w:pPr>
        <w:spacing w:after="0" w:line="35"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Common stock outstanding following the offering</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900"/>
        <w:spacing w:after="0" w:line="273" w:lineRule="auto"/>
        <w:rPr>
          <w:sz w:val="20"/>
          <w:szCs w:val="20"/>
          <w:color w:val="auto"/>
        </w:rPr>
      </w:pPr>
      <w:r>
        <w:rPr>
          <w:rFonts w:ascii="Arial" w:cs="Arial" w:eastAsia="Arial" w:hAnsi="Arial"/>
          <w:sz w:val="16"/>
          <w:szCs w:val="16"/>
          <w:color w:val="auto"/>
        </w:rPr>
        <w:t>31,670,557 shares, which is based on an offering of $125,000,000 of shares of our common stock at an assumed offering price of $28.65 per share, the last reported sale price of our common stock on The NASDAQ Global Select Market on December 5, 2016</w:t>
      </w:r>
    </w:p>
    <w:p>
      <w:pPr>
        <w:spacing w:after="0" w:line="183" w:lineRule="exact"/>
        <w:rPr>
          <w:sz w:val="20"/>
          <w:szCs w:val="20"/>
          <w:color w:val="auto"/>
        </w:rPr>
      </w:pPr>
    </w:p>
    <w:p>
      <w:pPr>
        <w:sectPr>
          <w:pgSz w:w="11900" w:h="16838" w:orient="portrait"/>
          <w:cols w:equalWidth="0" w:num="2">
            <w:col w:w="5160" w:space="720"/>
            <w:col w:w="5060"/>
          </w:cols>
          <w:pgMar w:left="240" w:top="143" w:right="719" w:bottom="1440" w:gutter="0" w:footer="0" w:header="0"/>
          <w:type w:val="continuous"/>
        </w:sectPr>
      </w:pPr>
    </w:p>
    <w:p>
      <w:pPr>
        <w:ind w:left="134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ind w:right="860"/>
        <w:spacing w:after="0" w:line="236" w:lineRule="auto"/>
        <w:rPr>
          <w:sz w:val="20"/>
          <w:szCs w:val="20"/>
          <w:color w:val="auto"/>
        </w:rPr>
      </w:pPr>
      <w:r>
        <w:rPr>
          <w:rFonts w:ascii="Arial" w:cs="Arial" w:eastAsia="Arial" w:hAnsi="Arial"/>
          <w:sz w:val="18"/>
          <w:szCs w:val="18"/>
          <w:color w:val="auto"/>
        </w:rPr>
        <w:t>We have granted the underwriters an option to purchase up to an additional $18,750,000 of shares of common stock. The underwriters can exercise this option at any time within 30 days from the date of this prospectus supplement.</w:t>
      </w:r>
    </w:p>
    <w:p>
      <w:pPr>
        <w:spacing w:after="0" w:line="200" w:lineRule="exact"/>
        <w:rPr>
          <w:sz w:val="20"/>
          <w:szCs w:val="20"/>
          <w:color w:val="auto"/>
        </w:rPr>
      </w:pPr>
    </w:p>
    <w:p>
      <w:pPr>
        <w:sectPr>
          <w:pgSz w:w="11900" w:h="16838" w:orient="portrait"/>
          <w:cols w:equalWidth="0" w:num="2">
            <w:col w:w="5240" w:space="640"/>
            <w:col w:w="5060"/>
          </w:cols>
          <w:pgMar w:left="240" w:top="143" w:right="719" w:bottom="1440" w:gutter="0" w:footer="0" w:header="0"/>
          <w:type w:val="continuous"/>
        </w:sectPr>
      </w:pPr>
    </w:p>
    <w:p>
      <w:pPr>
        <w:spacing w:after="0" w:line="1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 estimate the net proceeds from this offering will</w:t>
      </w:r>
    </w:p>
    <w:p>
      <w:pPr>
        <w:spacing w:after="0" w:line="234" w:lineRule="auto"/>
        <w:rPr>
          <w:sz w:val="20"/>
          <w:szCs w:val="20"/>
          <w:color w:val="auto"/>
        </w:rPr>
      </w:pPr>
      <w:r>
        <w:rPr>
          <w:rFonts w:ascii="Arial" w:cs="Arial" w:eastAsia="Arial" w:hAnsi="Arial"/>
          <w:sz w:val="18"/>
          <w:szCs w:val="18"/>
          <w:color w:val="auto"/>
        </w:rPr>
        <w:t>be approximately $116.9 million (or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$134.5 million if the underwriters exercise their option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to purchase additional shares in full), after deducting</w:t>
      </w:r>
    </w:p>
    <w:p>
      <w:pPr>
        <w:spacing w:after="0" w:line="234" w:lineRule="auto"/>
        <w:rPr>
          <w:sz w:val="20"/>
          <w:szCs w:val="20"/>
          <w:color w:val="auto"/>
        </w:rPr>
      </w:pPr>
      <w:r>
        <w:rPr>
          <w:rFonts w:ascii="Arial" w:cs="Arial" w:eastAsia="Arial" w:hAnsi="Arial"/>
          <w:sz w:val="18"/>
          <w:szCs w:val="18"/>
          <w:color w:val="auto"/>
        </w:rPr>
        <w:t>estimated underwriting discounts and commissions</w:t>
      </w:r>
    </w:p>
    <w:p>
      <w:pPr>
        <w:spacing w:after="0" w:line="235" w:lineRule="auto"/>
        <w:rPr>
          <w:sz w:val="20"/>
          <w:szCs w:val="20"/>
          <w:color w:val="auto"/>
        </w:rPr>
      </w:pPr>
      <w:r>
        <w:rPr>
          <w:rFonts w:ascii="Arial" w:cs="Arial" w:eastAsia="Arial" w:hAnsi="Arial"/>
          <w:sz w:val="18"/>
          <w:szCs w:val="18"/>
          <w:color w:val="auto"/>
        </w:rPr>
        <w:t>and estimated offering expenses payable by us. We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intend to use the net proceeds from this offering for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fund the initiation of additional clinical trials of BLU-</w:t>
      </w:r>
    </w:p>
    <w:p>
      <w:pPr>
        <w:spacing w:after="0" w:line="234" w:lineRule="auto"/>
        <w:rPr>
          <w:sz w:val="20"/>
          <w:szCs w:val="20"/>
          <w:color w:val="auto"/>
        </w:rPr>
      </w:pPr>
      <w:r>
        <w:rPr>
          <w:rFonts w:ascii="Arial" w:cs="Arial" w:eastAsia="Arial" w:hAnsi="Arial"/>
          <w:sz w:val="18"/>
          <w:szCs w:val="18"/>
          <w:color w:val="auto"/>
        </w:rPr>
        <w:t>285 in advanced GIST and complete the expansion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stage of our ongoing Phase 1 clinical trial for BLU-285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 advanced SM; to fund the initiation of additional</w:t>
      </w:r>
    </w:p>
    <w:p>
      <w:pPr>
        <w:spacing w:after="0" w:line="234" w:lineRule="auto"/>
        <w:rPr>
          <w:sz w:val="20"/>
          <w:szCs w:val="20"/>
          <w:color w:val="auto"/>
        </w:rPr>
      </w:pPr>
      <w:r>
        <w:rPr>
          <w:rFonts w:ascii="Arial" w:cs="Arial" w:eastAsia="Arial" w:hAnsi="Arial"/>
          <w:sz w:val="18"/>
          <w:szCs w:val="18"/>
          <w:color w:val="auto"/>
        </w:rPr>
        <w:t>clinical trials of BLU-554 in advanced HCC; to</w:t>
      </w:r>
    </w:p>
    <w:p>
      <w:pPr>
        <w:spacing w:after="0" w:line="235" w:lineRule="auto"/>
        <w:rPr>
          <w:sz w:val="20"/>
          <w:szCs w:val="20"/>
          <w:color w:val="auto"/>
        </w:rPr>
      </w:pPr>
      <w:r>
        <w:rPr>
          <w:rFonts w:ascii="Arial" w:cs="Arial" w:eastAsia="Arial" w:hAnsi="Arial"/>
          <w:sz w:val="18"/>
          <w:szCs w:val="18"/>
          <w:color w:val="auto"/>
        </w:rPr>
        <w:t>partially fund the clinical development of BLU-667 in</w:t>
      </w:r>
    </w:p>
    <w:p>
      <w:pPr>
        <w:spacing w:after="0" w:line="235" w:lineRule="auto"/>
        <w:rPr>
          <w:sz w:val="20"/>
          <w:szCs w:val="20"/>
          <w:color w:val="auto"/>
        </w:rPr>
      </w:pPr>
      <w:r>
        <w:rPr>
          <w:rFonts w:ascii="Arial" w:cs="Arial" w:eastAsia="Arial" w:hAnsi="Arial"/>
          <w:sz w:val="18"/>
          <w:szCs w:val="18"/>
          <w:color w:val="auto"/>
        </w:rPr>
        <w:t>RET-driven cancers; to fund new and ongoing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activities; and the balance,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if any, to fund working capital, capital expenditures</w:t>
      </w:r>
    </w:p>
    <w:p>
      <w:pPr>
        <w:spacing w:after="0" w:line="234" w:lineRule="auto"/>
        <w:rPr>
          <w:sz w:val="20"/>
          <w:szCs w:val="20"/>
          <w:color w:val="auto"/>
        </w:rPr>
      </w:pPr>
      <w:r>
        <w:rPr>
          <w:rFonts w:ascii="Arial" w:cs="Arial" w:eastAsia="Arial" w:hAnsi="Arial"/>
          <w:sz w:val="18"/>
          <w:szCs w:val="18"/>
          <w:color w:val="auto"/>
        </w:rPr>
        <w:t>and other general corporate purposes. See "Use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Proceeds" for additional information.</w:t>
      </w:r>
    </w:p>
    <w:p>
      <w:pPr>
        <w:spacing w:after="0" w:line="200" w:lineRule="exact"/>
        <w:rPr>
          <w:sz w:val="20"/>
          <w:szCs w:val="20"/>
          <w:color w:val="auto"/>
        </w:rPr>
      </w:pPr>
    </w:p>
    <w:p>
      <w:pPr>
        <w:sectPr>
          <w:pgSz w:w="11900" w:h="16838" w:orient="portrait"/>
          <w:cols w:equalWidth="0" w:num="2">
            <w:col w:w="5160" w:space="720"/>
            <w:col w:w="5060"/>
          </w:cols>
          <w:pgMar w:left="240" w:top="143" w:right="719" w:bottom="1440" w:gutter="0" w:footer="0" w:header="0"/>
          <w:type w:val="continuous"/>
        </w:sectPr>
      </w:pPr>
    </w:p>
    <w:p>
      <w:pPr>
        <w:spacing w:after="0" w:line="1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Investing in our common stock involves risks. See</w:t>
      </w:r>
    </w:p>
    <w:p>
      <w:pPr>
        <w:spacing w:after="0" w:line="234" w:lineRule="auto"/>
        <w:rPr>
          <w:sz w:val="20"/>
          <w:szCs w:val="20"/>
          <w:color w:val="auto"/>
        </w:rPr>
      </w:pPr>
      <w:r>
        <w:rPr>
          <w:rFonts w:ascii="Arial" w:cs="Arial" w:eastAsia="Arial" w:hAnsi="Arial"/>
          <w:sz w:val="18"/>
          <w:szCs w:val="18"/>
          <w:color w:val="auto"/>
        </w:rPr>
        <w:t>"Risk Factors" beginning on page S-15 of this</w:t>
      </w:r>
    </w:p>
    <w:p>
      <w:pPr>
        <w:spacing w:after="0" w:line="235" w:lineRule="auto"/>
        <w:rPr>
          <w:sz w:val="20"/>
          <w:szCs w:val="20"/>
          <w:color w:val="auto"/>
        </w:rPr>
      </w:pPr>
      <w:r>
        <w:rPr>
          <w:rFonts w:ascii="Arial" w:cs="Arial" w:eastAsia="Arial" w:hAnsi="Arial"/>
          <w:sz w:val="18"/>
          <w:szCs w:val="18"/>
          <w:color w:val="auto"/>
        </w:rPr>
        <w:t>prospectus supplement and other information</w:t>
      </w:r>
    </w:p>
    <w:p>
      <w:pPr>
        <w:spacing w:after="0" w:line="235" w:lineRule="auto"/>
        <w:rPr>
          <w:sz w:val="20"/>
          <w:szCs w:val="20"/>
          <w:color w:val="auto"/>
        </w:rPr>
      </w:pPr>
      <w:r>
        <w:rPr>
          <w:rFonts w:ascii="Arial" w:cs="Arial" w:eastAsia="Arial" w:hAnsi="Arial"/>
          <w:sz w:val="18"/>
          <w:szCs w:val="18"/>
          <w:color w:val="auto"/>
        </w:rPr>
        <w:t>included or incorporated by reference into this</w:t>
      </w:r>
    </w:p>
    <w:p>
      <w:pPr>
        <w:spacing w:after="0" w:line="235" w:lineRule="auto"/>
        <w:rPr>
          <w:sz w:val="20"/>
          <w:szCs w:val="20"/>
          <w:color w:val="auto"/>
        </w:rPr>
      </w:pPr>
      <w:r>
        <w:rPr>
          <w:rFonts w:ascii="Arial" w:cs="Arial" w:eastAsia="Arial" w:hAnsi="Arial"/>
          <w:sz w:val="18"/>
          <w:szCs w:val="18"/>
          <w:color w:val="auto"/>
        </w:rPr>
        <w:t>prospectus supplement and the accompanying</w:t>
      </w:r>
    </w:p>
    <w:p>
      <w:pPr>
        <w:spacing w:after="0"/>
        <w:rPr>
          <w:sz w:val="20"/>
          <w:szCs w:val="20"/>
          <w:color w:val="auto"/>
        </w:rPr>
      </w:pPr>
      <w:r>
        <w:rPr>
          <w:rFonts w:ascii="Arial" w:cs="Arial" w:eastAsia="Arial" w:hAnsi="Arial"/>
          <w:sz w:val="16"/>
          <w:szCs w:val="16"/>
          <w:color w:val="auto"/>
        </w:rPr>
        <w:t>prospectus for a discussion of the factors you should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carefully consider before deciding to invest in our</w:t>
      </w:r>
    </w:p>
    <w:p>
      <w:pPr>
        <w:spacing w:after="0"/>
        <w:rPr>
          <w:sz w:val="20"/>
          <w:szCs w:val="20"/>
          <w:color w:val="auto"/>
        </w:rPr>
      </w:pPr>
      <w:r>
        <w:rPr>
          <w:rFonts w:ascii="Arial" w:cs="Arial" w:eastAsia="Arial" w:hAnsi="Arial"/>
          <w:sz w:val="18"/>
          <w:szCs w:val="18"/>
          <w:color w:val="auto"/>
        </w:rPr>
        <w:t>securities.</w:t>
      </w:r>
    </w:p>
    <w:p>
      <w:pPr>
        <w:spacing w:after="0" w:line="200" w:lineRule="exact"/>
        <w:rPr>
          <w:sz w:val="20"/>
          <w:szCs w:val="20"/>
          <w:color w:val="auto"/>
        </w:rPr>
      </w:pPr>
    </w:p>
    <w:p>
      <w:pPr>
        <w:sectPr>
          <w:pgSz w:w="11900" w:h="16838" w:orient="portrait"/>
          <w:cols w:equalWidth="0" w:num="2">
            <w:col w:w="5160" w:space="720"/>
            <w:col w:w="5060"/>
          </w:cols>
          <w:pgMar w:left="240" w:top="143" w:right="719" w:bottom="1440" w:gutter="0" w:footer="0" w:header="0"/>
          <w:type w:val="continuous"/>
        </w:sectPr>
      </w:pPr>
    </w:p>
    <w:p>
      <w:pPr>
        <w:spacing w:after="0" w:line="1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The 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"BPMC"</w:t>
      </w:r>
    </w:p>
    <w:p>
      <w:pPr>
        <w:spacing w:after="0" w:line="200" w:lineRule="exact"/>
        <w:rPr>
          <w:sz w:val="20"/>
          <w:szCs w:val="20"/>
          <w:color w:val="auto"/>
        </w:rPr>
      </w:pPr>
    </w:p>
    <w:p>
      <w:pPr>
        <w:sectPr>
          <w:pgSz w:w="11900" w:h="16838" w:orient="portrait"/>
          <w:cols w:equalWidth="0" w:num="2">
            <w:col w:w="5160" w:space="720"/>
            <w:col w:w="5060"/>
          </w:cols>
          <w:pgMar w:left="240" w:top="143" w:right="719" w:bottom="1440" w:gutter="0" w:footer="0" w:header="0"/>
          <w:type w:val="continuous"/>
        </w:sectPr>
      </w:pPr>
    </w:p>
    <w:p>
      <w:pPr>
        <w:spacing w:after="0" w:line="35" w:lineRule="exact"/>
        <w:rPr>
          <w:sz w:val="20"/>
          <w:szCs w:val="20"/>
          <w:color w:val="auto"/>
        </w:rPr>
      </w:pPr>
    </w:p>
    <w:p>
      <w:pPr>
        <w:ind w:left="240" w:firstLine="485"/>
        <w:spacing w:after="0" w:line="238" w:lineRule="auto"/>
        <w:rPr>
          <w:sz w:val="20"/>
          <w:szCs w:val="20"/>
          <w:color w:val="auto"/>
        </w:rPr>
      </w:pPr>
      <w:r>
        <w:rPr>
          <w:rFonts w:ascii="Arial" w:cs="Arial" w:eastAsia="Arial" w:hAnsi="Arial"/>
          <w:sz w:val="18"/>
          <w:szCs w:val="18"/>
          <w:color w:val="auto"/>
        </w:rPr>
        <w:t>The number of shares of our common stock to be outstanding after the offering is based on 27,307,556 shares of common stock outstanding as of September 30, 2016, and assumes the sale of $125,000,000 of shares of common stock at an assumed offering price of $28.65 per share, the last reported sale price of our common stock on The NASDAQ Global Select Market 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43" w:right="71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928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2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620"/>
        <w:spacing w:after="0" w:line="239" w:lineRule="auto"/>
        <w:rPr>
          <w:sz w:val="20"/>
          <w:szCs w:val="20"/>
          <w:color w:val="auto"/>
        </w:rPr>
      </w:pPr>
      <w:r>
        <w:rPr>
          <w:rFonts w:ascii="Arial" w:cs="Arial" w:eastAsia="Arial" w:hAnsi="Arial"/>
          <w:sz w:val="18"/>
          <w:szCs w:val="18"/>
          <w:color w:val="auto"/>
        </w:rPr>
        <w:t>December 5, 2016, including 13,633 shares that are subject to repurchase by us and are not considered outstanding for accounting purposes until vested, and excludes:</w:t>
      </w:r>
    </w:p>
    <w:p>
      <w:pPr>
        <w:spacing w:after="0" w:line="223" w:lineRule="exact"/>
        <w:rPr>
          <w:sz w:val="20"/>
          <w:szCs w:val="20"/>
          <w:color w:val="auto"/>
        </w:rPr>
      </w:pPr>
    </w:p>
    <w:p>
      <w:pPr>
        <w:ind w:left="1320" w:right="200" w:hanging="538"/>
        <w:spacing w:after="0" w:line="23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2,457,260 shares of common stock issuable upon the exercise of stock options outstanding as of September 30, 2016, at a weighted average exercise price of $9.52 per share;</w:t>
      </w:r>
    </w:p>
    <w:p>
      <w:pPr>
        <w:spacing w:after="0" w:line="195" w:lineRule="exact"/>
        <w:rPr>
          <w:rFonts w:ascii="Arial" w:cs="Arial" w:eastAsia="Arial" w:hAnsi="Arial"/>
          <w:sz w:val="18"/>
          <w:szCs w:val="18"/>
          <w:color w:val="auto"/>
        </w:rPr>
      </w:pPr>
    </w:p>
    <w:p>
      <w:pPr>
        <w:ind w:left="1320" w:hanging="538"/>
        <w:spacing w:after="0" w:line="23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1,773,024 shares of common stock reserved for future issuance under our 2015 Stock Option and Incentive Plan, or the 2015 Plan, as of September 30, 2016, plus any future increases in the number of shares of common stock reserved for issuance under the 2015 Plan pursuant to the evergreen provision of the 2015 Plan; and</w:t>
      </w:r>
    </w:p>
    <w:p>
      <w:pPr>
        <w:spacing w:after="0" w:line="194" w:lineRule="exact"/>
        <w:rPr>
          <w:rFonts w:ascii="Arial" w:cs="Arial" w:eastAsia="Arial" w:hAnsi="Arial"/>
          <w:sz w:val="18"/>
          <w:szCs w:val="18"/>
          <w:color w:val="auto"/>
        </w:rPr>
      </w:pPr>
    </w:p>
    <w:p>
      <w:pPr>
        <w:ind w:left="1320" w:right="740" w:hanging="538"/>
        <w:spacing w:after="0" w:line="23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503,881 shares of common stock reserved for future issuance under our 2015 Employee Stock Purchase Plan as of September 30, 2016.</w:t>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Except as otherwise indicated, all information in this prospectus supplement assumes:</w:t>
      </w:r>
    </w:p>
    <w:p>
      <w:pPr>
        <w:spacing w:after="0" w:line="225" w:lineRule="exact"/>
        <w:rPr>
          <w:sz w:val="20"/>
          <w:szCs w:val="20"/>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in this offering; and</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stock options after September 30,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43" w:right="5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20" w:firstLine="488"/>
        <w:spacing w:after="0" w:line="272" w:lineRule="auto"/>
        <w:rPr>
          <w:sz w:val="20"/>
          <w:szCs w:val="20"/>
          <w:color w:val="auto"/>
        </w:rPr>
      </w:pPr>
      <w:r>
        <w:rPr>
          <w:rFonts w:ascii="Arial" w:cs="Arial" w:eastAsia="Arial" w:hAnsi="Arial"/>
          <w:sz w:val="16"/>
          <w:szCs w:val="16"/>
          <w:i w:val="1"/>
          <w:iCs w:val="1"/>
          <w:color w:val="auto"/>
        </w:rPr>
        <w:t>Investing in our common stock involves significant risks. In addition to the other information contained in this prospectus supplement, the accompanying prospectus and in the documents that we have incorporated by reference, you should carefully consider the risks discussed below and under the heading "Risk Factors" in our Annual Report on Form 10-K for the fiscal year ended December 31, 2015, filed with the SEC on March 11, 2016, and in our Quarterly Report on Form 10-Q for the quarter ended September 30, 2016, filed with the SEC on November 10, 2016, as updated by our subsequent filings under the Exchange Act, before making a decision about investing in our common stock. Such risks and uncertainties and those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1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The price of our common stock historically has been and may in the future be volatile and fluctuate substantially, which may affect the price at which you could sell the common stock.</w:t>
      </w:r>
    </w:p>
    <w:p>
      <w:pPr>
        <w:spacing w:after="0" w:line="189"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Our stock price has been and in the future may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$38.33 and a low price of $13.04 per share for the period beginning on April 30, 2015, our first day of trading on The NASDAQ Global Select Market, through December 5, 2016. As a result of this volatility, our stockholders could incur substantial losses. In addition, the market price for our common stock may be influenced by many factors, including:</w:t>
      </w:r>
    </w:p>
    <w:p>
      <w:pPr>
        <w:spacing w:after="0" w:line="210"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drug candidates or drugs;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2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firstLine="485"/>
        <w:spacing w:after="0" w:line="273"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as well as our existing cash, cash equivalents and investments, and may not use them effectively, which could affect our results of operations and cause our stock price to decline.</w:t>
      </w:r>
    </w:p>
    <w:p>
      <w:pPr>
        <w:spacing w:after="0" w:line="189"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We will have considerable discretion in the application of the net proceeds of this offering, including for any of the purposes described in the section entitled "Use of Proceeds", as well as our existing cash, cash equivalents and investments, and you will be relying on the judgment of our management regarding such application. You will not have the opportunity, as part of your investment decision, to assess whether the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89"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holdings of our executive officers, directors and stockholders who own more than 5% of our outstanding common stock, together with their affiliates and related persons, represent beneficial ownership, in the aggregate, of approximately 50% of our common stock, based on the number of shares of our common stock outstanding as September 30, 2016. Upon the closing of this offering, the holdings of our executive officers, directors and stockholders who owned more than 5% of our outstanding common stock before this offering, together with their affiliates and related persons, will represent beneficial ownership, in the aggregate, of approximately 45% of our common stock (approximately 44% if the underwriters exercise in full their option to purchase additional shares), based on the number of shares of our common stock outstanding as September 30, 2016. As a result, these stockholders, if they choose to act together, will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this concentration of ownership might adversely affect the market price of our common stock by:</w:t>
      </w:r>
    </w:p>
    <w:p>
      <w:pPr>
        <w:spacing w:after="0" w:line="212"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98" w:lineRule="exact"/>
        <w:rPr>
          <w:rFonts w:ascii="Arial" w:cs="Arial" w:eastAsia="Arial" w:hAnsi="Arial"/>
          <w:sz w:val="18"/>
          <w:szCs w:val="18"/>
          <w:color w:val="auto"/>
        </w:rPr>
      </w:pPr>
    </w:p>
    <w:p>
      <w:pPr>
        <w:ind w:left="5520" w:right="1960" w:hanging="4972"/>
        <w:spacing w:after="0" w:line="48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 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25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Investors purchasing shares of common stock in this offering will pay a price per share that substantially exceeds the as adjusted book value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per share of our tangible assets as of September 30, 2016 after subtracting our liabilities. As a result, investors purchasing shares of common</w:t>
      </w:r>
    </w:p>
    <w:p>
      <w:pPr>
        <w:spacing w:after="0" w:line="234" w:lineRule="auto"/>
        <w:rPr>
          <w:sz w:val="20"/>
          <w:szCs w:val="20"/>
          <w:color w:val="auto"/>
        </w:rPr>
      </w:pPr>
      <w:r>
        <w:rPr>
          <w:rFonts w:ascii="Arial" w:cs="Arial" w:eastAsia="Arial" w:hAnsi="Arial"/>
          <w:sz w:val="18"/>
          <w:szCs w:val="18"/>
          <w:color w:val="auto"/>
        </w:rPr>
        <w:t>stock in this offering will incur immediate dilution of $21.88 per share, based on the difference between the assumed public offering price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$28.65 per share, which was the last reported sale price of our common stock on The NASDAQ Global Select Market on December 5, 2016,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as adjusted net tangible book value per share of our outstanding common stock as of September 30, 2016.</w:t>
      </w:r>
    </w:p>
    <w:p>
      <w:pPr>
        <w:spacing w:after="0" w:line="212" w:lineRule="exact"/>
        <w:rPr>
          <w:sz w:val="20"/>
          <w:szCs w:val="20"/>
          <w:color w:val="auto"/>
        </w:rPr>
      </w:pPr>
    </w:p>
    <w:p>
      <w:pPr>
        <w:ind w:right="40" w:firstLine="485"/>
        <w:spacing w:after="0" w:line="236" w:lineRule="auto"/>
        <w:rPr>
          <w:sz w:val="20"/>
          <w:szCs w:val="20"/>
          <w:color w:val="auto"/>
        </w:rPr>
      </w:pPr>
      <w:r>
        <w:rPr>
          <w:rFonts w:ascii="Arial" w:cs="Arial" w:eastAsia="Arial" w:hAnsi="Arial"/>
          <w:sz w:val="18"/>
          <w:szCs w:val="18"/>
          <w:color w:val="auto"/>
        </w:rPr>
        <w:t>This dilution is due to the substantially lower price paid by some of our investors who purchased shares prior to this offering as compared to the price offered to the public in this offering, and the exercise of stock options granted to our employees. In addition, as of September 30, 2016, options to purchase 2,457,260 shares of our common stock at a weighted average exercise price of $9.52 per share were outstanding. The exercise of any of these options would result in additional dilution. As a result of the dilution to investors purchasing shares in this offering, investors may receive significantly less than the purchase price paid in this offering, if anything, in the event of our liquidation. Further, because we will need to raise additional capital to fund our future activities, we may in the future sell substantial amounts of common stock or securities convertible into or exchangeable for common stock.</w:t>
      </w:r>
    </w:p>
    <w:p>
      <w:pPr>
        <w:spacing w:after="0" w:line="209" w:lineRule="exact"/>
        <w:rPr>
          <w:sz w:val="20"/>
          <w:szCs w:val="20"/>
          <w:color w:val="auto"/>
        </w:rPr>
      </w:pPr>
    </w:p>
    <w:p>
      <w:pPr>
        <w:jc w:val="both"/>
        <w:ind w:right="320" w:firstLine="485"/>
        <w:spacing w:after="0" w:line="238" w:lineRule="auto"/>
        <w:rPr>
          <w:sz w:val="20"/>
          <w:szCs w:val="20"/>
          <w:color w:val="auto"/>
        </w:rPr>
      </w:pPr>
      <w:r>
        <w:rPr>
          <w:rFonts w:ascii="Arial" w:cs="Arial" w:eastAsia="Arial" w:hAnsi="Arial"/>
          <w:sz w:val="18"/>
          <w:szCs w:val="18"/>
          <w:color w:val="auto"/>
        </w:rPr>
        <w:t>These future issuances of common stock or common stock-related securities, together with the exercise of outstanding options and any additional shares issued in connection with acquisitions, if any, may result in further dilution. For a further description of the dilution that you will experience immediately after this offering, see "Dilution".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32" w:lineRule="exact"/>
        <w:rPr>
          <w:sz w:val="20"/>
          <w:szCs w:val="20"/>
          <w:color w:val="auto"/>
        </w:rPr>
      </w:pPr>
    </w:p>
    <w:p>
      <w:pPr>
        <w:ind w:right="200" w:firstLine="488"/>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208"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In addition, the sale of substantial amounts of our common stock could adversely impact its price. As of September 30, 2016, 29,764,816 shares of our common stock were outstanding, including 13,633 shares that are subject to repurchase by us and are not considered outstanding for accounting purposes until vested and options to purchase 2,457,260 shares of our common stock, of which 779,807 were exercisable as of that date. The sale or the availability for sale of a large number of shares of our common stock in the public market could cause the price of our common stock to decline.</w:t>
      </w:r>
    </w:p>
    <w:p>
      <w:pPr>
        <w:spacing w:after="0" w:line="211" w:lineRule="exact"/>
        <w:rPr>
          <w:sz w:val="20"/>
          <w:szCs w:val="20"/>
          <w:color w:val="auto"/>
        </w:rPr>
      </w:pPr>
    </w:p>
    <w:p>
      <w:pPr>
        <w:ind w:right="120" w:firstLine="488"/>
        <w:spacing w:after="0" w:line="271" w:lineRule="auto"/>
        <w:rPr>
          <w:sz w:val="20"/>
          <w:szCs w:val="20"/>
          <w:color w:val="auto"/>
        </w:rPr>
      </w:pPr>
      <w:r>
        <w:rPr>
          <w:rFonts w:ascii="Arial" w:cs="Arial" w:eastAsia="Arial" w:hAnsi="Arial"/>
          <w:sz w:val="16"/>
          <w:szCs w:val="16"/>
          <w:color w:val="auto"/>
        </w:rPr>
        <w:t>We, along with our directors and executive officers, have agreed that for a period of 90 days after the date of this prospectus supplement, subject to specified exceptions, we or they will not offer, sell, contract to sell, pledge, grant any option to purchase, make any short sale or otherwise dispose of any shares of our common stock or securities convertible into or exchangeable or exercisable for any shares of our common stock. Holders of 5,453,753 shares of our common stock have agreed to such restrictions for a period of 60 days after the date of this prospectus supplement. These lock-up periods affect approximately 6,140,383 shares of our common stock as of September 30, 2016. Sales of stock by any of our directors, executive officers or principal stockholders could have a material adverse effect on the trading price of our common stock.</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firstLine="488"/>
        <w:spacing w:after="0" w:line="237" w:lineRule="auto"/>
        <w:rPr>
          <w:sz w:val="20"/>
          <w:szCs w:val="20"/>
          <w:color w:val="auto"/>
        </w:rPr>
      </w:pPr>
      <w:r>
        <w:rPr>
          <w:rFonts w:ascii="Arial" w:cs="Arial" w:eastAsia="Arial" w:hAnsi="Arial"/>
          <w:sz w:val="18"/>
          <w:szCs w:val="18"/>
          <w:color w:val="auto"/>
        </w:rPr>
        <w:t>Certain holders of shares of our common stock are entitled to rights with respect to the registration of their shares under the Securities Act. See "Description of Capital Stock — Registration Rights".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The market price of our common stock may be adversely affected by market conditions affecting the stock markets in general, including price and trading fluctuations on The NASDAQ Global Select Market.</w:t>
      </w:r>
    </w:p>
    <w:p>
      <w:pPr>
        <w:spacing w:after="0" w:line="189" w:lineRule="exact"/>
        <w:rPr>
          <w:sz w:val="20"/>
          <w:szCs w:val="20"/>
          <w:color w:val="auto"/>
        </w:rPr>
      </w:pPr>
    </w:p>
    <w:p>
      <w:pPr>
        <w:ind w:right="20" w:firstLine="488"/>
        <w:spacing w:after="0" w:line="237" w:lineRule="auto"/>
        <w:rPr>
          <w:sz w:val="20"/>
          <w:szCs w:val="20"/>
          <w:color w:val="auto"/>
        </w:rPr>
      </w:pPr>
      <w:r>
        <w:rPr>
          <w:rFonts w:ascii="Arial" w:cs="Arial" w:eastAsia="Arial" w:hAnsi="Arial"/>
          <w:sz w:val="18"/>
          <w:szCs w:val="18"/>
          <w:color w:val="auto"/>
        </w:rPr>
        <w:t>Market conditions may result in volatility in the level of, and fluctuations in, market prices of stocks generally and, in turn, our common stock and sales of substantial amounts of our common stock in the market, in each case being unrelated or disproportionate to changes in our operating performance. The overall weakness in the economy has recently contributed to the extreme volatility of the markets which may have an effect on the market price of our common stock.</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520" w:firstLine="488"/>
        <w:spacing w:after="0" w:line="238" w:lineRule="auto"/>
        <w:rPr>
          <w:sz w:val="20"/>
          <w:szCs w:val="20"/>
          <w:color w:val="auto"/>
        </w:rPr>
      </w:pPr>
      <w:r>
        <w:rPr>
          <w:rFonts w:ascii="Arial" w:cs="Arial" w:eastAsia="Arial" w:hAnsi="Arial"/>
          <w:sz w:val="18"/>
          <w:szCs w:val="18"/>
          <w:color w:val="auto"/>
        </w:rPr>
        <w:t>We estimate that the net proceeds we will receive from this offering will be approximately $116.9 million, after deducting estimated underwriting discounts and commissions and estimated offering expenses payable by us, or approximately $134.5 million if the underwriters exercise in full their option to purchase $18,750,000 of additional shares of common stock.</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2016, we had cash, cash equivalents and investments of $152.5 million.</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intend to use the net proceeds from this offering, plus, if needed, existing cash, cash equivalents and investments, as follows:</w:t>
      </w:r>
    </w:p>
    <w:p>
      <w:pPr>
        <w:spacing w:after="0" w:line="212" w:lineRule="exact"/>
        <w:rPr>
          <w:sz w:val="20"/>
          <w:szCs w:val="20"/>
          <w:color w:val="auto"/>
        </w:rPr>
      </w:pPr>
    </w:p>
    <w:p>
      <w:pPr>
        <w:ind w:left="1080" w:right="620" w:hanging="532"/>
        <w:spacing w:after="0" w:line="23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$30.0 million to $35.0 million to fund the initiation of additional clinical trials of BLU-285 in advanced GIST and complete the expansion stage of our ongoing Phase 1 clinical trial for BLU-285 in advanced SM, including clinical research outsourcing, drug manufacturing, companion diagnostic development and internal personnel costs;</w:t>
      </w:r>
    </w:p>
    <w:p>
      <w:pPr>
        <w:spacing w:after="0" w:line="208" w:lineRule="exact"/>
        <w:rPr>
          <w:rFonts w:ascii="Arial" w:cs="Arial" w:eastAsia="Arial" w:hAnsi="Arial"/>
          <w:sz w:val="18"/>
          <w:szCs w:val="18"/>
          <w:color w:val="auto"/>
        </w:rPr>
      </w:pPr>
    </w:p>
    <w:p>
      <w:pPr>
        <w:ind w:left="1080" w:right="200" w:hanging="532"/>
        <w:spacing w:after="0" w:line="23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$15.0 million to $20.0 million to fund the initiation of additional clinical trials of BLU-554 in advanced HCC, including clinical research outsourcing, drug manufacturing, companion diagnostic development and internal personnel costs;</w:t>
      </w:r>
    </w:p>
    <w:p>
      <w:pPr>
        <w:spacing w:after="0" w:line="195" w:lineRule="exact"/>
        <w:rPr>
          <w:rFonts w:ascii="Arial" w:cs="Arial" w:eastAsia="Arial" w:hAnsi="Arial"/>
          <w:sz w:val="18"/>
          <w:szCs w:val="18"/>
          <w:color w:val="auto"/>
        </w:rPr>
      </w:pPr>
    </w:p>
    <w:p>
      <w:pPr>
        <w:ind w:left="1080" w:right="240" w:hanging="532"/>
        <w:spacing w:after="0" w:line="23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$15.0 million to $20.0 million to partially fund the clinical development of BLU-667 in RET-driven cancers, including clinical research outsourcing, drug manufacturing, companion diagnostic development and internal personnel costs;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$25.0 million to $30.0 million to fund new and ongoing research and development activities;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balance, if any, to fund working capital, capital expenditures and other general corporate purposes.</w:t>
      </w:r>
    </w:p>
    <w:p>
      <w:pPr>
        <w:spacing w:after="0" w:line="212"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Based on our current plans, we believe our cash, cash equivalents and investments, together with the net proceeds to us from this offering, but excluding any potential option fees and milestone payments under our existing collaborations, will be sufficient to enable us to fund our operating expenses and capital expenditure requirements into the fourth quarter of 2018.</w:t>
      </w:r>
    </w:p>
    <w:p>
      <w:pPr>
        <w:spacing w:after="0" w:line="208"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expected use of the net proceeds from this offering represents our intentions based upon our current plans and business conditions. As of the date of this prospectus supplement, we cannot predict with certainty all of the particular uses for the net proceeds to be received upon the completion of this offering, the amounts that we will actually spend on the uses set forth above or the timing of such expenditures. The amounts and timing of our actual expenditures may vary significantly depending on numerous factors, including the progress of our development efforts, the status of and results from non-clinical studies and ongoing clinical trials or any clinical trials we may commence in the future, the scope and results of our regulatory activities, and the nature and scope of our launch preparation activities, as well as any collaborations that we may enter into with third parties for our drug candidates and any unforeseen cash needs. As a result, our management will retain broad discretion over the allocation of the net proceeds from this offering.</w:t>
      </w:r>
    </w:p>
    <w:p>
      <w:pPr>
        <w:spacing w:after="0" w:line="208" w:lineRule="exact"/>
        <w:rPr>
          <w:sz w:val="20"/>
          <w:szCs w:val="20"/>
          <w:color w:val="auto"/>
        </w:rPr>
      </w:pPr>
    </w:p>
    <w:p>
      <w:pPr>
        <w:ind w:right="80" w:firstLine="488"/>
        <w:spacing w:after="0" w:line="239"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price per share of our common stock in this offering and the as adjusted net tangible book value per share of our common stock immediately after this offering.</w:t>
      </w:r>
    </w:p>
    <w:p>
      <w:pPr>
        <w:spacing w:after="0" w:line="208" w:lineRule="exact"/>
        <w:rPr>
          <w:sz w:val="20"/>
          <w:szCs w:val="20"/>
          <w:color w:val="auto"/>
        </w:rPr>
      </w:pPr>
    </w:p>
    <w:p>
      <w:pPr>
        <w:ind w:right="20" w:firstLine="478"/>
        <w:spacing w:after="0" w:line="236" w:lineRule="auto"/>
        <w:rPr>
          <w:sz w:val="20"/>
          <w:szCs w:val="20"/>
          <w:color w:val="auto"/>
        </w:rPr>
      </w:pPr>
      <w:r>
        <w:rPr>
          <w:rFonts w:ascii="Arial" w:cs="Arial" w:eastAsia="Arial" w:hAnsi="Arial"/>
          <w:sz w:val="18"/>
          <w:szCs w:val="18"/>
          <w:color w:val="auto"/>
        </w:rPr>
        <w:t>As of September 30, 2016, we had net tangible book value of approximately $97.7 million, or $3.58 per share of our common stock, based upon 27,307,556 shares of our common stock outstanding as of that date (which includes 13,633 shares of unvested restricted stock subject to repurchase by us and are not considered outstanding for accounting purposes until vested).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210" w:lineRule="exact"/>
        <w:rPr>
          <w:sz w:val="20"/>
          <w:szCs w:val="20"/>
          <w:color w:val="auto"/>
        </w:rPr>
      </w:pPr>
    </w:p>
    <w:p>
      <w:pPr>
        <w:ind w:right="60" w:firstLine="478"/>
        <w:spacing w:after="0" w:line="236" w:lineRule="auto"/>
        <w:rPr>
          <w:sz w:val="20"/>
          <w:szCs w:val="20"/>
          <w:color w:val="auto"/>
        </w:rPr>
      </w:pPr>
      <w:r>
        <w:rPr>
          <w:rFonts w:ascii="Arial" w:cs="Arial" w:eastAsia="Arial" w:hAnsi="Arial"/>
          <w:sz w:val="18"/>
          <w:szCs w:val="18"/>
          <w:color w:val="auto"/>
        </w:rPr>
        <w:t>After giving effect to the sale of $125,000,000 of shares of common stock in this offering at the assumed public offering price of $28.65 per share, which was the last reported sale price of our common stock on The NASDAQ Global Select Market on December 5, 2016, and after deducting estimated underwriting discounts and commissions and estimated offering expenses payable by us, our as adjusted net tangible book value as of September 30, 2016 would have been approximately $214.6 million, or approximately $6.77 per share of common stock. This represents an immediate increase in as adjusted net tangible book value of $3.19 per share to our existing stockholders and an immediate dilution of $21.88 per share to investors participating in this offering at the assumed public offering price, which was the last reported sale price of our common stock on The NASDAQ Global Select Market on December 5, 2016.</w:t>
      </w:r>
    </w:p>
    <w:p>
      <w:pPr>
        <w:spacing w:after="0" w:line="209"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Dilution per share to new investors is determined by subtracting net tangible book value per share after this offering from the assumed public offering price per share paid by new investors. The following table illustrates this per share dilution (assuming the underwriters do not exercise in full their option to purchase additional shares):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Historical net tangible book value per share as of September 30, 2016</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Increase in net tangible book value per share attributable to new investors</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6720" w:type="dxa"/>
            <w:vAlign w:val="bottom"/>
            <w:gridSpan w:val="2"/>
          </w:tcPr>
          <w:p>
            <w:pPr>
              <w:spacing w:after="0" w:line="196" w:lineRule="exact"/>
              <w:rPr>
                <w:sz w:val="20"/>
                <w:szCs w:val="20"/>
                <w:color w:val="auto"/>
              </w:rPr>
            </w:pPr>
            <w:r>
              <w:rPr>
                <w:rFonts w:ascii="Arial" w:cs="Arial" w:eastAsia="Arial" w:hAnsi="Arial"/>
                <w:sz w:val="18"/>
                <w:szCs w:val="18"/>
                <w:color w:val="auto"/>
              </w:rPr>
              <w:t>As adjusted net tangible book value per share after this offering</w:t>
            </w:r>
          </w:p>
        </w:tc>
        <w:tc>
          <w:tcPr>
            <w:tcW w:w="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6.77</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Dilution per share to new investors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21.88</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Each $1.00 increase (decrease) in the assumed public offering price of $28.65 per share, the last reported sale price of our common stock on The NASDAQ Global Select Market on December 5, 2016, would (decrease) increase the number of shares of common stock to be issued by us in this offering by (147,150) and 157,794, respectively, assuming the aggregate dollar amount of shares offered by us, as set forth on the cover page of this prospectus supplement, remains the same. We may also increase or decrease the aggregate dollar amount of shares we are offering. Each increase (decrease) of $1.0 million of shares offered by us would increase (decrease) the net proceeds of this offering by approximately $940,000, assuming that the assumed public offering price remains the same, and after deducting estimated underwriting discounts and commissions and estimated offering expenses payable by us. The as adjusted information discussed above is illustrative only and will be adjusted based on the actual public offering price and other terms of this offering determined at pricing.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0" w:firstLine="485"/>
        <w:spacing w:after="0" w:line="299" w:lineRule="auto"/>
        <w:rPr>
          <w:sz w:val="20"/>
          <w:szCs w:val="20"/>
          <w:color w:val="auto"/>
        </w:rPr>
      </w:pPr>
      <w:r>
        <w:rPr>
          <w:rFonts w:ascii="Arial" w:cs="Arial" w:eastAsia="Arial" w:hAnsi="Arial"/>
          <w:sz w:val="16"/>
          <w:szCs w:val="16"/>
          <w:color w:val="auto"/>
        </w:rPr>
        <w:t>The foregoing table and discussion is based on 27,307,556 shares of common stock outstanding as of September 30, 2016, including 13,633 shares that are subject to repurchase by us and are not considered outstanding for accounting purposes until vested and excludes:</w:t>
      </w:r>
    </w:p>
    <w:p>
      <w:pPr>
        <w:spacing w:after="0" w:line="163" w:lineRule="exact"/>
        <w:rPr>
          <w:sz w:val="20"/>
          <w:szCs w:val="20"/>
          <w:color w:val="auto"/>
        </w:rPr>
      </w:pPr>
    </w:p>
    <w:p>
      <w:pPr>
        <w:ind w:left="1080" w:hanging="532"/>
        <w:spacing w:after="0" w:line="23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2,457,260 shares of common stock issuable upon the exercise of stock options outstanding as of September 30, 2016, at a weighted average exercise price of $9.52 per share;</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1,773,024 shares of common stock reserved for future issuance under the 2015 Plan as of September 30, 2016; and</w:t>
      </w:r>
    </w:p>
    <w:p>
      <w:pPr>
        <w:spacing w:after="0" w:line="198" w:lineRule="exact"/>
        <w:rPr>
          <w:rFonts w:ascii="Arial" w:cs="Arial" w:eastAsia="Arial" w:hAnsi="Arial"/>
          <w:sz w:val="18"/>
          <w:szCs w:val="18"/>
          <w:color w:val="auto"/>
        </w:rPr>
      </w:pPr>
    </w:p>
    <w:p>
      <w:pPr>
        <w:ind w:left="1080" w:right="100" w:hanging="532"/>
        <w:spacing w:after="0" w:line="23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503,881 shares of common stock reserved for future issuance under our 2015 Employee Stock Purchase Plan as of September 30, 2016.</w:t>
      </w:r>
    </w:p>
    <w:p>
      <w:pPr>
        <w:spacing w:after="0" w:line="209"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If the underwriters exercise in full their option to purchase an assumed $18,750,000 of additional shares of our common stock at the assumed public offering price of $28.65 per share, which was the last reported sale price of our common stock on The NASDAQ Global Select Market on December 5, 2016, the as adjusted net tangible book value after this offering would be $7.18 per share, representing an increase in net tangible book value of $3.60 per share to existing stockholders and immediate dilution in net tangible book value of $21.47 per share to investors purchasing our common stock in this offering at the assumed public offering price of $28.65, which was the last reported sale price of our common stock on The NASDAQ Global Select Market on December 5, 2016.</w:t>
      </w:r>
    </w:p>
    <w:p>
      <w:pPr>
        <w:spacing w:after="0" w:line="210" w:lineRule="exact"/>
        <w:rPr>
          <w:sz w:val="20"/>
          <w:szCs w:val="20"/>
          <w:color w:val="auto"/>
        </w:rPr>
      </w:pPr>
    </w:p>
    <w:p>
      <w:pPr>
        <w:jc w:val="both"/>
        <w:ind w:right="480" w:firstLine="485"/>
        <w:spacing w:after="0" w:line="299" w:lineRule="auto"/>
        <w:rPr>
          <w:sz w:val="20"/>
          <w:szCs w:val="20"/>
          <w:color w:val="auto"/>
        </w:rPr>
      </w:pPr>
      <w:r>
        <w:rPr>
          <w:rFonts w:ascii="Arial" w:cs="Arial" w:eastAsia="Arial" w:hAnsi="Arial"/>
          <w:sz w:val="16"/>
          <w:szCs w:val="16"/>
          <w:color w:val="auto"/>
        </w:rPr>
        <w:t>To the extent that any options are exercised, new options are issued under our equity incentive plans, or we otherwise issue additional shares of common stock in the future (including shares issued in connection with acquisitions), there will be further dilution to new investors.</w:t>
      </w:r>
    </w:p>
    <w:p>
      <w:pPr>
        <w:spacing w:after="0" w:line="163"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w:t>
      </w:r>
    </w:p>
    <w:p>
      <w:pPr>
        <w:spacing w:after="0" w:line="234" w:lineRule="exact"/>
        <w:rPr>
          <w:sz w:val="20"/>
          <w:szCs w:val="20"/>
          <w:color w:val="auto"/>
        </w:rPr>
      </w:pPr>
    </w:p>
    <w:p>
      <w:pPr>
        <w:ind w:right="180" w:firstLine="488"/>
        <w:spacing w:after="0" w:line="238" w:lineRule="auto"/>
        <w:rPr>
          <w:sz w:val="20"/>
          <w:szCs w:val="20"/>
          <w:color w:val="auto"/>
        </w:rPr>
      </w:pPr>
      <w:r>
        <w:rPr>
          <w:rFonts w:ascii="Arial" w:cs="Arial" w:eastAsia="Arial" w:hAnsi="Arial"/>
          <w:sz w:val="18"/>
          <w:szCs w:val="18"/>
          <w:color w:val="auto"/>
        </w:rPr>
        <w:t>Our common stock began trading on The NASDAQ Global Select Market under the symbol "BPMC" on April 30, 2015. Prior to that time, there was no public market for our common stock. The following table sets forth the high and low sale prices per share of our common stock, as reported on The NASDAQ Global Select Market, for the periods indicated:</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color w:val="auto"/>
              </w:rPr>
              <w:t>Sales prices</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High</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Low</w:t>
            </w: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 2015</w:t>
            </w: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14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 (from April 30, 2015)</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37.17</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ind w:left="120"/>
              <w:spacing w:after="0" w:line="202" w:lineRule="exact"/>
              <w:rPr>
                <w:sz w:val="20"/>
                <w:szCs w:val="20"/>
                <w:color w:val="auto"/>
              </w:rPr>
            </w:pPr>
            <w:r>
              <w:rPr>
                <w:rFonts w:ascii="Arial" w:cs="Arial" w:eastAsia="Arial" w:hAnsi="Arial"/>
                <w:sz w:val="18"/>
                <w:szCs w:val="18"/>
                <w:color w:val="auto"/>
                <w:w w:val="93"/>
              </w:rPr>
              <w:t>18.00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33.10</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3"/>
              </w:rPr>
              <w:t>19.39</w:t>
            </w:r>
          </w:p>
        </w:tc>
        <w:tc>
          <w:tcPr>
            <w:tcW w:w="160" w:type="dxa"/>
            <w:vAlign w:val="bottom"/>
            <w:shd w:val="clear" w:color="auto" w:fill="CCEEFF"/>
          </w:tcPr>
          <w:p>
            <w:pPr>
              <w:spacing w:after="0"/>
              <w:rPr>
                <w:sz w:val="17"/>
                <w:szCs w:val="17"/>
                <w:color w:val="auto"/>
              </w:rPr>
            </w:pPr>
          </w:p>
        </w:tc>
      </w:tr>
      <w:tr>
        <w:trPr>
          <w:trHeight w:val="203"/>
        </w:trPr>
        <w:tc>
          <w:tcPr>
            <w:tcW w:w="6140" w:type="dxa"/>
            <w:vAlign w:val="bottom"/>
            <w:gridSpan w:val="2"/>
          </w:tcPr>
          <w:p>
            <w:pPr>
              <w:spacing w:after="0" w:line="202" w:lineRule="exact"/>
              <w:rPr>
                <w:sz w:val="20"/>
                <w:szCs w:val="20"/>
                <w:color w:val="auto"/>
              </w:rPr>
            </w:pPr>
            <w:r>
              <w:rPr>
                <w:rFonts w:ascii="Arial" w:cs="Arial" w:eastAsia="Arial" w:hAnsi="Arial"/>
                <w:sz w:val="18"/>
                <w:szCs w:val="18"/>
                <w:color w:val="auto"/>
              </w:rPr>
              <w:t>Fourth quarter</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27.00</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ind w:left="120"/>
              <w:spacing w:after="0" w:line="202" w:lineRule="exact"/>
              <w:rPr>
                <w:sz w:val="20"/>
                <w:szCs w:val="20"/>
                <w:color w:val="auto"/>
              </w:rPr>
            </w:pPr>
            <w:r>
              <w:rPr>
                <w:rFonts w:ascii="Arial" w:cs="Arial" w:eastAsia="Arial" w:hAnsi="Arial"/>
                <w:sz w:val="18"/>
                <w:szCs w:val="18"/>
                <w:color w:val="auto"/>
                <w:w w:val="93"/>
              </w:rPr>
              <w:t>19.08</w:t>
            </w:r>
          </w:p>
        </w:tc>
        <w:tc>
          <w:tcPr>
            <w:tcW w:w="160" w:type="dxa"/>
            <w:vAlign w:val="bottom"/>
          </w:tcPr>
          <w:p>
            <w:pPr>
              <w:spacing w:after="0"/>
              <w:rPr>
                <w:sz w:val="17"/>
                <w:szCs w:val="17"/>
                <w:color w:val="auto"/>
              </w:rPr>
            </w:pPr>
          </w:p>
        </w:tc>
      </w:tr>
      <w:tr>
        <w:trPr>
          <w:trHeight w:val="419"/>
        </w:trPr>
        <w:tc>
          <w:tcPr>
            <w:tcW w:w="20" w:type="dxa"/>
            <w:vAlign w:val="bottom"/>
          </w:tcPr>
          <w:p>
            <w:pPr>
              <w:spacing w:after="0"/>
              <w:rPr>
                <w:sz w:val="24"/>
                <w:szCs w:val="24"/>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2016</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3"/>
        </w:trPr>
        <w:tc>
          <w:tcPr>
            <w:tcW w:w="6140" w:type="dxa"/>
            <w:vAlign w:val="bottom"/>
            <w:gridSpan w:val="2"/>
          </w:tcPr>
          <w:p>
            <w:pPr>
              <w:spacing w:after="0" w:line="202" w:lineRule="exact"/>
              <w:rPr>
                <w:sz w:val="20"/>
                <w:szCs w:val="20"/>
                <w:color w:val="auto"/>
              </w:rPr>
            </w:pPr>
            <w:r>
              <w:rPr>
                <w:rFonts w:ascii="Arial" w:cs="Arial" w:eastAsia="Arial" w:hAnsi="Arial"/>
                <w:sz w:val="18"/>
                <w:szCs w:val="18"/>
                <w:color w:val="auto"/>
              </w:rPr>
              <w:t>First quarter</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25.99</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ind w:left="120"/>
              <w:spacing w:after="0" w:line="202" w:lineRule="exact"/>
              <w:rPr>
                <w:sz w:val="20"/>
                <w:szCs w:val="20"/>
                <w:color w:val="auto"/>
              </w:rPr>
            </w:pPr>
            <w:r>
              <w:rPr>
                <w:rFonts w:ascii="Arial" w:cs="Arial" w:eastAsia="Arial" w:hAnsi="Arial"/>
                <w:sz w:val="18"/>
                <w:szCs w:val="18"/>
                <w:color w:val="auto"/>
                <w:w w:val="93"/>
              </w:rPr>
              <w:t>13.04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22.48</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3"/>
              </w:rPr>
              <w:t>13.27</w:t>
            </w:r>
          </w:p>
        </w:tc>
        <w:tc>
          <w:tcPr>
            <w:tcW w:w="160" w:type="dxa"/>
            <w:vAlign w:val="bottom"/>
            <w:shd w:val="clear" w:color="auto" w:fill="CCEEFF"/>
          </w:tcPr>
          <w:p>
            <w:pPr>
              <w:spacing w:after="0"/>
              <w:rPr>
                <w:sz w:val="17"/>
                <w:szCs w:val="17"/>
                <w:color w:val="auto"/>
              </w:rPr>
            </w:pPr>
          </w:p>
        </w:tc>
      </w:tr>
      <w:tr>
        <w:trPr>
          <w:trHeight w:val="203"/>
        </w:trPr>
        <w:tc>
          <w:tcPr>
            <w:tcW w:w="614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29.90</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ind w:left="120"/>
              <w:spacing w:after="0" w:line="202" w:lineRule="exact"/>
              <w:rPr>
                <w:sz w:val="20"/>
                <w:szCs w:val="20"/>
                <w:color w:val="auto"/>
              </w:rPr>
            </w:pPr>
            <w:r>
              <w:rPr>
                <w:rFonts w:ascii="Arial" w:cs="Arial" w:eastAsia="Arial" w:hAnsi="Arial"/>
                <w:sz w:val="18"/>
                <w:szCs w:val="18"/>
                <w:color w:val="auto"/>
                <w:w w:val="93"/>
              </w:rPr>
              <w:t>19.51</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(through December 5, 2016)</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38.33</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3"/>
              </w:rPr>
              <w:t>26.42</w:t>
            </w:r>
          </w:p>
        </w:tc>
        <w:tc>
          <w:tcPr>
            <w:tcW w:w="16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firstLine="478"/>
        <w:spacing w:after="0" w:line="299" w:lineRule="auto"/>
        <w:rPr>
          <w:sz w:val="20"/>
          <w:szCs w:val="20"/>
          <w:color w:val="auto"/>
        </w:rPr>
      </w:pPr>
      <w:r>
        <w:rPr>
          <w:rFonts w:ascii="Arial" w:cs="Arial" w:eastAsia="Arial" w:hAnsi="Arial"/>
          <w:sz w:val="16"/>
          <w:szCs w:val="16"/>
          <w:color w:val="auto"/>
        </w:rPr>
        <w:t>As of December 5, 2016, there were 53 record holders of our common stock. The actual number of stockholders is greater than this number of record holders and includes stockholders who are beneficial owners but whose shares are held in street name by brokers and other nominees.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have never declared or paid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color w:val="auto"/>
        </w:rPr>
        <w:t>We will enter into an underwriting agreement with the underwriters named below with respect to the shares being offered. Subject to certain conditions, each underwriter will severally agree to purchase the number of shares indicated in the following table. Goldman, Sachs &amp; Co. and Morgan Stanley &amp; Co. LLC are acting as representatives of the underwriters.</w:t>
      </w:r>
    </w:p>
    <w:p>
      <w:pPr>
        <w:spacing w:after="0" w:line="208" w:lineRule="exact"/>
        <w:rPr>
          <w:sz w:val="20"/>
          <w:szCs w:val="20"/>
          <w:color w:val="auto"/>
        </w:rPr>
      </w:pPr>
    </w:p>
    <w:p>
      <w:pPr>
        <w:ind w:left="1720"/>
        <w:spacing w:after="0"/>
        <w:tabs>
          <w:tab w:leader="none" w:pos="8080" w:val="left"/>
        </w:tabs>
        <w:rPr>
          <w:sz w:val="20"/>
          <w:szCs w:val="20"/>
          <w:color w:val="auto"/>
        </w:rPr>
      </w:pPr>
      <w:r>
        <w:rPr>
          <w:rFonts w:ascii="Arial" w:cs="Arial" w:eastAsia="Arial" w:hAnsi="Arial"/>
          <w:sz w:val="18"/>
          <w:szCs w:val="18"/>
          <w:color w:val="auto"/>
        </w:rPr>
        <w:t>Underwriters</w:t>
      </w:r>
      <w:r>
        <w:rPr>
          <w:sz w:val="20"/>
          <w:szCs w:val="20"/>
          <w:color w:val="auto"/>
        </w:rPr>
        <w:tab/>
      </w: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-4445</wp:posOffset>
            </wp:positionV>
            <wp:extent cx="506857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Goldman, Sachs &amp; Co.</w:t>
      </w:r>
    </w:p>
    <w:p>
      <w:pPr>
        <w:ind w:left="1720"/>
        <w:spacing w:after="0" w:line="234" w:lineRule="auto"/>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-635</wp:posOffset>
            </wp:positionV>
            <wp:extent cx="506857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68570" cy="128905"/>
                    </a:xfrm>
                    <a:prstGeom prst="rect">
                      <a:avLst/>
                    </a:prstGeom>
                    <a:noFill/>
                  </pic:spPr>
                </pic:pic>
              </a:graphicData>
            </a:graphic>
          </wp:anchor>
        </w:drawing>
      </w:r>
    </w:p>
    <w:p>
      <w:pPr>
        <w:ind w:left="1720"/>
        <w:spacing w:after="0" w:line="235" w:lineRule="auto"/>
        <w:rPr>
          <w:sz w:val="20"/>
          <w:szCs w:val="20"/>
          <w:color w:val="auto"/>
        </w:rPr>
      </w:pPr>
      <w:r>
        <w:rPr>
          <w:rFonts w:ascii="Arial" w:cs="Arial" w:eastAsia="Arial" w:hAnsi="Arial"/>
          <w:sz w:val="18"/>
          <w:szCs w:val="18"/>
          <w:color w:val="auto"/>
        </w:rPr>
        <w:t>Cowen and Company, LLC</w:t>
      </w:r>
    </w:p>
    <w:p>
      <w:pPr>
        <w:ind w:left="1720"/>
        <w:spacing w:after="0" w:line="235" w:lineRule="auto"/>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-1270</wp:posOffset>
            </wp:positionV>
            <wp:extent cx="506857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68570" cy="12890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Wedbush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-4445</wp:posOffset>
            </wp:positionV>
            <wp:extent cx="9861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-4445</wp:posOffset>
            </wp:positionV>
            <wp:extent cx="9861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12065</wp:posOffset>
            </wp:positionV>
            <wp:extent cx="9861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32" w:lineRule="exact"/>
        <w:rPr>
          <w:sz w:val="20"/>
          <w:szCs w:val="20"/>
          <w:color w:val="auto"/>
        </w:rPr>
      </w:pPr>
    </w:p>
    <w:p>
      <w:pPr>
        <w:ind w:right="260" w:firstLine="485"/>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209" w:lineRule="exact"/>
        <w:rPr>
          <w:sz w:val="20"/>
          <w:szCs w:val="20"/>
          <w:color w:val="auto"/>
        </w:rPr>
      </w:pPr>
    </w:p>
    <w:p>
      <w:pPr>
        <w:ind w:right="80" w:firstLine="485"/>
        <w:spacing w:after="0" w:line="237" w:lineRule="auto"/>
        <w:rPr>
          <w:sz w:val="20"/>
          <w:szCs w:val="20"/>
          <w:color w:val="auto"/>
        </w:rPr>
      </w:pPr>
      <w:r>
        <w:rPr>
          <w:rFonts w:ascii="Arial" w:cs="Arial" w:eastAsia="Arial" w:hAnsi="Arial"/>
          <w:sz w:val="18"/>
          <w:szCs w:val="18"/>
          <w:color w:val="auto"/>
        </w:rPr>
        <w:t>The underwriters have an option to buy up to $18,750,000 of additional shares of our common stock from us to cover sales by the underwriters of a greater number of shares than the total number set forth in the table above. They may exercise this option for 30 days. If any shares are purchased pursuant to this option, the underwriters will severally purchase shares in approximately the same proportion as set forth in the table above.</w:t>
      </w:r>
    </w:p>
    <w:p>
      <w:pPr>
        <w:spacing w:after="0" w:line="209" w:lineRule="exact"/>
        <w:rPr>
          <w:sz w:val="20"/>
          <w:szCs w:val="20"/>
          <w:color w:val="auto"/>
        </w:rPr>
      </w:pPr>
    </w:p>
    <w:p>
      <w:pPr>
        <w:ind w:right="80" w:firstLine="485"/>
        <w:spacing w:after="0" w:line="238"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$18,750,000 of additional shares of our common stock.</w:t>
      </w:r>
    </w:p>
    <w:p>
      <w:pPr>
        <w:spacing w:after="0" w:line="389" w:lineRule="exact"/>
        <w:rPr>
          <w:sz w:val="20"/>
          <w:szCs w:val="20"/>
          <w:color w:val="auto"/>
        </w:rPr>
      </w:pPr>
    </w:p>
    <w:tbl>
      <w:tblPr>
        <w:tblLayout w:type="fixed"/>
        <w:tblInd w:w="1720" w:type="dxa"/>
        <w:tblCellMar>
          <w:top w:w="0" w:type="dxa"/>
          <w:left w:w="0" w:type="dxa"/>
          <w:bottom w:w="0" w:type="dxa"/>
          <w:right w:w="0" w:type="dxa"/>
        </w:tblCellMar>
      </w:tblPr>
      <w:tr>
        <w:trPr>
          <w:trHeight w:val="233"/>
        </w:trPr>
        <w:tc>
          <w:tcPr>
            <w:tcW w:w="1940" w:type="dxa"/>
            <w:vAlign w:val="bottom"/>
          </w:tcPr>
          <w:p>
            <w:pPr>
              <w:spacing w:after="0"/>
              <w:rPr>
                <w:sz w:val="20"/>
                <w:szCs w:val="20"/>
                <w:color w:val="auto"/>
              </w:rPr>
            </w:pPr>
          </w:p>
        </w:tc>
        <w:tc>
          <w:tcPr>
            <w:tcW w:w="4080" w:type="dxa"/>
            <w:vAlign w:val="bottom"/>
            <w:gridSpan w:val="2"/>
          </w:tcPr>
          <w:p>
            <w:pPr>
              <w:jc w:val="right"/>
              <w:ind w:right="1072"/>
              <w:spacing w:after="0"/>
              <w:rPr>
                <w:sz w:val="20"/>
                <w:szCs w:val="20"/>
                <w:color w:val="auto"/>
              </w:rPr>
            </w:pPr>
            <w:r>
              <w:rPr>
                <w:rFonts w:ascii="Arial" w:cs="Arial" w:eastAsia="Arial" w:hAnsi="Arial"/>
                <w:sz w:val="18"/>
                <w:szCs w:val="18"/>
                <w:b w:val="1"/>
                <w:bCs w:val="1"/>
                <w:color w:val="auto"/>
              </w:rPr>
              <w:t>Paid by the Company</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8"/>
        </w:trPr>
        <w:tc>
          <w:tcPr>
            <w:tcW w:w="1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 Exercise</w:t>
            </w:r>
          </w:p>
        </w:tc>
        <w:tc>
          <w:tcPr>
            <w:tcW w:w="16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Full Exercise</w:t>
            </w:r>
          </w:p>
        </w:tc>
        <w:tc>
          <w:tcPr>
            <w:tcW w:w="160" w:type="dxa"/>
            <w:vAlign w:val="bottom"/>
          </w:tcPr>
          <w:p>
            <w:pPr>
              <w:spacing w:after="0"/>
              <w:rPr>
                <w:sz w:val="24"/>
                <w:szCs w:val="24"/>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4080" w:type="dxa"/>
            <w:vAlign w:val="bottom"/>
            <w:gridSpan w:val="2"/>
            <w:shd w:val="clear" w:color="auto" w:fill="CCEEFF"/>
          </w:tcPr>
          <w:p>
            <w:pPr>
              <w:jc w:val="right"/>
              <w:ind w:right="1372"/>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45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r>
      <w:tr>
        <w:trPr>
          <w:trHeight w:val="214"/>
        </w:trPr>
        <w:tc>
          <w:tcPr>
            <w:tcW w:w="1940" w:type="dxa"/>
            <w:vAlign w:val="bottom"/>
          </w:tcPr>
          <w:p>
            <w:pPr>
              <w:spacing w:after="0"/>
              <w:rPr>
                <w:sz w:val="20"/>
                <w:szCs w:val="20"/>
                <w:color w:val="auto"/>
              </w:rPr>
            </w:pPr>
            <w:r>
              <w:rPr>
                <w:rFonts w:ascii="Arial" w:cs="Arial" w:eastAsia="Arial" w:hAnsi="Arial"/>
                <w:sz w:val="18"/>
                <w:szCs w:val="18"/>
                <w:color w:val="auto"/>
              </w:rPr>
              <w:t>Total</w:t>
            </w:r>
          </w:p>
        </w:tc>
        <w:tc>
          <w:tcPr>
            <w:tcW w:w="4080" w:type="dxa"/>
            <w:vAlign w:val="bottom"/>
            <w:gridSpan w:val="2"/>
          </w:tcPr>
          <w:p>
            <w:pPr>
              <w:jc w:val="right"/>
              <w:ind w:right="1372"/>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4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 prospectus</w:t>
      </w:r>
    </w:p>
    <w:p>
      <w:pPr>
        <w:ind w:right="280"/>
        <w:spacing w:after="0" w:line="281" w:lineRule="auto"/>
        <w:rPr>
          <w:sz w:val="20"/>
          <w:szCs w:val="20"/>
          <w:color w:val="auto"/>
        </w:rPr>
      </w:pPr>
      <w:r>
        <w:rPr>
          <w:rFonts w:ascii="Arial" w:cs="Arial" w:eastAsia="Arial" w:hAnsi="Arial"/>
          <w:sz w:val="16"/>
          <w:szCs w:val="16"/>
          <w:color w:val="auto"/>
        </w:rPr>
        <w:t>supplement. Any shares sold by the underwriters to securities dealers may be sold at a discount of up to $ per share from the public offering price. After the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and our officers and directors have agreed with the underwriters, subject to certain exceptions, not to dispose of or hedge any common stock or securities convertible into or exchangeable for shares of common stock during the period from the date of this prospectus supplement continuing through the date 90 days after the date of this prospectus supplement, except with the prior written consent of the representatives. Holders of 5,453,753 shares of our common stock have agreed to such restrictions for a period of 60 days. The lock-up restrictions are subject to certain exceptions, including transfers of shares of our common stock (i) acquired in this offering, except for shares acquired by our directors or officers; (ii) acquired in the open market following the completion of this offering; (iii) as a bona fide gift, to a trust for the benefit of the holder or his or her immediate family, by will or intestate succession, or by operation of law; (iv) to</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an affiliate of the holder or as part of a distribution without consideration to a holder's stockholders, partners, members or other equity holders;</w:t>
      </w:r>
    </w:p>
    <w:p>
      <w:pPr>
        <w:ind w:right="180" w:firstLine="8"/>
        <w:spacing w:after="0" w:line="236" w:lineRule="auto"/>
        <w:tabs>
          <w:tab w:leader="none" w:pos="2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connection with an exercise for cash of options to purchase our common stock, the "net exercise" or "cashless" exercise of such options within 90 days of the expiration of such options, and any transfer for the payment of taxes due as result of such exercise; and (vi) in connection with establishing a trading plan pursuant to Rule 10b5-1 under the Securities Exchange Act of 1934, as amended. The representatives, in their sole discretion, may release the common stock and other securities subject to the lock-up agreements described above in whole or in part at any time.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publicly traded on The NASDAQ Global Select Market under the symbol "BPMC".</w:t>
      </w:r>
    </w:p>
    <w:p>
      <w:pPr>
        <w:spacing w:after="0" w:line="21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In connection with this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15" w:lineRule="exact"/>
        <w:rPr>
          <w:sz w:val="20"/>
          <w:szCs w:val="20"/>
          <w:color w:val="auto"/>
        </w:rPr>
      </w:pPr>
    </w:p>
    <w:p>
      <w:pPr>
        <w:jc w:val="both"/>
        <w:ind w:right="580" w:firstLine="485"/>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8" w:lineRule="exact"/>
        <w:rPr>
          <w:sz w:val="20"/>
          <w:szCs w:val="20"/>
          <w:color w:val="auto"/>
        </w:rPr>
      </w:pPr>
    </w:p>
    <w:p>
      <w:pPr>
        <w:ind w:right="100" w:firstLine="488"/>
        <w:spacing w:after="0" w:line="27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12" w:lineRule="exact"/>
        <w:rPr>
          <w:sz w:val="20"/>
          <w:szCs w:val="20"/>
          <w:color w:val="auto"/>
        </w:rPr>
      </w:pPr>
    </w:p>
    <w:p>
      <w:pPr>
        <w:ind w:right="240" w:firstLine="488"/>
        <w:spacing w:after="0" w:line="239"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$650,000. We have agreed to reimburse the underwriters for certain of their expenses in an amount up to $50,000.</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80" w:firstLine="488"/>
        <w:spacing w:after="0" w:line="239"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209"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11"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European Economic Area</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20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211" w:lineRule="exact"/>
        <w:rPr>
          <w:rFonts w:ascii="Arial" w:cs="Arial" w:eastAsia="Arial" w:hAnsi="Arial"/>
          <w:sz w:val="18"/>
          <w:szCs w:val="18"/>
          <w:color w:val="auto"/>
        </w:rPr>
      </w:pPr>
    </w:p>
    <w:p>
      <w:pPr>
        <w:ind w:left="1080" w:right="80" w:hanging="532"/>
        <w:spacing w:after="0" w:line="23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94" w:lineRule="exact"/>
        <w:rPr>
          <w:rFonts w:ascii="Arial" w:cs="Arial" w:eastAsia="Arial" w:hAnsi="Arial"/>
          <w:sz w:val="18"/>
          <w:szCs w:val="18"/>
          <w:color w:val="auto"/>
        </w:rPr>
      </w:pPr>
    </w:p>
    <w:p>
      <w:pPr>
        <w:jc w:val="both"/>
        <w:ind w:left="1080" w:right="20" w:hanging="532"/>
        <w:spacing w:after="0" w:line="23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208" w:lineRule="exact"/>
        <w:rPr>
          <w:sz w:val="20"/>
          <w:szCs w:val="20"/>
          <w:color w:val="auto"/>
        </w:rPr>
      </w:pPr>
    </w:p>
    <w:p>
      <w:pPr>
        <w:jc w:val="both"/>
        <w:ind w:right="200" w:firstLine="488"/>
        <w:spacing w:after="0" w:line="237"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for the shares, as the same may be varied in that Relevant Member State by any measure implementing the Prospectus Directive in that Relevant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Member State and the expression Prospectus Directive means Directive 2003/71/EC (and amendments thereto, including the 2010 PD Amending Directive) and includes any relevant implementing measure in each Relevant Member State, and the expression "2010 PD Amending Directive" means Directive 2010/73/EU.</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Kingdom</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underwriter has represented and agreed that:</w:t>
      </w:r>
    </w:p>
    <w:p>
      <w:pPr>
        <w:spacing w:after="0" w:line="212" w:lineRule="exact"/>
        <w:rPr>
          <w:sz w:val="20"/>
          <w:szCs w:val="20"/>
          <w:color w:val="auto"/>
        </w:rPr>
      </w:pPr>
    </w:p>
    <w:p>
      <w:pPr>
        <w:ind w:left="1080" w:right="200" w:hanging="532"/>
        <w:spacing w:after="0" w:line="281"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issuer; and</w:t>
      </w:r>
    </w:p>
    <w:p>
      <w:pPr>
        <w:spacing w:after="0" w:line="177" w:lineRule="exact"/>
        <w:rPr>
          <w:rFonts w:ascii="Arial" w:cs="Arial" w:eastAsia="Arial" w:hAnsi="Arial"/>
          <w:sz w:val="16"/>
          <w:szCs w:val="16"/>
          <w:color w:val="auto"/>
        </w:rPr>
      </w:pPr>
    </w:p>
    <w:p>
      <w:pPr>
        <w:ind w:left="1080" w:hanging="532"/>
        <w:spacing w:after="0" w:line="23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France</w:t>
      </w:r>
    </w:p>
    <w:p>
      <w:pPr>
        <w:spacing w:after="0" w:line="234" w:lineRule="exact"/>
        <w:rPr>
          <w:sz w:val="20"/>
          <w:szCs w:val="20"/>
          <w:color w:val="auto"/>
        </w:rPr>
      </w:pPr>
    </w:p>
    <w:p>
      <w:pPr>
        <w:ind w:right="240" w:firstLine="488"/>
        <w:spacing w:after="0" w:line="275" w:lineRule="auto"/>
        <w:rPr>
          <w:sz w:val="20"/>
          <w:szCs w:val="20"/>
          <w:color w:val="auto"/>
        </w:rPr>
      </w:pPr>
      <w:r>
        <w:rPr>
          <w:rFonts w:ascii="Arial" w:cs="Arial" w:eastAsia="Arial" w:hAnsi="Arial"/>
          <w:sz w:val="16"/>
          <w:szCs w:val="16"/>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w:t>
      </w:r>
    </w:p>
    <w:p>
      <w:pPr>
        <w:spacing w:after="0" w:line="183"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25" w:lineRule="exact"/>
        <w:rPr>
          <w:sz w:val="20"/>
          <w:szCs w:val="20"/>
          <w:color w:val="auto"/>
        </w:rPr>
      </w:pPr>
    </w:p>
    <w:p>
      <w:pPr>
        <w:ind w:left="1080" w:right="140" w:hanging="532"/>
        <w:spacing w:after="0" w:line="23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98" w:lineRule="exact"/>
        <w:rPr>
          <w:rFonts w:ascii="Arial" w:cs="Arial" w:eastAsia="Arial" w:hAnsi="Arial"/>
          <w:sz w:val="18"/>
          <w:szCs w:val="18"/>
          <w:color w:val="auto"/>
        </w:rPr>
      </w:pPr>
    </w:p>
    <w:p>
      <w:pPr>
        <w:ind w:left="1080" w:right="120" w:hanging="532"/>
        <w:spacing w:after="0" w:line="23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208" w:lineRule="exact"/>
        <w:rPr>
          <w:sz w:val="20"/>
          <w:szCs w:val="20"/>
          <w:color w:val="auto"/>
        </w:rPr>
      </w:pPr>
    </w:p>
    <w:p>
      <w:pPr>
        <w:ind w:right="140" w:firstLine="485"/>
        <w:spacing w:after="0" w:line="239"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Australia</w:t>
      </w:r>
    </w:p>
    <w:p>
      <w:pPr>
        <w:spacing w:after="0" w:line="234" w:lineRule="exact"/>
        <w:rPr>
          <w:sz w:val="20"/>
          <w:szCs w:val="20"/>
          <w:color w:val="auto"/>
        </w:rPr>
      </w:pPr>
    </w:p>
    <w:p>
      <w:pPr>
        <w:ind w:right="200" w:firstLine="488"/>
        <w:spacing w:after="0" w:line="238"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("Corporations Act")) in relation to the common stock has been or will be lodged with the Australian Securities &amp; Investments Commission ("ASIC"). This document has not been lodged with</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ASIC and is only directed to certain categories of exempt persons. Accordingly, if you receive this document in Australia:</w:t>
      </w:r>
    </w:p>
    <w:p>
      <w:pPr>
        <w:spacing w:after="0" w:line="212"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620" w:hanging="532"/>
        <w:spacing w:after="0"/>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98" w:lineRule="exact"/>
        <w:rPr>
          <w:rFonts w:ascii="Arial" w:cs="Arial" w:eastAsia="Arial" w:hAnsi="Arial"/>
          <w:sz w:val="18"/>
          <w:szCs w:val="18"/>
          <w:color w:val="auto"/>
        </w:rPr>
      </w:pPr>
    </w:p>
    <w:p>
      <w:pPr>
        <w:ind w:left="1620" w:right="220" w:hanging="532"/>
        <w:spacing w:after="0" w:line="238"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94" w:lineRule="exact"/>
        <w:rPr>
          <w:rFonts w:ascii="Arial" w:cs="Arial" w:eastAsia="Arial" w:hAnsi="Arial"/>
          <w:sz w:val="18"/>
          <w:szCs w:val="18"/>
          <w:color w:val="auto"/>
        </w:rPr>
      </w:pPr>
    </w:p>
    <w:p>
      <w:pPr>
        <w:ind w:left="1620" w:hanging="532"/>
        <w:spacing w:after="0"/>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211" w:lineRule="exact"/>
        <w:rPr>
          <w:rFonts w:ascii="Arial" w:cs="Arial" w:eastAsia="Arial" w:hAnsi="Arial"/>
          <w:sz w:val="18"/>
          <w:szCs w:val="18"/>
          <w:color w:val="auto"/>
        </w:rPr>
      </w:pPr>
    </w:p>
    <w:p>
      <w:pPr>
        <w:ind w:left="1620" w:right="40" w:hanging="532"/>
        <w:spacing w:after="0" w:line="238"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080" w:right="140" w:hanging="532"/>
        <w:spacing w:after="0" w:line="23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Hong Kong</w:t>
      </w:r>
    </w:p>
    <w:p>
      <w:pPr>
        <w:spacing w:after="0" w:line="234" w:lineRule="exact"/>
        <w:rPr>
          <w:sz w:val="20"/>
          <w:szCs w:val="20"/>
          <w:color w:val="auto"/>
        </w:rPr>
      </w:pPr>
    </w:p>
    <w:p>
      <w:pPr>
        <w:ind w:right="80" w:firstLine="485"/>
        <w:spacing w:after="0" w:line="235" w:lineRule="auto"/>
        <w:rPr>
          <w:sz w:val="20"/>
          <w:szCs w:val="20"/>
          <w:color w:val="auto"/>
        </w:rPr>
      </w:pPr>
      <w:r>
        <w:rPr>
          <w:rFonts w:ascii="Arial" w:cs="Arial" w:eastAsia="Arial" w:hAnsi="Arial"/>
          <w:sz w:val="18"/>
          <w:szCs w:val="18"/>
          <w:color w:val="auto"/>
        </w:rPr>
        <w:t>The shares may not be offered or sold by means of any document other than (i) in circumstances that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that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Singapore</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88"/>
        <w:spacing w:after="0" w:line="264" w:lineRule="auto"/>
        <w:rPr>
          <w:sz w:val="20"/>
          <w:szCs w:val="20"/>
          <w:color w:val="auto"/>
        </w:rPr>
      </w:pPr>
      <w:r>
        <w:rPr>
          <w:rFonts w:ascii="Arial" w:cs="Arial" w:eastAsia="Arial" w:hAnsi="Arial"/>
          <w:sz w:val="16"/>
          <w:szCs w:val="16"/>
          <w:color w:val="auto"/>
        </w:rPr>
        <w:t>Where the shares are subscribed or purchased under Section 275 by a relevant person that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w:t>
      </w:r>
    </w:p>
    <w:p>
      <w:pPr>
        <w:spacing w:after="0" w:line="1" w:lineRule="exact"/>
        <w:rPr>
          <w:sz w:val="20"/>
          <w:szCs w:val="20"/>
          <w:color w:val="auto"/>
        </w:rPr>
      </w:pPr>
    </w:p>
    <w:p>
      <w:pPr>
        <w:ind w:right="60" w:firstLine="8"/>
        <w:spacing w:after="0" w:line="299" w:lineRule="auto"/>
        <w:tabs>
          <w:tab w:leader="none" w:pos="26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Japan</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Israel</w:t>
      </w:r>
    </w:p>
    <w:p>
      <w:pPr>
        <w:spacing w:after="0" w:line="234" w:lineRule="exact"/>
        <w:rPr>
          <w:sz w:val="20"/>
          <w:szCs w:val="20"/>
          <w:color w:val="auto"/>
        </w:rPr>
      </w:pPr>
    </w:p>
    <w:p>
      <w:pPr>
        <w:ind w:right="40" w:firstLine="488"/>
        <w:spacing w:after="0" w:line="268" w:lineRule="auto"/>
        <w:rPr>
          <w:sz w:val="20"/>
          <w:szCs w:val="20"/>
          <w:color w:val="auto"/>
        </w:rPr>
      </w:pPr>
      <w:r>
        <w:rPr>
          <w:rFonts w:ascii="Arial" w:cs="Arial" w:eastAsia="Arial" w:hAnsi="Arial"/>
          <w:sz w:val="16"/>
          <w:szCs w:val="16"/>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90" w:lineRule="exact"/>
        <w:rPr>
          <w:sz w:val="20"/>
          <w:szCs w:val="20"/>
          <w:color w:val="auto"/>
        </w:rPr>
      </w:pPr>
    </w:p>
    <w:p>
      <w:pPr>
        <w:ind w:right="100" w:firstLine="488"/>
        <w:spacing w:after="0" w:line="236" w:lineRule="auto"/>
        <w:rPr>
          <w:sz w:val="20"/>
          <w:szCs w:val="20"/>
          <w:color w:val="auto"/>
        </w:rPr>
      </w:pPr>
      <w:r>
        <w:rPr>
          <w:rFonts w:ascii="Arial" w:cs="Arial" w:eastAsia="Arial" w:hAnsi="Arial"/>
          <w:sz w:val="18"/>
          <w:szCs w:val="18"/>
          <w:color w:val="auto"/>
        </w:rPr>
        <w:t>Qualified Investors may have to submit written evidence that they meet the definitions set out in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Canada</w:t>
      </w:r>
    </w:p>
    <w:p>
      <w:pPr>
        <w:spacing w:after="0" w:line="234" w:lineRule="exact"/>
        <w:rPr>
          <w:sz w:val="20"/>
          <w:szCs w:val="20"/>
          <w:color w:val="auto"/>
        </w:rPr>
      </w:pPr>
    </w:p>
    <w:p>
      <w:pPr>
        <w:ind w:right="100" w:firstLine="485"/>
        <w:spacing w:after="0" w:line="236" w:lineRule="auto"/>
        <w:rPr>
          <w:sz w:val="20"/>
          <w:szCs w:val="20"/>
          <w:color w:val="auto"/>
        </w:rPr>
      </w:pPr>
      <w:r>
        <w:rPr>
          <w:rFonts w:ascii="Arial" w:cs="Arial" w:eastAsia="Arial" w:hAnsi="Arial"/>
          <w:sz w:val="18"/>
          <w:szCs w:val="18"/>
          <w:color w:val="auto"/>
        </w:rPr>
        <w:t>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w:t>
      </w:r>
    </w:p>
    <w:p>
      <w:pPr>
        <w:spacing w:after="0" w:line="211" w:lineRule="exact"/>
        <w:rPr>
          <w:sz w:val="20"/>
          <w:szCs w:val="20"/>
          <w:color w:val="auto"/>
        </w:rPr>
      </w:pPr>
    </w:p>
    <w:p>
      <w:pPr>
        <w:ind w:right="160" w:firstLine="488"/>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11" w:lineRule="exact"/>
        <w:rPr>
          <w:sz w:val="20"/>
          <w:szCs w:val="20"/>
          <w:color w:val="auto"/>
        </w:rPr>
      </w:pPr>
    </w:p>
    <w:p>
      <w:pPr>
        <w:jc w:val="both"/>
        <w:ind w:right="140" w:firstLine="488"/>
        <w:spacing w:after="0" w:line="238"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to non-U.S. holders,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These authorities may be changed or subject to differing interpretations, possibly with retroactive effect,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209" w:lineRule="exact"/>
        <w:rPr>
          <w:sz w:val="20"/>
          <w:szCs w:val="20"/>
          <w:color w:val="auto"/>
        </w:rPr>
      </w:pPr>
    </w:p>
    <w:p>
      <w:pPr>
        <w:ind w:right="180" w:firstLine="485"/>
        <w:spacing w:after="0" w:line="237" w:lineRule="auto"/>
        <w:rPr>
          <w:sz w:val="20"/>
          <w:szCs w:val="20"/>
          <w:color w:val="auto"/>
        </w:rPr>
      </w:pPr>
      <w:r>
        <w:rPr>
          <w:rFonts w:ascii="Arial" w:cs="Arial" w:eastAsia="Arial" w:hAnsi="Arial"/>
          <w:sz w:val="18"/>
          <w:szCs w:val="18"/>
          <w:color w:val="auto"/>
        </w:rPr>
        <w:t>This summary also does not address the tax considerations arising under the laws of any U.S. state or local or any non-U.S. jurisdiction, U.S. federal estate or gift tax laws, the Medicare tax on net investment income or any alternative minimum tax consequences. In addition, this discussion does not address tax considerations applicable to an investor's particular circumstances or to investors that may be subject to special tax rules, including, without limitation:</w:t>
      </w:r>
    </w:p>
    <w:p>
      <w:pPr>
        <w:spacing w:after="0" w:line="20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98" w:lineRule="exact"/>
        <w:rPr>
          <w:rFonts w:ascii="Arial" w:cs="Arial" w:eastAsia="Arial" w:hAnsi="Arial"/>
          <w:sz w:val="18"/>
          <w:szCs w:val="18"/>
          <w:color w:val="auto"/>
        </w:rPr>
      </w:pPr>
    </w:p>
    <w:p>
      <w:pPr>
        <w:ind w:left="1080" w:right="680" w:hanging="532"/>
        <w:spacing w:after="0" w:line="23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208" w:lineRule="exact"/>
        <w:rPr>
          <w:rFonts w:ascii="Arial" w:cs="Arial" w:eastAsia="Arial" w:hAnsi="Arial"/>
          <w:sz w:val="18"/>
          <w:szCs w:val="18"/>
          <w:color w:val="auto"/>
        </w:rPr>
      </w:pPr>
    </w:p>
    <w:p>
      <w:pPr>
        <w:ind w:left="1080" w:right="640" w:hanging="532"/>
        <w:spacing w:after="0" w:line="23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195" w:lineRule="exact"/>
        <w:rPr>
          <w:rFonts w:ascii="Arial" w:cs="Arial" w:eastAsia="Arial" w:hAnsi="Arial"/>
          <w:sz w:val="18"/>
          <w:szCs w:val="18"/>
          <w:color w:val="auto"/>
        </w:rPr>
      </w:pPr>
    </w:p>
    <w:p>
      <w:pPr>
        <w:ind w:left="1080" w:right="440" w:hanging="532"/>
        <w:spacing w:after="0" w:line="23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(or investors in any such entities);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passive foreign investment companies;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that acquire our common stock as compensation for services.</w:t>
      </w:r>
    </w:p>
    <w:p>
      <w:pPr>
        <w:spacing w:after="0" w:line="212" w:lineRule="exact"/>
        <w:rPr>
          <w:sz w:val="20"/>
          <w:szCs w:val="20"/>
          <w:color w:val="auto"/>
        </w:rPr>
      </w:pPr>
    </w:p>
    <w:p>
      <w:pPr>
        <w:jc w:val="both"/>
        <w:ind w:right="180" w:firstLine="488"/>
        <w:spacing w:after="0" w:line="281" w:lineRule="auto"/>
        <w:rPr>
          <w:sz w:val="20"/>
          <w:szCs w:val="20"/>
          <w:color w:val="auto"/>
        </w:rPr>
      </w:pPr>
      <w:r>
        <w:rPr>
          <w:rFonts w:ascii="Arial" w:cs="Arial" w:eastAsia="Arial" w:hAnsi="Arial"/>
          <w:sz w:val="16"/>
          <w:szCs w:val="16"/>
          <w:color w:val="auto"/>
        </w:rPr>
        <w:t>In addition, if a partnership, including any entity or arrangement classified as a partnership for U.S. federal income tax purposes, holds our common stock, the tax treatment of a partner in such partnership generally will depend on the status of the partner and upon the activities of the partnership. Accordingly, partnerships that hold our common stock, and partners in such partnerships, should consult their tax advisors.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440" w:firstLine="488"/>
        <w:spacing w:after="0" w:line="244"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Non-U.S. Holder Defined</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is for United States federal income tax purposes (i) a foreign corporation, (ii) a nonresident alien individual, (iii) a foreign estate, the income of which, if from sources without the United States and not effectively connected with the conduct of a trade or business within the United States, is not subject to tax in the United States; or (iv) a trust that has not made an election to be treated as a U.S. holder under applicable Treasury regulations and that either (A) is not subject to the primary jurisdiction of a court within the United States, or (B) is not subject to the substantial control of one or more United States persons.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As discussed under "Dividend Policy", above, we do not anticipate paying any dividends on our capital stock in the foreseeable future. If we were to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subject to the tax treatment described in the discussion below regarding taxable dispositions of our common stock. Any such distributions would also be subject to the discussions below regarding backup withholding and FATCA.</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Subject to the discussion below regarding a dividend received by you that is effectively connected with the conduct of a U.S. trade or business, a dividend paid to you generally will be subject to U.S. withholding tax either at a rate of 30% of the gross amount of the dividend or such lower rate as may be specified by an applicable income tax treaty. In order to receive a reduced treaty rate, you must provide us with a valid IRS Form W-8BEN, IRS Form W-8-BEN-E or another appropriate version of IRS Form W-8 (or a successor form), in each case, certifying qualification for the reduced rate.</w:t>
      </w:r>
    </w:p>
    <w:p>
      <w:pPr>
        <w:spacing w:after="0" w:line="211" w:lineRule="exact"/>
        <w:rPr>
          <w:sz w:val="20"/>
          <w:szCs w:val="20"/>
          <w:color w:val="auto"/>
        </w:rPr>
      </w:pPr>
    </w:p>
    <w:p>
      <w:pPr>
        <w:ind w:right="20" w:firstLine="488"/>
        <w:spacing w:after="0" w:line="270" w:lineRule="auto"/>
        <w:rPr>
          <w:sz w:val="20"/>
          <w:szCs w:val="20"/>
          <w:color w:val="auto"/>
        </w:rPr>
      </w:pPr>
      <w:r>
        <w:rPr>
          <w:rFonts w:ascii="Arial" w:cs="Arial" w:eastAsia="Arial" w:hAnsi="Arial"/>
          <w:sz w:val="16"/>
          <w:szCs w:val="16"/>
          <w:color w:val="auto"/>
        </w:rPr>
        <w:t>Dividends received by you that are effectively connected with the conduct of a U.S. trade or business (and, if required by an applicable income tax treaty, are attributable to a permanent establishment maintained by you in the United States) generally are exempt from such withholding tax. In order to obtain this exemption, you must provide us with a valid IRS Form W-8ECI or successor form or other applicable IRS Form W-8 properly certifying such exemption. Such effectively connected dividends, although not subject to withholding tax, are taxed at the same graduated rates applicable to U.S. persons, net of certain deductions and credits, subject to an applicable income tax treaty providing otherwise. In addition, if you are a corporate non-U.S. holder, you may also be subject to a branch profits tax at a rate of 30% or such lower rate as may be specified by an applicable income tax treaty on your earnings and profits in respect of such effectively connected dividend income.</w:t>
      </w:r>
    </w:p>
    <w:p>
      <w:pPr>
        <w:spacing w:after="0" w:line="185" w:lineRule="exact"/>
        <w:rPr>
          <w:sz w:val="20"/>
          <w:szCs w:val="20"/>
          <w:color w:val="auto"/>
        </w:rPr>
      </w:pPr>
    </w:p>
    <w:p>
      <w:pPr>
        <w:ind w:right="260" w:firstLine="488"/>
        <w:spacing w:after="0" w:line="239" w:lineRule="auto"/>
        <w:rPr>
          <w:sz w:val="20"/>
          <w:szCs w:val="20"/>
          <w:color w:val="auto"/>
        </w:rPr>
      </w:pPr>
      <w:r>
        <w:rPr>
          <w:rFonts w:ascii="Arial" w:cs="Arial" w:eastAsia="Arial" w:hAnsi="Arial"/>
          <w:sz w:val="18"/>
          <w:szCs w:val="18"/>
          <w:color w:val="auto"/>
        </w:rPr>
        <w:t>If you are eligible for a reduced rate of withholding tax pursuant to a tax treaty, you may be able to obtain a refund of any excess amounts currently withheld if you file an appropriate claim for refund with the IRS.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Gain on Sale or Other Taxable Disposition of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Subject to the discussion below regarding backup withholding and FATCA, a non-U.S. Holder generally will not be required to pay U.S.</w:t>
      </w:r>
    </w:p>
    <w:p>
      <w:pPr>
        <w:spacing w:after="0"/>
        <w:rPr>
          <w:sz w:val="20"/>
          <w:szCs w:val="20"/>
          <w:color w:val="auto"/>
        </w:rPr>
      </w:pPr>
      <w:r>
        <w:rPr>
          <w:rFonts w:ascii="Arial" w:cs="Arial" w:eastAsia="Arial" w:hAnsi="Arial"/>
          <w:sz w:val="18"/>
          <w:szCs w:val="18"/>
          <w:color w:val="auto"/>
        </w:rPr>
        <w:t>federal income tax on any gain realized upon the sale or other taxable disposition of our common stock unless:</w:t>
      </w:r>
    </w:p>
    <w:p>
      <w:pPr>
        <w:spacing w:after="0" w:line="212" w:lineRule="exact"/>
        <w:rPr>
          <w:sz w:val="20"/>
          <w:szCs w:val="20"/>
          <w:color w:val="auto"/>
        </w:rPr>
      </w:pPr>
    </w:p>
    <w:p>
      <w:pPr>
        <w:jc w:val="both"/>
        <w:ind w:left="1080" w:hanging="532"/>
        <w:spacing w:after="0" w:line="23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U.S. trade or business (and, if required by an applicable income tax treaty, the gain is attributable to a permanent establishment maintained by you in the U.S.), in which case you will be required to pay tax on the net gain derived from the sale under regular graduated U.S. federal income tax rates, and for a non-U.S. holder that is a corporation, such non-U.S. holder may be subject to the branch profits tax on any earnings and profits attributable to such gains at a 30% rate or such lower rate as may be specified by an applicable income tax treaty;</w:t>
      </w:r>
    </w:p>
    <w:p>
      <w:pPr>
        <w:spacing w:after="0" w:line="211" w:lineRule="exact"/>
        <w:rPr>
          <w:rFonts w:ascii="Arial" w:cs="Arial" w:eastAsia="Arial" w:hAnsi="Arial"/>
          <w:sz w:val="18"/>
          <w:szCs w:val="18"/>
          <w:color w:val="auto"/>
        </w:rPr>
      </w:pPr>
    </w:p>
    <w:p>
      <w:pPr>
        <w:ind w:left="1080" w:right="20" w:hanging="532"/>
        <w:spacing w:after="0" w:line="275"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you are an individual who is present in the United States for a period or periods aggregating 183 days or more during the taxable year in which the sale or disposition occurs and certain other conditions are met, in which case you will be required to pay a flat 30% tax on the gain derived from the sale, which tax may be offset by certain U.S. source capital losses in the taxable year of disposition (even though you are not considered a resident of the United States) (subject to applicable income tax or other treaties); or</w:t>
      </w:r>
    </w:p>
    <w:p>
      <w:pPr>
        <w:spacing w:after="0" w:line="169" w:lineRule="exact"/>
        <w:rPr>
          <w:rFonts w:ascii="Arial" w:cs="Arial" w:eastAsia="Arial" w:hAnsi="Arial"/>
          <w:sz w:val="16"/>
          <w:szCs w:val="16"/>
          <w:color w:val="auto"/>
        </w:rPr>
      </w:pPr>
    </w:p>
    <w:p>
      <w:pPr>
        <w:ind w:left="1080" w:right="20" w:hanging="532"/>
        <w:spacing w:after="0" w:line="235"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"U.S. real property holding corporation" for U.S. federal income tax purposes, or a USRPHC, at any time within the shorter of the five-year period preceding the disposition or your holding period for our common stock. We believe that we are not currently and will not become a USRPHC. However, because the determination of whether we are a USRPHC depends on the fair market value of our U.S. real property relative to the fair market value of our other real property and business assets, there can be no assurance that we will not become a USRPHC in the future. Even if we become a USRPHC, however, as long as our common stock is regularly traded on an established securities market (as determined under the Code), such common stock will be treated as U.S. real property interests only if you actually or constructively hold more than five percent of such regularly traded common stock at any time during the applicable period that is specified in the Code.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4"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generally be sent to you. Pursuant to applicable income tax treaties or other agreements, the IRS may make these reports available to tax authorities in your country of residence.</w:t>
      </w:r>
    </w:p>
    <w:p>
      <w:pPr>
        <w:spacing w:after="0" w:line="20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Payments of dividends or of proceeds on the disposition of stock made to you may be subject to additional information reporting and backup withholding at the then applicable rate unless you establish an exemption, for example by properly certifying your non-U.S. status on an IRS Form W-8BEN, IRS Form W-8BEN-E or another appropriate version of IRS Form W-8 (or a successor form). Notwithstanding the foregoing, backup withholding and information reporting may apply if either we or our paying agent has actual knowledge, or reason to know, that you are a U.S. person.</w:t>
      </w:r>
    </w:p>
    <w:p>
      <w:pPr>
        <w:spacing w:after="0" w:line="211" w:lineRule="exact"/>
        <w:rPr>
          <w:sz w:val="20"/>
          <w:szCs w:val="20"/>
          <w:color w:val="auto"/>
        </w:rPr>
      </w:pPr>
    </w:p>
    <w:p>
      <w:pPr>
        <w:jc w:val="both"/>
        <w:ind w:right="120" w:firstLine="488"/>
        <w:spacing w:after="0" w:line="238" w:lineRule="auto"/>
        <w:rPr>
          <w:sz w:val="20"/>
          <w:szCs w:val="20"/>
          <w:color w:val="auto"/>
        </w:rPr>
      </w:pPr>
      <w:r>
        <w:rPr>
          <w:rFonts w:ascii="Arial" w:cs="Arial" w:eastAsia="Arial" w:hAnsi="Arial"/>
          <w:sz w:val="18"/>
          <w:szCs w:val="18"/>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34" w:lineRule="exact"/>
        <w:rPr>
          <w:sz w:val="20"/>
          <w:szCs w:val="20"/>
          <w:color w:val="auto"/>
        </w:rPr>
      </w:pPr>
    </w:p>
    <w:p>
      <w:pPr>
        <w:ind w:firstLine="488"/>
        <w:spacing w:after="0" w:line="267" w:lineRule="auto"/>
        <w:rPr>
          <w:sz w:val="20"/>
          <w:szCs w:val="20"/>
          <w:color w:val="auto"/>
        </w:rPr>
      </w:pPr>
      <w:r>
        <w:rPr>
          <w:rFonts w:ascii="Arial" w:cs="Arial" w:eastAsia="Arial" w:hAnsi="Arial"/>
          <w:sz w:val="16"/>
          <w:szCs w:val="16"/>
          <w:color w:val="auto"/>
        </w:rPr>
        <w:t>Provisions commonly referred to as "FATCA" may impose withholding tax on certain types of payments made to "foreign financial institutions" and certain other non-U.S. entities. The legislation imposes a 30% withholding tax on dividends on, or gross proceeds from the sale or other disposition of, our common stock paid to a foreign financial institution or to certain non-financial foreign entities,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or (iii) the foreign financial institution or non-financial foreign entity otherwise qualifies for an exemption from these rules. If the payee is a foreign financial institution and is subject to the requirements in (i) above,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Under final regulations and published guidance, the obligation to withhold from payments made to a foreign financial institution or a foreign non-financial entity under the new legislation with respect to dividends on our common stock are currently in effect, but with respect to the gross proceeds of a sale or other disposition of our common stock will not begin until January 1, 2019. Prospective investors should consult their tax advisors regarding FATCA.</w:t>
      </w:r>
    </w:p>
    <w:p>
      <w:pPr>
        <w:spacing w:after="0" w:line="369" w:lineRule="exact"/>
        <w:rPr>
          <w:sz w:val="20"/>
          <w:szCs w:val="20"/>
          <w:color w:val="auto"/>
        </w:rPr>
      </w:pPr>
    </w:p>
    <w:p>
      <w:pPr>
        <w:ind w:right="420" w:firstLine="488"/>
        <w:spacing w:after="0" w:line="244" w:lineRule="auto"/>
        <w:rPr>
          <w:sz w:val="20"/>
          <w:szCs w:val="20"/>
          <w:color w:val="auto"/>
        </w:rPr>
      </w:pPr>
      <w:r>
        <w:rPr>
          <w:rFonts w:ascii="Arial" w:cs="Arial" w:eastAsia="Arial" w:hAnsi="Arial"/>
          <w:sz w:val="18"/>
          <w:szCs w:val="18"/>
          <w:b w:val="1"/>
          <w:bCs w:val="1"/>
          <w:color w:val="auto"/>
        </w:rPr>
        <w:t>The preceding discussion of U.S. federal income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right="900" w:firstLine="488"/>
        <w:spacing w:after="0" w:line="299" w:lineRule="auto"/>
        <w:rPr>
          <w:sz w:val="20"/>
          <w:szCs w:val="20"/>
          <w:color w:val="auto"/>
        </w:rPr>
      </w:pPr>
      <w:r>
        <w:rPr>
          <w:rFonts w:ascii="Arial" w:cs="Arial" w:eastAsia="Arial" w:hAnsi="Arial"/>
          <w:sz w:val="16"/>
          <w:szCs w:val="16"/>
          <w:color w:val="auto"/>
        </w:rPr>
        <w:t>Certain legal matters with respect to the securities offered by this prospectus supplement will be passed upon for us by Goodwin Procter LLP, Boston, Massachusetts. Certain legal matters will be passed upon for the underwriters by Latham &amp; Watkins LLP.</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jc w:val="both"/>
        <w:ind w:firstLine="485"/>
        <w:spacing w:after="0" w:line="237"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2015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said firm as experts in auditing and accounting.</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$250,000,000</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Blueprint Medicines 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Debt Securities</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Depositary Shares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Purchase Units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Warrants</w:t>
      </w:r>
    </w:p>
    <w:p>
      <w:pPr>
        <w:spacing w:after="0" w:line="21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may offer and sell securities from time to time in one or more offerings of up to $250,000,000 in aggregate dollar amount.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197"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300" w:firstLine="351"/>
        <w:spacing w:after="0" w:line="261" w:lineRule="auto"/>
        <w:rPr>
          <w:sz w:val="20"/>
          <w:szCs w:val="20"/>
          <w:color w:val="auto"/>
        </w:rPr>
      </w:pPr>
      <w:r>
        <w:rPr>
          <w:rFonts w:ascii="Arial" w:cs="Arial" w:eastAsia="Arial" w:hAnsi="Arial"/>
          <w:sz w:val="21"/>
          <w:szCs w:val="21"/>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4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date of this prospectus is July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8"/>
        </w:trPr>
        <w:tc>
          <w:tcPr>
            <w:tcW w:w="828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3140" w:type="dxa"/>
            <w:vAlign w:val="bottom"/>
          </w:tcPr>
          <w:p>
            <w:pPr>
              <w:spacing w:after="0"/>
              <w:rPr>
                <w:sz w:val="19"/>
                <w:szCs w:val="19"/>
                <w:color w:val="auto"/>
              </w:rPr>
            </w:pP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ABOUT THIS PROSPECTUS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1</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RISK FACTORS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2</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WHERE YOU CAN FIND MORE INFORMATION</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3</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INCORPORATION BY REFERENCE</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3</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FORWARD-LOOKING STATEMENTS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4</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BLUEPRINT MEDICINES CORPORATION</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5</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CONSOLIDATED RATIOS OF EARNINGS TO FIXED CHARGES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6</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USE OF PROCEEDS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7</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DILUTION</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8</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DESCRIPTION OF CAPITAL STOCK</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9</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DESCRIPTION OF DEBT SECURITIES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17</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DESCRIPTION OF DEPOSITARY SHARES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31</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DESCRIPTION OF PURCHASE CONTRACTS AND PURCHASE UNITS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34</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DESCRIPTION OF WARRANTS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35</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FORMS OF SECURITIES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36</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PLAN OF DISTRIBUTION</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38</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LEGAL MATTERS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41</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EXPERTS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41</w:t>
            </w:r>
          </w:p>
        </w:tc>
      </w:tr>
      <w:tr>
        <w:trPr>
          <w:trHeight w:val="120"/>
        </w:trPr>
        <w:tc>
          <w:tcPr>
            <w:tcW w:w="828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initial offering price of up to $250,000,000.</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 of this prospectus.</w:t>
      </w:r>
    </w:p>
    <w:p>
      <w:pPr>
        <w:spacing w:after="0" w:line="167" w:lineRule="exact"/>
        <w:rPr>
          <w:sz w:val="20"/>
          <w:szCs w:val="20"/>
          <w:color w:val="auto"/>
        </w:rPr>
      </w:pPr>
    </w:p>
    <w:p>
      <w:pPr>
        <w:ind w:firstLine="345"/>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2"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Unless otherwise stated, all references in this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Annual Report on Form 10-K for the fiscal year ended December 31, 2015 and any of our subsequent filings with the SEC, before making an investment decision pursuant to this prospectus and any accompanying prospectus supplement relating to a specific offering.</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 You may also read and copy any document we file at the SEC's Public Reference Room, 100 F Street, N.E., Washington, D.C. 20549. Please call the SEC at 1-800-SEC-0330 for further information on the operation of the Public Reference Room.</w:t>
      </w:r>
    </w:p>
    <w:p>
      <w:pPr>
        <w:spacing w:after="0" w:line="19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187" w:lineRule="exact"/>
        <w:rPr>
          <w:sz w:val="20"/>
          <w:szCs w:val="20"/>
          <w:color w:val="auto"/>
        </w:rPr>
      </w:pPr>
    </w:p>
    <w:p>
      <w:pPr>
        <w:ind w:left="1080" w:right="10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2015, including the information specifically incorporated by reference into the Annual Report on Form 10-K from our definitive proxy statement (other than information furnished rather than filed) for the 2016 Annual Meeting of Stockholders, which was filed with the SEC on April 28, 2016;</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March 31, 2016;</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Current Reports on Form 8-K filed on January 6, 2016, February 8, 2016, March 7, 2016, March 18, 2016 (solely with respect to Items 1.01 and 8.01) and April 15, 2016;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April 27, 2015, including any amendments or reports filed for the purpose of updating such description.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Blueprint Medicines Corporation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 Sidney Street, Suite 200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Phone: (617) 714-6674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E-mail: ir@blueprintmedicines.com</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of 1933, as amended, or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initiation, timing, progress and results of our pre-clinical studies and clinical trials, including our Phase 1 clinical trials for BLU-285 and BLU-554, and our research and development programs; our ability to advance drug candidates into, and successfully complete, clinical trials; the accuracy of our estimates regarding expenses, future revenues and capital requirements; the timing or likelihood of regulatory filings and approvals; the commercialization of our drug candidates, if approved; the pricing and reimbursement of our drug candidates, if approved; the implementation of our business model, strategic plans for our business, drug candidates and technology; the scope of protection we are able to establish and maintain for intellectual property rights covering our drug candidates and technology; estimates of our expenses, future revenues, capital requirements and our needs for additional financing; the potential benefits of our existing rare genetic disease collaboration with Alexion Pharma Holding and our existing cancer immunotherapy collaboration with F. Hoffmann-La Roche Ltd and Hoffmann-La Roche Inc., as well as our ability to enter into other strategic arrangements; our ability to maintain and establish collaborations or obtain additional grant funding; our financial performance; and developments relating to our competitors and our industry.</w:t>
      </w:r>
    </w:p>
    <w:p>
      <w:pPr>
        <w:spacing w:after="0" w:line="180"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BLUEPRINT MEDICINES CORPORATION</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to patients without adequate treatment options. This integrated biology and chemistry approach enables us to drug known kinases that have been difficult to inhibit selectively and also identify, characterize and drug novel kinase targets.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Our principal executive offices are located at 38 Sidney Street, Suite 200, Cambridge, Massachusetts 02139, and our telephone number is (617) 714-6674.</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CONSOLIDATED RATIOS OF EARNINGS TO FIXED CHARGES</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3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Year Ended</w:t>
            </w:r>
          </w:p>
        </w:tc>
        <w:tc>
          <w:tcPr>
            <w:tcW w:w="3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5"/>
          </w:tcPr>
          <w:p>
            <w:pPr>
              <w:jc w:val="center"/>
              <w:ind w:right="242"/>
              <w:spacing w:after="0" w:line="129" w:lineRule="exact"/>
              <w:rPr>
                <w:sz w:val="20"/>
                <w:szCs w:val="20"/>
                <w:color w:val="auto"/>
              </w:rPr>
            </w:pPr>
            <w:r>
              <w:rPr>
                <w:rFonts w:ascii="Arial" w:cs="Arial" w:eastAsia="Arial" w:hAnsi="Arial"/>
                <w:sz w:val="14"/>
                <w:szCs w:val="14"/>
                <w:b w:val="1"/>
                <w:bCs w:val="1"/>
                <w:color w:val="auto"/>
                <w:w w:val="85"/>
              </w:rPr>
              <w:t>December 31,</w:t>
            </w:r>
          </w:p>
        </w:tc>
      </w:tr>
      <w:tr>
        <w:trPr>
          <w:trHeight w:val="143"/>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March 31,</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2013</w:t>
            </w: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Consolidated ratios of earnings to fixed charges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N/A</w:t>
            </w:r>
          </w:p>
        </w:tc>
      </w:tr>
    </w:tbl>
    <w:p>
      <w:pPr>
        <w:spacing w:after="0" w:line="208"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For purposes of calculating the consolidated ratios of earnings to fixed charges, earnings consist of net income (loss) plus fixed charges. Fixed charges include interest expense, non-cash interest expense and the interest portion of rent expense which is deemed to be representative of the interest factor.</w:t>
      </w:r>
    </w:p>
    <w:p>
      <w:pPr>
        <w:spacing w:after="0" w:line="116" w:lineRule="exact"/>
        <w:rPr>
          <w:sz w:val="20"/>
          <w:szCs w:val="20"/>
          <w:color w:val="auto"/>
        </w:rPr>
      </w:pPr>
    </w:p>
    <w:p>
      <w:pPr>
        <w:ind w:right="640" w:firstLine="351"/>
        <w:spacing w:after="0" w:line="332" w:lineRule="auto"/>
        <w:rPr>
          <w:sz w:val="20"/>
          <w:szCs w:val="20"/>
          <w:color w:val="auto"/>
        </w:rPr>
      </w:pPr>
      <w:r>
        <w:rPr>
          <w:rFonts w:ascii="Arial" w:cs="Arial" w:eastAsia="Arial" w:hAnsi="Arial"/>
          <w:sz w:val="16"/>
          <w:szCs w:val="16"/>
          <w:color w:val="auto"/>
        </w:rPr>
        <w:t>Our earnings were insufficient to cover fixed charges by $15.5 million for the three months ended March 31, 2016, $52.8 million for the year ended December 31, 2015, $40.3 million for the year ended December 31, 2014 and $20.9 million for the year ended December 31, 2013.</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ratios of earnings to combined fixed charges and preferred stock dividends for the periods indicated above are the same as our ratios of earnings to fixed charges set forth above.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the acquisition or licensing of other drugs or drug candidates, business or technologies, repayment and refinancing of debt,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6" w:name="page47"/>
    <w:bookmarkEnd w:id="46"/>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208"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amount of the increase in such net tangible book value per share attributable to the cash payments made by the purchasers in the offering;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6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Our authorized capital stock consists of 120,000,000 shares of common stock, par value $0.001 per share, and 5,000,000 shares of preferred stock, par value $0.001 per share, all of which are undesignated. As of May 6, 2016, 27,238,661 shares of common stock were outstanding, and no shares of preferred stock were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i w:val="1"/>
          <w:iCs w:val="1"/>
          <w:color w:val="auto"/>
        </w:rPr>
        <w:t xml:space="preserve">Annual Meeting. </w:t>
      </w:r>
      <w:r>
        <w:rPr>
          <w:rFonts w:ascii="Arial" w:cs="Arial" w:eastAsia="Arial" w:hAnsi="Arial"/>
          <w:sz w:val="16"/>
          <w:szCs w:val="16"/>
          <w:color w:val="auto"/>
        </w:rPr>
        <w:t>Annual meetings of our stockholders are held on the date designated in accordance with our bylaws. Written notice must be mailed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72"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Each holder of common stock is entitled to one vote for each share held on all matters to be voted upon by stockholders.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common stock, after any preferences of holders of any preferred stock, are entitled to receive dividends when and if declared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out of legally available funds.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i w:val="1"/>
          <w:iCs w:val="1"/>
          <w:color w:val="auto"/>
        </w:rPr>
        <w:t xml:space="preserve">Liquidation and Dissolution. </w:t>
      </w:r>
      <w:r>
        <w:rPr>
          <w:rFonts w:ascii="Arial" w:cs="Arial" w:eastAsia="Arial" w:hAnsi="Arial"/>
          <w:sz w:val="16"/>
          <w:szCs w:val="16"/>
          <w:color w:val="auto"/>
        </w:rPr>
        <w:t>If we are liquidated or dissolved, the holders of the common stock will be entitled to share in our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Holders of the common stock have no right to convert the stock into any other security, have the stock redeemed or purchase additional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or to maintain their proportionate ownership interest. The common stock does not have cumulative voting rights. Holders of shares of the common stock are not required to make additional capital contributions.</w:t>
      </w:r>
    </w:p>
    <w:p>
      <w:pPr>
        <w:spacing w:after="0" w:line="194" w:lineRule="exact"/>
        <w:rPr>
          <w:sz w:val="20"/>
          <w:szCs w:val="20"/>
          <w:color w:val="auto"/>
        </w:rPr>
      </w:pPr>
    </w:p>
    <w:p>
      <w:pPr>
        <w:ind w:left="360"/>
        <w:spacing w:after="0"/>
        <w:tabs>
          <w:tab w:leader="none" w:pos="2780" w:val="left"/>
        </w:tabs>
        <w:rPr>
          <w:sz w:val="20"/>
          <w:szCs w:val="20"/>
          <w:color w:val="auto"/>
        </w:rPr>
      </w:pPr>
      <w:r>
        <w:rPr>
          <w:rFonts w:ascii="Arial" w:cs="Arial" w:eastAsia="Arial" w:hAnsi="Arial"/>
          <w:sz w:val="18"/>
          <w:szCs w:val="18"/>
          <w:i w:val="1"/>
          <w:iCs w:val="1"/>
          <w:color w:val="auto"/>
        </w:rPr>
        <w:t>NASDAQ Global Select Market.</w:t>
      </w:r>
      <w:r>
        <w:rPr>
          <w:sz w:val="20"/>
          <w:szCs w:val="20"/>
          <w:color w:val="auto"/>
        </w:rPr>
        <w:tab/>
      </w:r>
      <w:r>
        <w:rPr>
          <w:rFonts w:ascii="Arial" w:cs="Arial" w:eastAsia="Arial" w:hAnsi="Arial"/>
          <w:sz w:val="16"/>
          <w:szCs w:val="16"/>
          <w:color w:val="auto"/>
        </w:rPr>
        <w:t>Our common stock is listed on The NASDAQ Global Select Market under the trading symbol "BPMC."</w:t>
      </w:r>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Computershare Trust Company, N.A. is the transfer agent and registrar for our common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2"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 prospectus supplement relating to the particular series of preferred stock being offered for specific terms, including:</w:t>
      </w:r>
    </w:p>
    <w:p>
      <w:pPr>
        <w:spacing w:after="0" w:line="23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238"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jc w:val="both"/>
        <w:ind w:right="60" w:firstLine="341"/>
        <w:spacing w:after="0" w:line="306" w:lineRule="auto"/>
        <w:rPr>
          <w:sz w:val="20"/>
          <w:szCs w:val="20"/>
          <w:color w:val="auto"/>
        </w:rPr>
      </w:pPr>
      <w:r>
        <w:rPr>
          <w:rFonts w:ascii="Arial" w:cs="Arial" w:eastAsia="Arial" w:hAnsi="Arial"/>
          <w:sz w:val="16"/>
          <w:szCs w:val="16"/>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Rank. </w:t>
      </w:r>
      <w:r>
        <w:rPr>
          <w:rFonts w:ascii="Arial" w:cs="Arial" w:eastAsia="Arial" w:hAnsi="Arial"/>
          <w:sz w:val="18"/>
          <w:szCs w:val="18"/>
          <w:color w:val="auto"/>
        </w:rPr>
        <w:t>Unless otherwise provided in the applicable prospectus supplement, the preferred stock will, with respect to dividend rights and rights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winding up of our affairs, rank:</w:t>
      </w:r>
    </w:p>
    <w:p>
      <w:pPr>
        <w:spacing w:after="0" w:line="199" w:lineRule="exact"/>
        <w:rPr>
          <w:sz w:val="20"/>
          <w:szCs w:val="20"/>
          <w:color w:val="auto"/>
        </w:rPr>
      </w:pPr>
    </w:p>
    <w:p>
      <w:pPr>
        <w:ind w:left="1080" w:right="3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212"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Holders of the preferred stock of each series will be entitled to receive, when, as and if declared by our board of directors, cash dividends at</w:t>
      </w:r>
      <w:r>
        <w:rPr>
          <w:rFonts w:ascii="Arial" w:cs="Arial" w:eastAsia="Arial" w:hAnsi="Arial"/>
          <w:sz w:val="16"/>
          <w:szCs w:val="16"/>
          <w:i w:val="1"/>
          <w:iCs w:val="1"/>
          <w:color w:val="auto"/>
        </w:rPr>
        <w:t xml:space="preserve"> </w:t>
      </w:r>
      <w:r>
        <w:rPr>
          <w:rFonts w:ascii="Arial" w:cs="Arial" w:eastAsia="Arial" w:hAnsi="Arial"/>
          <w:sz w:val="16"/>
          <w:szCs w:val="16"/>
          <w:color w:val="auto"/>
        </w:rPr>
        <w:t>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70"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Upon any voluntary or involuntary liquidation, dissolution or winding up of our affairs, then, before we make any distribution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ind w:right="20"/>
        <w:spacing w:after="0" w:line="253" w:lineRule="auto"/>
        <w:rPr>
          <w:sz w:val="20"/>
          <w:szCs w:val="20"/>
          <w:color w:val="auto"/>
        </w:rPr>
      </w:pPr>
      <w:r>
        <w:rPr>
          <w:rFonts w:ascii="Arial" w:cs="Arial" w:eastAsia="Arial" w:hAnsi="Arial"/>
          <w:sz w:val="18"/>
          <w:szCs w:val="18"/>
          <w:color w:val="auto"/>
        </w:rPr>
        <w:t>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9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9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If so provided in the applicable prospectus supplement, the preferred stock will be subject to mandatory redemption or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as a whole or in part, in each case upon the terms, at the times and at the redemption prices set forth in such prospectus supplement.</w:t>
      </w:r>
    </w:p>
    <w:p>
      <w:pPr>
        <w:spacing w:after="0" w:line="13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187" w:lineRule="exact"/>
        <w:rPr>
          <w:sz w:val="20"/>
          <w:szCs w:val="20"/>
          <w:color w:val="auto"/>
        </w:rPr>
      </w:pPr>
    </w:p>
    <w:p>
      <w:pPr>
        <w:ind w:left="1080" w:right="12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166"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239" w:lineRule="exact"/>
        <w:rPr>
          <w:sz w:val="20"/>
          <w:szCs w:val="20"/>
          <w:color w:val="auto"/>
        </w:rPr>
      </w:pPr>
    </w:p>
    <w:p>
      <w:pPr>
        <w:ind w:left="1080" w:right="2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94"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166"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specific number of shares to be redeemed from each such holder if fewer than all the shares of any series are to be redeemed.</w:t>
      </w:r>
    </w:p>
    <w:p>
      <w:pPr>
        <w:spacing w:after="0" w:line="248"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94"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Holders of preferred stock will not have any voting rights, except as required by law or as indicated in the applicable prospectus supplement.</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The terms and conditions, if any, upon which any series of preferred stock is convertible into our common stock will be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52" w:name="page53"/>
    <w:bookmarkEnd w:id="52"/>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preferred stock will be set forth in the applicable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entered into a second amended and restated investors' rights agreement, dated as of November 7, 2014, which we refer to as the Investors' Rights Agreement, with the holders of shares of our common stock. 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 on Form S-1 within 60 days before or 180 days following any offering of our securities or a requested registration on Form S-3 within 30 days before or 90 days following any offering of our securities. The registration rights will terminate upon the later of the date on which all registrable shares have been sold and May 5, 2020.</w:t>
      </w:r>
    </w:p>
    <w:p>
      <w:pPr>
        <w:spacing w:after="0" w:line="172"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The holders of at least a majority of our registrable shares may require us to file a registration statement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of 1933, as amended, or the Securities Act, on a Form S-1 or Form S-3, if available, at our expense with respect to the resale of their registrable shares, and we are required to use our best efforts to effect the registration.</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propose to register any of our securities under the Securities Act for our own account or the account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will pay all registration expenses, other than underwriting discounts and commissions, related to any demand or piggyback registration.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Law That May Have Anti-takeover Effects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9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Board Composition and Filling Vacancies. </w:t>
      </w:r>
      <w:r>
        <w:rPr>
          <w:rFonts w:ascii="Arial" w:cs="Arial" w:eastAsia="Arial" w:hAnsi="Arial"/>
          <w:sz w:val="18"/>
          <w:szCs w:val="18"/>
          <w:color w:val="auto"/>
        </w:rPr>
        <w:t>In accordance with our certificate of incorporation, our board is divided into three classes serving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97"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i w:val="1"/>
          <w:iCs w:val="1"/>
          <w:color w:val="auto"/>
        </w:rPr>
        <w:t xml:space="preserve">No Written Consent of Stockholders. </w:t>
      </w:r>
      <w:r>
        <w:rPr>
          <w:rFonts w:ascii="Arial" w:cs="Arial" w:eastAsia="Arial" w:hAnsi="Arial"/>
          <w:sz w:val="16"/>
          <w:szCs w:val="16"/>
          <w:color w:val="auto"/>
        </w:rPr>
        <w:t>Our certificate of incorporation provides that all stockholder actions are required to be taken by a vote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at an annual or special meeting, and that stockholders may not take any action by written consent in lieu of a meeting.</w:t>
      </w:r>
    </w:p>
    <w:p>
      <w:pPr>
        <w:spacing w:after="0" w:line="139"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i w:val="1"/>
          <w:iCs w:val="1"/>
          <w:color w:val="auto"/>
        </w:rPr>
        <w:t xml:space="preserve">Meetings of Stockholders. </w:t>
      </w:r>
      <w:r>
        <w:rPr>
          <w:rFonts w:ascii="Arial" w:cs="Arial" w:eastAsia="Arial" w:hAnsi="Arial"/>
          <w:sz w:val="16"/>
          <w:szCs w:val="16"/>
          <w:color w:val="auto"/>
        </w:rPr>
        <w:t>Our bylaws provide that only a majority of the members of our board of directors then in office may call special meetings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6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i w:val="1"/>
          <w:iCs w:val="1"/>
          <w:color w:val="auto"/>
        </w:rPr>
        <w:t xml:space="preserve">Advance Notice Requirements. </w:t>
      </w:r>
      <w:r>
        <w:rPr>
          <w:rFonts w:ascii="Arial" w:cs="Arial" w:eastAsia="Arial" w:hAnsi="Arial"/>
          <w:sz w:val="16"/>
          <w:szCs w:val="16"/>
          <w:color w:val="auto"/>
        </w:rPr>
        <w:t>Our bylaws establish advance notice procedures with regard to stockholder proposals relating to the nomination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7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i w:val="1"/>
          <w:iCs w:val="1"/>
          <w:color w:val="auto"/>
        </w:rPr>
        <w:t xml:space="preserve">Amendment to Certificate of Incorporation and Bylaws. </w:t>
      </w:r>
      <w:r>
        <w:rPr>
          <w:rFonts w:ascii="Arial" w:cs="Arial" w:eastAsia="Arial" w:hAnsi="Arial"/>
          <w:sz w:val="16"/>
          <w:szCs w:val="16"/>
          <w:color w:val="auto"/>
        </w:rPr>
        <w:t>As required by the Delaware General Corporation Law, any amendment of our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Blank Check Preferred Stock. </w:t>
      </w:r>
      <w:r>
        <w:rPr>
          <w:rFonts w:ascii="Arial" w:cs="Arial" w:eastAsia="Arial" w:hAnsi="Arial"/>
          <w:sz w:val="16"/>
          <w:szCs w:val="16"/>
          <w:color w:val="auto"/>
        </w:rPr>
        <w:t>Our certificate of incorporation provides for 5,000,000 authorized shares of preferred stock. The existence of authorized but</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Section 203 of the Delaware General Corporation Law. </w:t>
      </w:r>
      <w:r>
        <w:rPr>
          <w:rFonts w:ascii="Arial" w:cs="Arial" w:eastAsia="Arial" w:hAnsi="Arial"/>
          <w:sz w:val="16"/>
          <w:szCs w:val="16"/>
          <w:color w:val="auto"/>
        </w:rPr>
        <w:t>We are subject to the provisions of Section 203 of the Delaware General Corporation Law.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86" w:lineRule="exact"/>
        <w:rPr>
          <w:sz w:val="20"/>
          <w:szCs w:val="20"/>
          <w:color w:val="auto"/>
        </w:rPr>
      </w:pPr>
    </w:p>
    <w:p>
      <w:pPr>
        <w:ind w:left="1080" w:right="1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212" w:lineRule="exact"/>
        <w:rPr>
          <w:rFonts w:ascii="Arial" w:cs="Arial" w:eastAsia="Arial" w:hAnsi="Arial"/>
          <w:sz w:val="18"/>
          <w:szCs w:val="18"/>
          <w:color w:val="auto"/>
        </w:rPr>
      </w:pPr>
    </w:p>
    <w:p>
      <w:pPr>
        <w:jc w:val="both"/>
        <w:ind w:left="1080" w:right="320" w:hanging="532"/>
        <w:spacing w:after="0" w:line="306"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74"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94"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6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Exclusive Jurisdiction of Certain Actions. </w:t>
      </w:r>
      <w:r>
        <w:rPr>
          <w:rFonts w:ascii="Arial" w:cs="Arial" w:eastAsia="Arial" w:hAnsi="Arial"/>
          <w:sz w:val="18"/>
          <w:szCs w:val="18"/>
          <w:color w:val="auto"/>
        </w:rPr>
        <w:t>Our certificate of incorporation requires, to the fullest extent permitted by law, that derivative actions brought in</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Blueprint Medicines Corporation excluding, unless the context otherwise requires or as otherwise expressly stated, our subsidiaries.</w:t>
      </w:r>
    </w:p>
    <w:p>
      <w:pPr>
        <w:spacing w:after="0" w:line="170"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indentures:</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allow us to reopen a series to issue additional debt securities without the consent of the holders of the debt securities of such series;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jc w:val="both"/>
        <w:ind w:right="180"/>
        <w:spacing w:after="0" w:line="370" w:lineRule="auto"/>
        <w:rPr>
          <w:sz w:val="20"/>
          <w:szCs w:val="20"/>
          <w:color w:val="auto"/>
        </w:rPr>
      </w:pPr>
      <w:r>
        <w:rPr>
          <w:rFonts w:ascii="Arial" w:cs="Arial" w:eastAsia="Arial" w:hAnsi="Arial"/>
          <w:sz w:val="15"/>
          <w:szCs w:val="15"/>
          <w:color w:val="auto"/>
        </w:rPr>
        <w:t>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252"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29" w:lineRule="exact"/>
        <w:rPr>
          <w:rFonts w:ascii="Arial" w:cs="Arial" w:eastAsia="Arial" w:hAnsi="Arial"/>
          <w:sz w:val="15"/>
          <w:szCs w:val="15"/>
          <w:color w:val="auto"/>
        </w:rPr>
      </w:pPr>
    </w:p>
    <w:p>
      <w:pPr>
        <w:ind w:left="1080" w:right="60" w:hanging="532"/>
        <w:spacing w:after="0" w:line="256"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210"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238"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ind w:left="540" w:right="280" w:hanging="532"/>
        <w:spacing w:after="0" w:line="25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221" w:lineRule="exact"/>
        <w:rPr>
          <w:rFonts w:ascii="Arial" w:cs="Arial" w:eastAsia="Arial" w:hAnsi="Arial"/>
          <w:sz w:val="18"/>
          <w:szCs w:val="18"/>
          <w:color w:val="auto"/>
        </w:rPr>
      </w:pPr>
    </w:p>
    <w:p>
      <w:pPr>
        <w:jc w:val="both"/>
        <w:ind w:left="540" w:right="240" w:hanging="532"/>
        <w:spacing w:after="0" w:line="25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207"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207"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212" w:lineRule="exact"/>
        <w:rPr>
          <w:rFonts w:ascii="Arial" w:cs="Arial" w:eastAsia="Arial" w:hAnsi="Arial"/>
          <w:sz w:val="18"/>
          <w:szCs w:val="18"/>
          <w:color w:val="auto"/>
        </w:rPr>
      </w:pPr>
    </w:p>
    <w:p>
      <w:pPr>
        <w:ind w:left="540" w:right="180" w:hanging="532"/>
        <w:spacing w:after="0" w:line="305"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w:t>
      </w:r>
    </w:p>
    <w:p>
      <w:pPr>
        <w:ind w:left="540" w:right="20" w:firstLine="8"/>
        <w:spacing w:after="0" w:line="261" w:lineRule="auto"/>
        <w:tabs>
          <w:tab w:leader="none" w:pos="798"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in bearer form, the manner in which, or the person to whom, any interest on the security shall be payable if otherwise than upon presentation and surrender upon maturity;</w:t>
      </w:r>
    </w:p>
    <w:p>
      <w:pPr>
        <w:spacing w:after="0" w:line="205" w:lineRule="exact"/>
        <w:rPr>
          <w:rFonts w:ascii="Arial" w:cs="Arial" w:eastAsia="Arial" w:hAnsi="Arial"/>
          <w:sz w:val="18"/>
          <w:szCs w:val="18"/>
          <w:color w:val="auto"/>
        </w:rPr>
      </w:pPr>
    </w:p>
    <w:p>
      <w:pPr>
        <w:ind w:left="540" w:right="40" w:hanging="532"/>
        <w:spacing w:after="0" w:line="332"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52" w:lineRule="exact"/>
        <w:rPr>
          <w:rFonts w:ascii="Arial" w:cs="Arial" w:eastAsia="Arial" w:hAnsi="Arial"/>
          <w:sz w:val="16"/>
          <w:szCs w:val="16"/>
          <w:color w:val="auto"/>
        </w:rPr>
      </w:pPr>
    </w:p>
    <w:p>
      <w:pPr>
        <w:jc w:val="both"/>
        <w:ind w:left="540" w:hanging="532"/>
        <w:spacing w:after="0" w:line="335"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69" w:lineRule="exact"/>
        <w:rPr>
          <w:rFonts w:ascii="Arial" w:cs="Arial" w:eastAsia="Arial" w:hAnsi="Arial"/>
          <w:sz w:val="15"/>
          <w:szCs w:val="15"/>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275" w:lineRule="exact"/>
        <w:rPr>
          <w:rFonts w:ascii="Arial" w:cs="Arial" w:eastAsia="Arial" w:hAnsi="Arial"/>
          <w:sz w:val="16"/>
          <w:szCs w:val="16"/>
          <w:color w:val="auto"/>
        </w:rPr>
      </w:pPr>
    </w:p>
    <w:p>
      <w:pPr>
        <w:ind w:left="540" w:right="980" w:hanging="532"/>
        <w:spacing w:after="0" w:line="332"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52"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199" w:lineRule="exact"/>
        <w:rPr>
          <w:rFonts w:ascii="Arial" w:cs="Arial" w:eastAsia="Arial" w:hAnsi="Arial"/>
          <w:sz w:val="18"/>
          <w:szCs w:val="18"/>
          <w:color w:val="auto"/>
        </w:rPr>
      </w:pPr>
    </w:p>
    <w:p>
      <w:pPr>
        <w:ind w:left="540" w:right="60" w:hanging="532"/>
        <w:spacing w:after="0" w:line="25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58" w:name="page59"/>
    <w:bookmarkEnd w:id="58"/>
    <w:p>
      <w:pPr>
        <w:ind w:left="1080" w:right="6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6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9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6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at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t>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94"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99" w:lineRule="exact"/>
        <w:rPr>
          <w:sz w:val="20"/>
          <w:szCs w:val="20"/>
          <w:color w:val="auto"/>
        </w:rPr>
      </w:pPr>
    </w:p>
    <w:p>
      <w:pPr>
        <w:ind w:left="108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we, nor any trustee, will be required to:</w:t>
      </w:r>
    </w:p>
    <w:p>
      <w:pPr>
        <w:spacing w:after="0" w:line="239" w:lineRule="exact"/>
        <w:rPr>
          <w:sz w:val="20"/>
          <w:szCs w:val="20"/>
          <w:color w:val="auto"/>
        </w:rPr>
      </w:pPr>
    </w:p>
    <w:p>
      <w:pPr>
        <w:ind w:left="1080" w:right="4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99" w:lineRule="exact"/>
        <w:rPr>
          <w:sz w:val="20"/>
          <w:szCs w:val="20"/>
          <w:color w:val="auto"/>
        </w:rPr>
      </w:pPr>
    </w:p>
    <w:p>
      <w:pPr>
        <w:jc w:val="both"/>
        <w:ind w:left="1080" w:right="4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Covenants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591" w:lineRule="exact"/>
        <w:rPr>
          <w:sz w:val="20"/>
          <w:szCs w:val="20"/>
          <w:color w:val="auto"/>
        </w:rPr>
      </w:pPr>
    </w:p>
    <w:p>
      <w:pPr>
        <w:sectPr>
          <w:pgSz w:w="11900" w:h="16838" w:orient="portrait"/>
          <w:cols w:equalWidth="0" w:num="2">
            <w:col w:w="800" w:space="280"/>
            <w:col w:w="10340"/>
          </w:cols>
          <w:pgMar w:left="240" w:top="125" w:right="239" w:bottom="1440" w:gutter="0" w:footer="0" w:header="0"/>
          <w:type w:val="continuous"/>
        </w:sectPr>
      </w:pPr>
    </w:p>
    <w:p>
      <w:pPr>
        <w:spacing w:after="0" w:line="6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Existence. </w:t>
      </w:r>
      <w:r>
        <w:rPr>
          <w:rFonts w:ascii="Arial" w:cs="Arial" w:eastAsia="Arial" w:hAnsi="Arial"/>
          <w:sz w:val="18"/>
          <w:szCs w:val="18"/>
          <w:color w:val="auto"/>
        </w:rPr>
        <w:t>Except as described under "—Merger, Consolidation or Sale of Assets," the indentures require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Payment of taxes and other claims. </w:t>
      </w:r>
      <w:r>
        <w:rPr>
          <w:rFonts w:ascii="Arial" w:cs="Arial" w:eastAsia="Arial" w:hAnsi="Arial"/>
          <w:sz w:val="18"/>
          <w:szCs w:val="18"/>
          <w:color w:val="auto"/>
        </w:rPr>
        <w:t>The indentures require us to pay, discharge or cause to be paid or discharged, before they become delinquent (i) all</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assessments and governmental charges levied or imposed on us, our subsidiaries or our subsidiaries' income, profits or property, and (ii)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Provision of financial information. </w:t>
      </w:r>
      <w:r>
        <w:rPr>
          <w:rFonts w:ascii="Arial" w:cs="Arial" w:eastAsia="Arial" w:hAnsi="Arial"/>
          <w:sz w:val="16"/>
          <w:szCs w:val="16"/>
          <w:color w:val="auto"/>
        </w:rPr>
        <w:t>The indentures require us to (i) within 15 days of each of the respective dates by which we are required to file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172"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Additional covenants.</w:t>
      </w:r>
      <w:r>
        <w:rPr>
          <w:sz w:val="20"/>
          <w:szCs w:val="20"/>
          <w:color w:val="auto"/>
        </w:rPr>
        <w:tab/>
      </w:r>
      <w:r>
        <w:rPr>
          <w:rFonts w:ascii="Arial" w:cs="Arial" w:eastAsia="Arial" w:hAnsi="Arial"/>
          <w:sz w:val="15"/>
          <w:szCs w:val="15"/>
          <w:color w:val="auto"/>
        </w:rPr>
        <w:t>The applicable prospectus supplement will set forth any additional covenants relating to any series of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19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238"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22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 (i) having an aggregate principal amount of at least $30,000,000; or (ii) under which there may be issued, secured or evidenced any existing or later created indebtedness for money borrowed by us or our subsidiaries, if we are directly responsible or liable as obligor or guarantor,</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83"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bankruptcy, insolvency or reorganization, or court appointment of a receiver, liquidator or trustee of us or any significant subsidiary of ours;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99" w:lineRule="exact"/>
        <w:rPr>
          <w:sz w:val="20"/>
          <w:szCs w:val="20"/>
          <w:color w:val="auto"/>
        </w:rPr>
      </w:pPr>
    </w:p>
    <w:p>
      <w:pPr>
        <w:ind w:left="1080" w:right="10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2" w:name="page63"/>
    <w:bookmarkEnd w:id="62"/>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221"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70"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97"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208" w:lineRule="exact"/>
        <w:rPr>
          <w:sz w:val="20"/>
          <w:szCs w:val="20"/>
          <w:color w:val="auto"/>
        </w:rPr>
      </w:pPr>
    </w:p>
    <w:p>
      <w:pPr>
        <w:ind w:left="1080" w:right="3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199" w:lineRule="exact"/>
        <w:rPr>
          <w:rFonts w:ascii="Arial" w:cs="Arial" w:eastAsia="Arial" w:hAnsi="Arial"/>
          <w:sz w:val="18"/>
          <w:szCs w:val="18"/>
          <w:color w:val="auto"/>
        </w:rPr>
      </w:pPr>
    </w:p>
    <w:p>
      <w:pPr>
        <w:ind w:left="1080" w:right="620" w:hanging="532"/>
        <w:spacing w:after="0" w:line="370" w:lineRule="auto"/>
        <w:tabs>
          <w:tab w:leader="none" w:pos="10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29" w:lineRule="exact"/>
        <w:rPr>
          <w:rFonts w:ascii="Arial" w:cs="Arial" w:eastAsia="Arial" w:hAnsi="Arial"/>
          <w:sz w:val="15"/>
          <w:szCs w:val="15"/>
          <w:color w:val="auto"/>
        </w:rPr>
      </w:pPr>
    </w:p>
    <w:p>
      <w:pPr>
        <w:ind w:left="1080" w:right="1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94"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3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213"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252" w:lineRule="exact"/>
        <w:rPr>
          <w:rFonts w:ascii="Arial" w:cs="Arial" w:eastAsia="Arial" w:hAnsi="Arial"/>
          <w:sz w:val="18"/>
          <w:szCs w:val="18"/>
          <w:color w:val="auto"/>
        </w:rPr>
      </w:pPr>
    </w:p>
    <w:p>
      <w:pPr>
        <w:jc w:val="both"/>
        <w:ind w:left="1080" w:right="160" w:hanging="532"/>
        <w:spacing w:after="0" w:line="306"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174"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99" w:lineRule="exact"/>
        <w:rPr>
          <w:rFonts w:ascii="Arial" w:cs="Arial" w:eastAsia="Arial" w:hAnsi="Arial"/>
          <w:sz w:val="18"/>
          <w:szCs w:val="18"/>
          <w:color w:val="auto"/>
        </w:rPr>
      </w:pPr>
    </w:p>
    <w:p>
      <w:pPr>
        <w:ind w:left="1080" w:right="240" w:hanging="532"/>
        <w:spacing w:after="0" w:line="370" w:lineRule="auto"/>
        <w:tabs>
          <w:tab w:leader="none" w:pos="10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43" w:lineRule="exact"/>
        <w:rPr>
          <w:sz w:val="20"/>
          <w:szCs w:val="20"/>
          <w:color w:val="auto"/>
        </w:rPr>
      </w:pPr>
    </w:p>
    <w:p>
      <w:pPr>
        <w:ind w:left="1080" w:right="140" w:hanging="532"/>
        <w:spacing w:after="0" w:line="33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52" w:lineRule="exact"/>
        <w:rPr>
          <w:rFonts w:ascii="Arial" w:cs="Arial" w:eastAsia="Arial" w:hAnsi="Arial"/>
          <w:sz w:val="16"/>
          <w:szCs w:val="16"/>
          <w:color w:val="auto"/>
        </w:rPr>
      </w:pPr>
    </w:p>
    <w:p>
      <w:pPr>
        <w:jc w:val="both"/>
        <w:ind w:left="1080" w:right="300" w:hanging="532"/>
        <w:spacing w:after="0" w:line="335" w:lineRule="auto"/>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55"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debt securities owned by us or any other obligor upon the debt securities or by any affiliate of ours or of such other obligor shall be disregarded.</w:t>
      </w:r>
    </w:p>
    <w:p>
      <w:pPr>
        <w:spacing w:after="0" w:line="24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98"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5" w:name="page66"/>
    <w:bookmarkEnd w:id="65"/>
    <w:p>
      <w:pPr>
        <w:ind w:firstLine="341"/>
        <w:spacing w:after="0" w:line="298" w:lineRule="auto"/>
        <w:rPr>
          <w:sz w:val="20"/>
          <w:szCs w:val="20"/>
          <w:color w:val="auto"/>
        </w:rPr>
      </w:pPr>
      <w:r>
        <w:rPr>
          <w:rFonts w:ascii="Arial" w:cs="Arial" w:eastAsia="Arial" w:hAnsi="Arial"/>
          <w:sz w:val="16"/>
          <w:szCs w:val="16"/>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67"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56"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provided in the applicable prospectus supplement, subordinated debt securities will be subject to the following subordination provisions.</w:t>
      </w:r>
    </w:p>
    <w:p>
      <w:pPr>
        <w:spacing w:after="0" w:line="24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and our subsidiaries. As a result of these subordination provisions, in the event of a distribution of assets upon insolvency, holders of subordinated debt securities may recover less, ratably, than our general creditors.</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199" w:lineRule="exact"/>
        <w:rPr>
          <w:sz w:val="20"/>
          <w:szCs w:val="20"/>
          <w:color w:val="auto"/>
        </w:rPr>
      </w:pPr>
    </w:p>
    <w:p>
      <w:pPr>
        <w:ind w:left="1080" w:hanging="532"/>
        <w:spacing w:after="0" w:line="25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22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83"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252"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94"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7" w:name="page68"/>
    <w:bookmarkEnd w:id="67"/>
    <w:p>
      <w:pPr>
        <w:ind w:left="36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239" w:lineRule="exact"/>
        <w:rPr>
          <w:sz w:val="20"/>
          <w:szCs w:val="20"/>
          <w:color w:val="auto"/>
        </w:rPr>
      </w:pPr>
    </w:p>
    <w:p>
      <w:pPr>
        <w:ind w:left="1080" w:right="3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212" w:lineRule="exact"/>
        <w:rPr>
          <w:rFonts w:ascii="Arial" w:cs="Arial" w:eastAsia="Arial" w:hAnsi="Arial"/>
          <w:sz w:val="18"/>
          <w:szCs w:val="18"/>
          <w:color w:val="auto"/>
        </w:rPr>
      </w:pPr>
    </w:p>
    <w:p>
      <w:pPr>
        <w:ind w:left="1080" w:right="60" w:hanging="532"/>
        <w:spacing w:after="0" w:line="289"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239" w:lineRule="exact"/>
        <w:rPr>
          <w:sz w:val="20"/>
          <w:szCs w:val="20"/>
          <w:color w:val="auto"/>
        </w:rPr>
      </w:pPr>
    </w:p>
    <w:p>
      <w:pPr>
        <w:ind w:left="1080" w:right="66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3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default. However, the issuing company would remain liable to make payments of any amounts due at the time of acceleration.</w:t>
      </w:r>
    </w:p>
    <w:p>
      <w:pPr>
        <w:spacing w:after="0" w:line="225"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Recourse</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jc w:val="center"/>
        <w:ind w:right="40"/>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applicable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54"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39"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31" w:lineRule="exact"/>
        <w:rPr>
          <w:sz w:val="20"/>
          <w:szCs w:val="20"/>
          <w:color w:val="auto"/>
        </w:rPr>
      </w:pPr>
    </w:p>
    <w:p>
      <w:pPr>
        <w:ind w:right="540" w:firstLine="351"/>
        <w:spacing w:after="0" w:line="306" w:lineRule="auto"/>
        <w:rPr>
          <w:sz w:val="20"/>
          <w:szCs w:val="20"/>
          <w:color w:val="auto"/>
        </w:rPr>
      </w:pPr>
      <w:r>
        <w:rPr>
          <w:rFonts w:ascii="Arial" w:cs="Arial" w:eastAsia="Arial" w:hAnsi="Arial"/>
          <w:sz w:val="16"/>
          <w:szCs w:val="16"/>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ind w:right="40"/>
        <w:spacing w:after="0" w:line="306" w:lineRule="auto"/>
        <w:rPr>
          <w:sz w:val="20"/>
          <w:szCs w:val="20"/>
          <w:color w:val="auto"/>
        </w:rPr>
      </w:pPr>
      <w:r>
        <w:rPr>
          <w:rFonts w:ascii="Arial" w:cs="Arial" w:eastAsia="Arial" w:hAnsi="Arial"/>
          <w:sz w:val="16"/>
          <w:szCs w:val="16"/>
          <w:color w:val="auto"/>
        </w:rPr>
        <w:t>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74" w:lineRule="exact"/>
        <w:rPr>
          <w:sz w:val="20"/>
          <w:szCs w:val="20"/>
          <w:color w:val="auto"/>
        </w:rPr>
      </w:pPr>
    </w:p>
    <w:p>
      <w:pPr>
        <w:ind w:right="480" w:firstLine="341"/>
        <w:spacing w:after="0" w:line="306" w:lineRule="auto"/>
        <w:rPr>
          <w:sz w:val="20"/>
          <w:szCs w:val="20"/>
          <w:color w:val="auto"/>
        </w:rPr>
      </w:pPr>
      <w:r>
        <w:rPr>
          <w:rFonts w:ascii="Arial" w:cs="Arial" w:eastAsia="Arial" w:hAnsi="Arial"/>
          <w:sz w:val="16"/>
          <w:szCs w:val="16"/>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Preferred Stock</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211"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issue purchase contracts, including contracts obligating holders to purchase from or sell to us, and obligating us to sell to or purchase from the holders, a specified number of shares of our common stock, preferred stock or depositary shares at a future date or dates, which we refer to in this prospectus as purchase contracts. The price per share of common stock, preferred stock or depositary shares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preferred stock or depositary shares under the purchase contracts.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applicable prospectus supplement will describe the terms of the purchase contracts and purchase units, including, if applicable, collateral or depositary arrangements.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may issue warrants to purchase debt securities, common stock, preferred stock or depositary shares. We may offer warrants separately or together with one or more additional warrants, debt securities, common stock, preferred stock or depositary shares,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210"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proposed listing, if any, of the warrants or any securities purchasable upon exercise of the warrants on any securities exchange;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designation, aggregate principal amount, currency and terms of any debt securities that may be purchased upon exercise of the warrants;</w:t>
      </w:r>
    </w:p>
    <w:p>
      <w:pPr>
        <w:spacing w:after="0" w:line="275"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common stock, preferred stock or depositary shares with which the warrants are issued and, the number of warrants issued with each security;</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common stock, preferred stock or depositary shares will be separately transferable;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shares of common stock, the number of shares of preferred stock or the number of depositary shares purchasable upon exercise of a warrant and the price at which those shares may be purchased;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FORMS OF SECURITIES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Each debt security, depositary share, purchase contract, purchase unit and warrant will be represented either by a certificate issued in definitive form to a particular investor or by one or more global securities representing the entire issuance of securities. Unless otherwise provided in the applicable prospectus supplement,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purchase contracts, purchase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may issue the registered debt securities, depositary shares, purchase contracts, purchase units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72"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deposit agreement, purchase contract, warrant agreement or purchase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deposit agreement,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5" w:name="page76"/>
    <w:bookmarkEnd w:id="75"/>
    <w:p>
      <w:pPr>
        <w:spacing w:after="0" w:line="289" w:lineRule="auto"/>
        <w:rPr>
          <w:sz w:val="20"/>
          <w:szCs w:val="20"/>
          <w:color w:val="auto"/>
        </w:rPr>
      </w:pPr>
      <w:r>
        <w:rPr>
          <w:rFonts w:ascii="Arial" w:cs="Arial" w:eastAsia="Arial" w:hAnsi="Arial"/>
          <w:sz w:val="16"/>
          <w:szCs w:val="16"/>
          <w:color w:val="auto"/>
        </w:rPr>
        <w:t>purchase contract, purchase unit agreement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deposit agreement, purchase contract, purchase unit agreement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deposit agreement, purchase contract, purchase unit agreement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purchase agreements or purchase units, represented by a registered global security registered in the name of a depositary or its nominee will be made to the depositary or its nominee, as the case may be, as the registered owner of the registered global security. None of us, the trustees, the warrant agents, the unit agents or any other agent of ours,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74"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the depositary for any of the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w:t>
      </w:r>
    </w:p>
    <w:p>
      <w:pPr>
        <w:spacing w:after="0" w:line="23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directly to one or more other purchasers in negotiated sales or competitively bid transactions;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directly solicit offers to purchase securities, or agents may be designated to solicit such offers. We will, in the prospectus supplement relating to such offering, name any agent that could be viewed as an underwriter under the Securities Act of 1933, as amended, or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19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77" w:name="page78"/>
    <w:bookmarkEnd w:id="77"/>
    <w:p>
      <w:pPr>
        <w:ind w:right="260" w:firstLine="351"/>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9"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6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8" w:lineRule="exact"/>
        <w:rPr>
          <w:sz w:val="20"/>
          <w:szCs w:val="20"/>
          <w:color w:val="auto"/>
        </w:rPr>
      </w:pPr>
    </w:p>
    <w:p>
      <w:pPr>
        <w:ind w:left="1080" w:right="40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4"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1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jc w:val="both"/>
        <w:spacing w:after="0" w:line="306" w:lineRule="auto"/>
        <w:rPr>
          <w:sz w:val="20"/>
          <w:szCs w:val="20"/>
          <w:color w:val="auto"/>
        </w:rPr>
      </w:pPr>
      <w:r>
        <w:rPr>
          <w:rFonts w:ascii="Arial" w:cs="Arial" w:eastAsia="Arial" w:hAnsi="Arial"/>
          <w:sz w:val="16"/>
          <w:szCs w:val="16"/>
          <w:color w:val="auto"/>
        </w:rPr>
        <w:t>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6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2015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$125,000,000</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144780</wp:posOffset>
            </wp:positionV>
            <wp:extent cx="3498850" cy="1183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9885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33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24"/>
                <w:szCs w:val="24"/>
                <w:b w:val="1"/>
                <w:bCs w:val="1"/>
                <w:color w:val="auto"/>
              </w:rPr>
              <w:t>PROSPECTUS SUPPLEMENT</w:t>
            </w:r>
          </w:p>
        </w:tc>
        <w:tc>
          <w:tcPr>
            <w:tcW w:w="3240" w:type="dxa"/>
            <w:vAlign w:val="bottom"/>
          </w:tcPr>
          <w:p>
            <w:pPr>
              <w:spacing w:after="0"/>
              <w:rPr>
                <w:sz w:val="24"/>
                <w:szCs w:val="24"/>
                <w:color w:val="auto"/>
              </w:rPr>
            </w:pPr>
          </w:p>
        </w:tc>
      </w:tr>
      <w:tr>
        <w:trPr>
          <w:trHeight w:val="461"/>
        </w:trPr>
        <w:tc>
          <w:tcPr>
            <w:tcW w:w="3320" w:type="dxa"/>
            <w:vAlign w:val="bottom"/>
          </w:tcPr>
          <w:p>
            <w:pPr>
              <w:spacing w:after="0"/>
              <w:rPr>
                <w:sz w:val="20"/>
                <w:szCs w:val="20"/>
                <w:color w:val="auto"/>
              </w:rPr>
            </w:pPr>
            <w:r>
              <w:rPr>
                <w:rFonts w:ascii="Arial" w:cs="Arial" w:eastAsia="Arial" w:hAnsi="Arial"/>
                <w:sz w:val="24"/>
                <w:szCs w:val="24"/>
                <w:b w:val="1"/>
                <w:bCs w:val="1"/>
                <w:color w:val="auto"/>
              </w:rPr>
              <w:t>Goldman, Sachs &amp; Co.</w:t>
            </w:r>
          </w:p>
        </w:tc>
        <w:tc>
          <w:tcPr>
            <w:tcW w:w="4860" w:type="dxa"/>
            <w:vAlign w:val="bottom"/>
          </w:tcPr>
          <w:p>
            <w:pPr>
              <w:ind w:left="1560"/>
              <w:spacing w:after="0"/>
              <w:rPr>
                <w:sz w:val="20"/>
                <w:szCs w:val="20"/>
                <w:color w:val="auto"/>
              </w:rPr>
            </w:pPr>
            <w:r>
              <w:rPr>
                <w:rFonts w:ascii="Arial" w:cs="Arial" w:eastAsia="Arial" w:hAnsi="Arial"/>
                <w:sz w:val="24"/>
                <w:szCs w:val="24"/>
                <w:b w:val="1"/>
                <w:bCs w:val="1"/>
                <w:color w:val="auto"/>
              </w:rPr>
              <w:t>Morgan Stanley</w:t>
            </w:r>
          </w:p>
        </w:tc>
        <w:tc>
          <w:tcPr>
            <w:tcW w:w="3240" w:type="dxa"/>
            <w:vAlign w:val="bottom"/>
          </w:tcPr>
          <w:p>
            <w:pPr>
              <w:jc w:val="right"/>
              <w:spacing w:after="0"/>
              <w:rPr>
                <w:sz w:val="20"/>
                <w:szCs w:val="20"/>
                <w:color w:val="auto"/>
              </w:rPr>
            </w:pPr>
            <w:r>
              <w:rPr>
                <w:rFonts w:ascii="Arial" w:cs="Arial" w:eastAsia="Arial" w:hAnsi="Arial"/>
                <w:sz w:val="24"/>
                <w:szCs w:val="24"/>
                <w:b w:val="1"/>
                <w:bCs w:val="1"/>
                <w:color w:val="auto"/>
              </w:rPr>
              <w:t>Cowen and Company</w:t>
            </w:r>
          </w:p>
        </w:tc>
      </w:tr>
      <w:tr>
        <w:trPr>
          <w:trHeight w:val="322"/>
        </w:trPr>
        <w:tc>
          <w:tcPr>
            <w:tcW w:w="3320" w:type="dxa"/>
            <w:vAlign w:val="bottom"/>
          </w:tcPr>
          <w:p>
            <w:pPr>
              <w:spacing w:after="0"/>
              <w:rPr>
                <w:sz w:val="20"/>
                <w:szCs w:val="20"/>
                <w:color w:val="auto"/>
              </w:rPr>
            </w:pPr>
            <w:r>
              <w:rPr>
                <w:rFonts w:ascii="Arial" w:cs="Arial" w:eastAsia="Arial" w:hAnsi="Arial"/>
                <w:sz w:val="24"/>
                <w:szCs w:val="24"/>
                <w:b w:val="1"/>
                <w:bCs w:val="1"/>
                <w:color w:val="auto"/>
              </w:rPr>
              <w:t>JMP Securities</w:t>
            </w:r>
          </w:p>
        </w:tc>
        <w:tc>
          <w:tcPr>
            <w:tcW w:w="4860" w:type="dxa"/>
            <w:vAlign w:val="bottom"/>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24"/>
                <w:szCs w:val="24"/>
                <w:b w:val="1"/>
                <w:bCs w:val="1"/>
                <w:color w:val="auto"/>
              </w:rPr>
              <w:t>Wedbush PacGrow</w:t>
            </w:r>
          </w:p>
        </w:tc>
      </w:tr>
      <w:tr>
        <w:trPr>
          <w:trHeight w:val="426"/>
        </w:trPr>
        <w:tc>
          <w:tcPr>
            <w:tcW w:w="33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rPr>
              <w:t>December   , 2016</w:t>
            </w:r>
          </w:p>
        </w:tc>
        <w:tc>
          <w:tcPr>
            <w:tcW w:w="3240" w:type="dxa"/>
            <w:vAlign w:val="bottom"/>
          </w:tcPr>
          <w:p>
            <w:pPr>
              <w:spacing w:after="0"/>
              <w:rPr>
                <w:sz w:val="24"/>
                <w:szCs w:val="24"/>
                <w:color w:val="auto"/>
              </w:rPr>
            </w:pPr>
          </w:p>
        </w:tc>
      </w:tr>
      <w:tr>
        <w:trPr>
          <w:trHeight w:val="488"/>
        </w:trPr>
        <w:tc>
          <w:tcPr>
            <w:tcW w:w="33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r>
        <w:trPr>
          <w:trHeight w:val="41"/>
        </w:trPr>
        <w:tc>
          <w:tcPr>
            <w:tcW w:w="3320" w:type="dxa"/>
            <w:vAlign w:val="bottom"/>
            <w:tcBorders>
              <w:bottom w:val="single" w:sz="8" w:color="auto"/>
            </w:tcBorders>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r>
      <w:tr>
        <w:trPr>
          <w:trHeight w:val="226"/>
        </w:trPr>
        <w:tc>
          <w:tcPr>
            <w:tcW w:w="332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1)"/>
      <w:numFmt w:val="lowerRoman"/>
      <w:start w:val="5"/>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lvl w:ilvl="1">
      <w:lvlJc w:val="left"/>
      <w:lvlText w:val="•"/>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lvl w:ilvl="1">
      <w:lvlJc w:val="left"/>
      <w:lvlText w:val="(%2)"/>
      <w:numFmt w:val="lowerRoman"/>
      <w:start w:val="2"/>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2019-12-08T23:57:07Z</dcterms:created>
  <dcterms:modified xsi:type="dcterms:W3CDTF">2019-12-08T23:57:07Z</dcterms:modified>
</cp:coreProperties>
</file>