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Blueprint Medicines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940"/>
          </w:cols>
          <w:pgMar w:left="980" w:top="970" w:right="97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001-37359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26-3632015</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970" w:right="979" w:bottom="1440" w:gutter="0" w:footer="0" w:header="0"/>
          <w:type w:val="continuous"/>
        </w:sectPr>
      </w:pPr>
    </w:p>
    <w:p>
      <w:pPr>
        <w:spacing w:after="0" w:line="3"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45 Sidney Street</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02139</w:t>
      </w:r>
    </w:p>
    <w:p>
      <w:pPr>
        <w:spacing w:after="0" w:line="3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320" w:space="720"/>
            <w:col w:w="2900"/>
          </w:cols>
          <w:pgMar w:left="980" w:top="970" w:right="979" w:bottom="1440" w:gutter="0" w:footer="0" w:header="0"/>
          <w:type w:val="continuous"/>
        </w:sectPr>
      </w:pPr>
    </w:p>
    <w:p>
      <w:pPr>
        <w:spacing w:after="0" w:line="1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374-7580</w:t>
      </w: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16"/>
        </w:trPr>
        <w:tc>
          <w:tcPr>
            <w:tcW w:w="3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81"/>
        </w:trPr>
        <w:tc>
          <w:tcPr>
            <w:tcW w:w="39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r>
      <w:tr>
        <w:trPr>
          <w:trHeight w:val="857"/>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7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October 30, 2024, Blueprint Medicines Corporation announced its financial results for the quarter ended September 30, 2024 and other business highlights. The full text of the press release issued in connection with the announcement is furnished as Exhibit 99.1 to this Current Report on Form 8-K and is incorporated by reference herein.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0" w:type="dxa"/>
            <w:vAlign w:val="bottom"/>
          </w:tcPr>
          <w:p>
            <w:pPr>
              <w:spacing w:after="0"/>
              <w:rPr>
                <w:sz w:val="20"/>
                <w:szCs w:val="20"/>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420" w:type="dxa"/>
            <w:vAlign w:val="bottom"/>
            <w:tcBorders>
              <w:top w:val="single" w:sz="8" w:color="auto"/>
            </w:tcBorders>
          </w:tcPr>
          <w:p>
            <w:pPr>
              <w:ind w:left="10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issued by Blueprint Medicines Corporation on October 30, 2024</w:t>
            </w:r>
          </w:p>
        </w:tc>
      </w:tr>
      <w:tr>
        <w:trPr>
          <w:trHeight w:val="20"/>
        </w:trPr>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18"/>
        </w:trPr>
        <w:tc>
          <w:tcPr>
            <w:tcW w:w="1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incorporated as Exhibit</w:t>
            </w:r>
          </w:p>
        </w:tc>
      </w:tr>
      <w:tr>
        <w:trPr>
          <w:trHeight w:val="234"/>
        </w:trPr>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2480" w:type="dxa"/>
            <w:vAlign w:val="bottom"/>
          </w:tcPr>
          <w:p>
            <w:pPr>
              <w:spacing w:after="0"/>
              <w:rPr>
                <w:sz w:val="20"/>
                <w:szCs w:val="20"/>
                <w:color w:val="auto"/>
              </w:rPr>
            </w:pPr>
          </w:p>
        </w:tc>
      </w:tr>
      <w:tr>
        <w:trPr>
          <w:trHeight w:val="1438"/>
        </w:trPr>
        <w:tc>
          <w:tcPr>
            <w:tcW w:w="1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65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tc>
      </w:tr>
      <w:tr>
        <w:trPr>
          <w:trHeight w:val="432"/>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October 30, 2024</w:t>
            </w:r>
          </w:p>
        </w:tc>
        <w:tc>
          <w:tcPr>
            <w:tcW w:w="65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 /s/ Kathryn Haviland</w:t>
            </w:r>
          </w:p>
        </w:tc>
      </w:tr>
      <w:tr>
        <w:trPr>
          <w:trHeight w:val="191"/>
        </w:trPr>
        <w:tc>
          <w:tcPr>
            <w:tcW w:w="3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Kathryn Haviland</w:t>
            </w:r>
          </w:p>
        </w:tc>
      </w:tr>
      <w:tr>
        <w:trPr>
          <w:trHeight w:val="234"/>
        </w:trPr>
        <w:tc>
          <w:tcPr>
            <w:tcW w:w="3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397"/>
        </w:trPr>
        <w:tc>
          <w:tcPr>
            <w:tcW w:w="3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right"/>
        <w:ind w:right="219"/>
        <w:spacing w:after="0"/>
        <w:rPr>
          <w:sz w:val="20"/>
          <w:szCs w:val="20"/>
          <w:color w:val="auto"/>
        </w:rPr>
      </w:pPr>
      <w:r>
        <w:rPr>
          <w:rFonts w:ascii="Calibri" w:cs="Calibri" w:eastAsia="Calibri" w:hAnsi="Calibri"/>
          <w:sz w:val="18"/>
          <w:szCs w:val="18"/>
          <w:b w:val="1"/>
          <w:bCs w:val="1"/>
          <w:color w:val="auto"/>
        </w:rPr>
        <w:t>EXHIBIT 99.1</w:t>
      </w:r>
    </w:p>
    <w:p>
      <w:pPr>
        <w:spacing w:after="0" w:line="217" w:lineRule="exact"/>
        <w:rPr>
          <w:sz w:val="20"/>
          <w:szCs w:val="20"/>
          <w:color w:val="auto"/>
        </w:rPr>
      </w:pPr>
    </w:p>
    <w:p>
      <w:pPr>
        <w:jc w:val="center"/>
        <w:ind w:left="1660" w:right="280"/>
        <w:spacing w:after="0" w:line="235" w:lineRule="auto"/>
        <w:rPr>
          <w:sz w:val="20"/>
          <w:szCs w:val="20"/>
          <w:color w:val="auto"/>
        </w:rPr>
      </w:pPr>
      <w:r>
        <w:rPr>
          <w:rFonts w:ascii="Calibri" w:cs="Calibri" w:eastAsia="Calibri" w:hAnsi="Calibri"/>
          <w:sz w:val="18"/>
          <w:szCs w:val="18"/>
          <w:b w:val="1"/>
          <w:bCs w:val="1"/>
          <w:color w:val="auto"/>
        </w:rPr>
        <w:t>Blueprint Medicines Reports Third Quarter 2024 Results and Raises AYVAKIT®</w:t>
      </w:r>
      <w:r>
        <w:rPr>
          <w:rFonts w:ascii="Calibri" w:cs="Calibri" w:eastAsia="Calibri" w:hAnsi="Calibri"/>
          <w:sz w:val="18"/>
          <w:szCs w:val="18"/>
          <w:b w:val="1"/>
          <w:bCs w:val="1"/>
          <w:i w:val="1"/>
          <w:iCs w:val="1"/>
          <w:color w:val="auto"/>
        </w:rPr>
        <w:t>/</w:t>
      </w:r>
      <w:r>
        <w:rPr>
          <w:rFonts w:ascii="Calibri" w:cs="Calibri" w:eastAsia="Calibri" w:hAnsi="Calibri"/>
          <w:sz w:val="18"/>
          <w:szCs w:val="18"/>
          <w:b w:val="1"/>
          <w:bCs w:val="1"/>
          <w:color w:val="auto"/>
        </w:rPr>
        <w:t>AYVAKYT</w:t>
      </w:r>
      <w:r>
        <w:rPr>
          <w:rFonts w:ascii="Calibri" w:cs="Calibri" w:eastAsia="Calibri" w:hAnsi="Calibri"/>
          <w:sz w:val="18"/>
          <w:szCs w:val="18"/>
          <w:b w:val="1"/>
          <w:bCs w:val="1"/>
          <w:i w:val="1"/>
          <w:iCs w:val="1"/>
          <w:color w:val="auto"/>
        </w:rPr>
        <w:t>®</w:t>
      </w:r>
      <w:r>
        <w:rPr>
          <w:rFonts w:ascii="Calibri" w:cs="Calibri" w:eastAsia="Calibri" w:hAnsi="Calibri"/>
          <w:sz w:val="18"/>
          <w:szCs w:val="18"/>
          <w:b w:val="1"/>
          <w:bCs w:val="1"/>
          <w:color w:val="auto"/>
        </w:rPr>
        <w:t xml:space="preserve"> (avapritnib) Full Year Revenue Guidance</w:t>
      </w:r>
    </w:p>
    <w:p>
      <w:pPr>
        <w:spacing w:after="0" w:line="1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 Achieved $128.2 million in AYVAKIT net product revenues in the third quarter 2024 --</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 Raising AYVAKIT net product revenue guidance to $475 million to $480 million for 2024 --</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i w:val="1"/>
          <w:iCs w:val="1"/>
          <w:color w:val="auto"/>
        </w:rPr>
        <w:t>-- On track to initate the registraton-enabling HARBOR Part 2 study of elenestnib in ISM by year end --</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right="279"/>
        <w:spacing w:after="0" w:line="242" w:lineRule="auto"/>
        <w:rPr>
          <w:sz w:val="20"/>
          <w:szCs w:val="20"/>
          <w:color w:val="auto"/>
        </w:rPr>
      </w:pPr>
      <w:r>
        <w:rPr>
          <w:rFonts w:ascii="Calibri" w:cs="Calibri" w:eastAsia="Calibri" w:hAnsi="Calibri"/>
          <w:sz w:val="17"/>
          <w:szCs w:val="17"/>
          <w:color w:val="auto"/>
        </w:rPr>
        <w:t>CAMBRIDGE, Mass., October 30, 2024 – Blueprint Medicines Corporaton (Nasdaq: BPMC) today reported fnancial results, provided a business update for the third quarter ended Sept 30, 2024, and provided updated fnancial guidance.</w:t>
      </w:r>
    </w:p>
    <w:p>
      <w:pPr>
        <w:spacing w:after="0" w:line="216" w:lineRule="exact"/>
        <w:rPr>
          <w:sz w:val="20"/>
          <w:szCs w:val="20"/>
          <w:color w:val="auto"/>
        </w:rPr>
      </w:pPr>
    </w:p>
    <w:p>
      <w:pPr>
        <w:ind w:left="200" w:right="279"/>
        <w:spacing w:after="0" w:line="234" w:lineRule="auto"/>
        <w:rPr>
          <w:sz w:val="20"/>
          <w:szCs w:val="20"/>
          <w:color w:val="auto"/>
        </w:rPr>
      </w:pPr>
      <w:r>
        <w:rPr>
          <w:rFonts w:ascii="Calibri" w:cs="Calibri" w:eastAsia="Calibri" w:hAnsi="Calibri"/>
          <w:sz w:val="18"/>
          <w:szCs w:val="18"/>
          <w:color w:val="auto"/>
        </w:rPr>
        <w:t>“With another strong quarter of AYVAKIT revenue performance, our year-to-date results provide the foundaton to drive signifcant growth and long-term shareholder value creaton in 2025 and beyond. AYVAKIT’s sales momentum has given us the confdence to raise our revenue expectatons again this year, estmatng that we will end the year between $475 million and $480 million dollars. Ending our frst full year of launch at nearly half a billion dollars in revenue positons AYVAKIT to be one of the most successful rare disease launches to-date,” said Kate Haviland, Chief Executve Ofcer of Blueprint Medicines. “AYVAKIT has demonstrated tangible benefts to patents globally, with long-term data further reinforcing the clinically meaningful benefts and well-tolerated profle of a disease-modifying treatment. AYVAKIT’s strong revenue ramp coupled with disciplined investment in our most compelling product opportunites, places Blueprint Medicines in a positon to realize the signifcant decline in cash burn this year, while maintaining our focus on long-term growth and value creaton.”</w:t>
      </w:r>
    </w:p>
    <w:p>
      <w:pPr>
        <w:spacing w:after="0" w:line="188"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Third Quarter 2024 Highlights and Recent Progress</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Mast cell disorders</w:t>
      </w:r>
    </w:p>
    <w:p>
      <w:pPr>
        <w:spacing w:after="0" w:line="217" w:lineRule="exact"/>
        <w:rPr>
          <w:sz w:val="20"/>
          <w:szCs w:val="20"/>
          <w:color w:val="auto"/>
        </w:rPr>
      </w:pPr>
    </w:p>
    <w:p>
      <w:pPr>
        <w:ind w:left="540" w:right="379" w:hanging="331"/>
        <w:spacing w:after="0" w:line="242" w:lineRule="auto"/>
        <w:tabs>
          <w:tab w:leader="none" w:pos="54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Achieved AYVAKIT net product revenues of $128.2 million for third quarter of 2024, including $113.1 million in the US and $15.1 million ex-US, representng 136 percent growth year-over-year.</w:t>
      </w:r>
    </w:p>
    <w:p>
      <w:pPr>
        <w:spacing w:after="0" w:line="1" w:lineRule="exact"/>
        <w:rPr>
          <w:rFonts w:ascii="Times New Roman" w:cs="Times New Roman" w:eastAsia="Times New Roman" w:hAnsi="Times New Roman"/>
          <w:sz w:val="18"/>
          <w:szCs w:val="18"/>
          <w:color w:val="auto"/>
        </w:rPr>
      </w:pPr>
    </w:p>
    <w:p>
      <w:pPr>
        <w:ind w:left="540" w:right="319" w:hanging="331"/>
        <w:spacing w:after="0" w:line="232" w:lineRule="auto"/>
        <w:tabs>
          <w:tab w:leader="none" w:pos="54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Advanced the Phase 1 single ascending dose/multple ascending dose healthy volunteer study of BLU-808, a highly selectve and potent investgatonal oral wild-type KIT inhibitor, with best-in-class potental for chronic urtcaria and other mast cell disorders. Data from the healthy volunteer study, including safety, pharmacokinetc and pharmacodynamic markers, are antcipated in early 2025.</w:t>
      </w:r>
    </w:p>
    <w:p>
      <w:pPr>
        <w:jc w:val="both"/>
        <w:ind w:left="540" w:right="279" w:hanging="331"/>
        <w:spacing w:after="0" w:line="231" w:lineRule="auto"/>
        <w:tabs>
          <w:tab w:leader="none" w:pos="54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Presented data at the American College of Allergy, Asthma and Immunology (ACAAI) conference demonstratng the efcacy of AYVAKIT in patents with moderate and severe indolent SM (ISM) at baseline, and showing the signifcant disease burden of SM, highlightng the urgency to diagnose and treat. Read the presentatons </w:t>
      </w:r>
      <w:r>
        <w:rPr>
          <w:rFonts w:ascii="Calibri" w:cs="Calibri" w:eastAsia="Calibri" w:hAnsi="Calibri"/>
          <w:sz w:val="18"/>
          <w:szCs w:val="18"/>
          <w:u w:val="single" w:color="auto"/>
          <w:color w:val="auto"/>
        </w:rPr>
        <w:t>here</w:t>
      </w:r>
      <w:r>
        <w:rPr>
          <w:rFonts w:ascii="Calibri" w:cs="Calibri" w:eastAsia="Calibri" w:hAnsi="Calibri"/>
          <w:sz w:val="18"/>
          <w:szCs w:val="18"/>
          <w:color w:val="auto"/>
        </w:rPr>
        <w:t>.</w:t>
      </w:r>
    </w:p>
    <w:p>
      <w:pPr>
        <w:spacing w:after="0" w:line="1" w:lineRule="exact"/>
        <w:rPr>
          <w:rFonts w:ascii="Times New Roman" w:cs="Times New Roman" w:eastAsia="Times New Roman" w:hAnsi="Times New Roman"/>
          <w:sz w:val="18"/>
          <w:szCs w:val="18"/>
          <w:color w:val="auto"/>
        </w:rPr>
      </w:pPr>
    </w:p>
    <w:p>
      <w:pPr>
        <w:ind w:left="540" w:right="719" w:hanging="331"/>
        <w:spacing w:after="0" w:line="235" w:lineRule="auto"/>
        <w:tabs>
          <w:tab w:leader="none" w:pos="54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Hostng scientfc seminar on mast cell franchise development with leading allergy and asthma expert Dr. Paul O’Byrne on Thursday, November 14, 2024.</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2024 Financial Guidance</w:t>
      </w:r>
    </w:p>
    <w:p>
      <w:pPr>
        <w:spacing w:after="0" w:line="217" w:lineRule="exact"/>
        <w:rPr>
          <w:sz w:val="20"/>
          <w:szCs w:val="20"/>
          <w:color w:val="auto"/>
        </w:rPr>
      </w:pPr>
    </w:p>
    <w:p>
      <w:pPr>
        <w:ind w:left="200" w:right="279"/>
        <w:spacing w:after="0" w:line="233" w:lineRule="auto"/>
        <w:rPr>
          <w:sz w:val="20"/>
          <w:szCs w:val="20"/>
          <w:color w:val="auto"/>
        </w:rPr>
      </w:pPr>
      <w:r>
        <w:rPr>
          <w:rFonts w:ascii="Calibri" w:cs="Calibri" w:eastAsia="Calibri" w:hAnsi="Calibri"/>
          <w:sz w:val="18"/>
          <w:szCs w:val="18"/>
          <w:color w:val="auto"/>
        </w:rPr>
        <w:t>Blueprint Medicines now antcipates approximately $475 million to $480 million in global AYVAKIT net product revenues in 2024, an increase from the previous range of $435 million to $450 million. This updated guidance is based on contnued growth in patents on therapy, contnued favorability in compliance and other performance factors, and stronger than expected performance outside of the U.S. The company contnues to expect that full-year operatng expenses and cash burn will decline in 2024 as compared to 2023, and that its existng cash, cash equivalents and investments, together with antcipated product revenues, will enable the company to maintain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358775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18"/>
          <w:szCs w:val="18"/>
          <w:color w:val="auto"/>
        </w:rPr>
        <w:t>durable capital positon to achieve a self-sustainable fnancial profle.</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Key Upcoming Milestones</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The company plans to achieve the following remaining milestones by the end of 2024:</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u w:val="single" w:color="auto"/>
          <w:color w:val="auto"/>
        </w:rPr>
        <w:t>Mast cell disorders</w:t>
      </w:r>
    </w:p>
    <w:p>
      <w:pPr>
        <w:ind w:left="540" w:hanging="331"/>
        <w:spacing w:after="0" w:line="235" w:lineRule="auto"/>
        <w:tabs>
          <w:tab w:leader="none" w:pos="54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registraton-enabling Part 2 of the HARBOR trial of elenestnib in ISM by the end of this year.</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u w:val="single" w:color="auto"/>
          <w:color w:val="auto"/>
        </w:rPr>
        <w:t>Cell cycle inhibiton</w:t>
      </w:r>
    </w:p>
    <w:p>
      <w:pPr>
        <w:ind w:left="620" w:hanging="330"/>
        <w:spacing w:after="0" w:line="235" w:lineRule="auto"/>
        <w:tabs>
          <w:tab w:leader="none" w:pos="6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strategic business development discussions.</w:t>
      </w:r>
    </w:p>
    <w:p>
      <w:pPr>
        <w:spacing w:after="0" w:line="24" w:lineRule="exact"/>
        <w:rPr>
          <w:rFonts w:ascii="Times New Roman" w:cs="Times New Roman" w:eastAsia="Times New Roman" w:hAnsi="Times New Roman"/>
          <w:sz w:val="18"/>
          <w:szCs w:val="18"/>
          <w:color w:val="auto"/>
        </w:rPr>
      </w:pPr>
    </w:p>
    <w:p>
      <w:pPr>
        <w:ind w:left="620" w:hanging="330"/>
        <w:spacing w:after="0" w:line="210" w:lineRule="auto"/>
        <w:tabs>
          <w:tab w:leader="none" w:pos="62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Complete Phase 1 combinaton dose escalaton for BLU-222 by end of year to inform registraton plans.</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Third Quarter 2024 Results</w:t>
      </w:r>
    </w:p>
    <w:p>
      <w:pPr>
        <w:spacing w:after="0" w:line="204" w:lineRule="exact"/>
        <w:rPr>
          <w:sz w:val="20"/>
          <w:szCs w:val="20"/>
          <w:color w:val="auto"/>
        </w:rPr>
      </w:pPr>
    </w:p>
    <w:p>
      <w:pPr>
        <w:ind w:left="540" w:right="359" w:hanging="331"/>
        <w:spacing w:after="0" w:line="249" w:lineRule="auto"/>
        <w:tabs>
          <w:tab w:leader="none" w:pos="540" w:val="left"/>
        </w:tabs>
        <w:numPr>
          <w:ilvl w:val="0"/>
          <w:numId w:val="5"/>
        </w:numPr>
        <w:rPr>
          <w:rFonts w:ascii="Times New Roman" w:cs="Times New Roman" w:eastAsia="Times New Roman" w:hAnsi="Times New Roman"/>
          <w:sz w:val="17"/>
          <w:szCs w:val="17"/>
          <w:color w:val="auto"/>
        </w:rPr>
      </w:pPr>
      <w:r>
        <w:rPr>
          <w:rFonts w:ascii="Calibri" w:cs="Calibri" w:eastAsia="Calibri" w:hAnsi="Calibri"/>
          <w:sz w:val="17"/>
          <w:szCs w:val="17"/>
          <w:b w:val="1"/>
          <w:bCs w:val="1"/>
          <w:color w:val="auto"/>
        </w:rPr>
        <w:t>Revenues</w:t>
      </w:r>
      <w:r>
        <w:rPr>
          <w:rFonts w:ascii="Calibri" w:cs="Calibri" w:eastAsia="Calibri" w:hAnsi="Calibri"/>
          <w:sz w:val="17"/>
          <w:szCs w:val="17"/>
          <w:color w:val="auto"/>
        </w:rPr>
        <w:t>: Revenues were $128.2 million for the third quarter of 2024 generated from the net product sales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AYVAKIT/AYVAKYT. Revenues were $56.6 million in the third quarter of 2023, including $54.2 million of net product revenues from sales of AYVAKIT/AYVAKYT and $2.4 million in collaboraton, license and other revenues.</w:t>
      </w:r>
    </w:p>
    <w:p>
      <w:pPr>
        <w:spacing w:after="0" w:line="2" w:lineRule="exact"/>
        <w:rPr>
          <w:rFonts w:ascii="Times New Roman" w:cs="Times New Roman" w:eastAsia="Times New Roman" w:hAnsi="Times New Roman"/>
          <w:sz w:val="17"/>
          <w:szCs w:val="17"/>
          <w:color w:val="auto"/>
        </w:rPr>
      </w:pPr>
    </w:p>
    <w:p>
      <w:pPr>
        <w:ind w:left="540" w:right="379" w:hanging="331"/>
        <w:spacing w:after="0" w:line="249" w:lineRule="auto"/>
        <w:tabs>
          <w:tab w:leader="none" w:pos="540" w:val="left"/>
        </w:tabs>
        <w:numPr>
          <w:ilvl w:val="0"/>
          <w:numId w:val="5"/>
        </w:numPr>
        <w:rPr>
          <w:rFonts w:ascii="Times New Roman" w:cs="Times New Roman" w:eastAsia="Times New Roman" w:hAnsi="Times New Roman"/>
          <w:sz w:val="17"/>
          <w:szCs w:val="17"/>
          <w:color w:val="auto"/>
        </w:rPr>
      </w:pPr>
      <w:r>
        <w:rPr>
          <w:rFonts w:ascii="Calibri" w:cs="Calibri" w:eastAsia="Calibri" w:hAnsi="Calibri"/>
          <w:sz w:val="17"/>
          <w:szCs w:val="17"/>
          <w:b w:val="1"/>
          <w:bCs w:val="1"/>
          <w:color w:val="auto"/>
        </w:rPr>
        <w:t xml:space="preserve">Cost of Sales: </w:t>
      </w:r>
      <w:r>
        <w:rPr>
          <w:rFonts w:ascii="Calibri" w:cs="Calibri" w:eastAsia="Calibri" w:hAnsi="Calibri"/>
          <w:sz w:val="17"/>
          <w:szCs w:val="17"/>
          <w:color w:val="auto"/>
        </w:rPr>
        <w:t>Cost of sales was $1.9 million for the third quarter of 2024, as compared to $2.8 million for the third</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quarter of 2023. The decrease was primarily due to lower sales to our collaboraton partner in greater China.</w:t>
      </w:r>
    </w:p>
    <w:p>
      <w:pPr>
        <w:spacing w:after="0" w:line="1" w:lineRule="exact"/>
        <w:rPr>
          <w:rFonts w:ascii="Times New Roman" w:cs="Times New Roman" w:eastAsia="Times New Roman" w:hAnsi="Times New Roman"/>
          <w:sz w:val="17"/>
          <w:szCs w:val="17"/>
          <w:color w:val="auto"/>
        </w:rPr>
      </w:pPr>
    </w:p>
    <w:p>
      <w:pPr>
        <w:ind w:left="540" w:right="299" w:hanging="331"/>
        <w:spacing w:after="0" w:line="235"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R&amp;D Expenses: </w:t>
      </w:r>
      <w:r>
        <w:rPr>
          <w:rFonts w:ascii="Calibri" w:cs="Calibri" w:eastAsia="Calibri" w:hAnsi="Calibri"/>
          <w:sz w:val="18"/>
          <w:szCs w:val="18"/>
          <w:color w:val="auto"/>
        </w:rPr>
        <w:t>Research and development expenses were $85.3 million for the third quarter of 2024, as compared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to $110.3 million for the third quarter of 2023. This decrease was primarily due to operatonal efciency across our portolio as we execute across our top priority programs and the tming of manufacturing of clinical trial materials. Research and development expenses included $12.6 million in stock-based compensaton expenses for the third quarter of 2024.</w:t>
      </w:r>
    </w:p>
    <w:p>
      <w:pPr>
        <w:spacing w:after="0" w:line="3" w:lineRule="exact"/>
        <w:rPr>
          <w:rFonts w:ascii="Times New Roman" w:cs="Times New Roman" w:eastAsia="Times New Roman" w:hAnsi="Times New Roman"/>
          <w:sz w:val="18"/>
          <w:szCs w:val="18"/>
          <w:color w:val="auto"/>
        </w:rPr>
      </w:pPr>
    </w:p>
    <w:p>
      <w:pPr>
        <w:ind w:left="540" w:right="259" w:hanging="331"/>
        <w:spacing w:after="0" w:line="232"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SG&amp;A Expenses: </w:t>
      </w:r>
      <w:r>
        <w:rPr>
          <w:rFonts w:ascii="Calibri" w:cs="Calibri" w:eastAsia="Calibri" w:hAnsi="Calibri"/>
          <w:sz w:val="18"/>
          <w:szCs w:val="18"/>
          <w:color w:val="auto"/>
        </w:rPr>
        <w:t>Selling, general and administratve expenses were $89.9 million for the third quarter of 2024,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compared to $70.7 million for the third quarter of 2023. This increase was primarily due to an increase in actvites supportng the commercializaton of AYVAKIT/AYVAKYT. Selling, general, and administratve expenses included $15.7 million in stock-based compensaton expenses for the third quarter of 2024.</w:t>
      </w:r>
    </w:p>
    <w:p>
      <w:pPr>
        <w:ind w:left="540" w:right="499" w:hanging="331"/>
        <w:spacing w:after="0" w:line="228"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Net Loss: </w:t>
      </w:r>
      <w:r>
        <w:rPr>
          <w:rFonts w:ascii="Calibri" w:cs="Calibri" w:eastAsia="Calibri" w:hAnsi="Calibri"/>
          <w:sz w:val="18"/>
          <w:szCs w:val="18"/>
          <w:color w:val="auto"/>
        </w:rPr>
        <w:t>Net loss was $56.3 million for the third quarter of 2024, as compared to a net loss of $133.7 million for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third quarter of 2023</w:t>
      </w:r>
      <w:r>
        <w:rPr>
          <w:rFonts w:ascii="Calibri" w:cs="Calibri" w:eastAsia="Calibri" w:hAnsi="Calibri"/>
          <w:sz w:val="18"/>
          <w:szCs w:val="18"/>
          <w:b w:val="1"/>
          <w:bCs w:val="1"/>
          <w:color w:val="auto"/>
        </w:rPr>
        <w:t>.</w:t>
      </w:r>
    </w:p>
    <w:p>
      <w:pPr>
        <w:spacing w:after="0" w:line="2" w:lineRule="exact"/>
        <w:rPr>
          <w:rFonts w:ascii="Times New Roman" w:cs="Times New Roman" w:eastAsia="Times New Roman" w:hAnsi="Times New Roman"/>
          <w:sz w:val="18"/>
          <w:szCs w:val="18"/>
          <w:color w:val="auto"/>
        </w:rPr>
      </w:pPr>
    </w:p>
    <w:p>
      <w:pPr>
        <w:ind w:left="540" w:right="259" w:hanging="331"/>
        <w:spacing w:after="0" w:line="235" w:lineRule="auto"/>
        <w:tabs>
          <w:tab w:leader="none" w:pos="54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Cash Positon: </w:t>
      </w:r>
      <w:r>
        <w:rPr>
          <w:rFonts w:ascii="Calibri" w:cs="Calibri" w:eastAsia="Calibri" w:hAnsi="Calibri"/>
          <w:sz w:val="18"/>
          <w:szCs w:val="18"/>
          <w:color w:val="auto"/>
        </w:rPr>
        <w:t>As of September 30, 2024, cash, cash equivalents and investments were $882.4 million, as compared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to $767.2 million as of December 31, 2023. Blueprint Medicine’s cash and investments provide a durable capital positon which, together with antcipated product revenues, the company believes will enable it to reach a self-sustainable fnancial profle</w:t>
      </w:r>
      <w:r>
        <w:rPr>
          <w:rFonts w:ascii="Calibri" w:cs="Calibri" w:eastAsia="Calibri" w:hAnsi="Calibri"/>
          <w:sz w:val="18"/>
          <w:szCs w:val="18"/>
          <w:b w:val="1"/>
          <w:bCs w:val="1"/>
          <w:color w:val="auto"/>
        </w:rPr>
        <w:t>.</w:t>
      </w:r>
    </w:p>
    <w:p>
      <w:pPr>
        <w:spacing w:after="0" w:line="201"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Conference Call Informaton</w:t>
      </w:r>
    </w:p>
    <w:p>
      <w:pPr>
        <w:spacing w:after="0" w:line="217" w:lineRule="exact"/>
        <w:rPr>
          <w:sz w:val="20"/>
          <w:szCs w:val="20"/>
          <w:color w:val="auto"/>
        </w:rPr>
      </w:pPr>
    </w:p>
    <w:p>
      <w:pPr>
        <w:ind w:left="200" w:right="319"/>
        <w:spacing w:after="0" w:line="231" w:lineRule="auto"/>
        <w:rPr>
          <w:sz w:val="20"/>
          <w:szCs w:val="20"/>
          <w:color w:val="auto"/>
        </w:rPr>
      </w:pPr>
      <w:r>
        <w:rPr>
          <w:rFonts w:ascii="Calibri" w:cs="Calibri" w:eastAsia="Calibri" w:hAnsi="Calibri"/>
          <w:sz w:val="18"/>
          <w:szCs w:val="18"/>
          <w:color w:val="auto"/>
        </w:rPr>
        <w:t>Blueprint Medicines will host a live conference call and webcast at 8:00 a.m. ET today to discuss third quarter 2024 fnancial results and recent business actvites. The conference call may be accessed by dialing 833-470-1428 (domestc) or 404-975-4839 (internatonal) and referring conference ID 387547. A webcast of the call will also be available under "Events and Presentatons" in the Investors &amp; Media secton of the Blueprint Medicines website</w:t>
      </w:r>
    </w:p>
    <w:p>
      <w:pPr>
        <w:spacing w:after="0" w:line="5" w:lineRule="exact"/>
        <w:rPr>
          <w:sz w:val="20"/>
          <w:szCs w:val="20"/>
          <w:color w:val="auto"/>
        </w:rPr>
      </w:pPr>
    </w:p>
    <w:p>
      <w:pPr>
        <w:ind w:left="200" w:right="1099"/>
        <w:spacing w:after="0" w:line="258" w:lineRule="auto"/>
        <w:rPr>
          <w:sz w:val="20"/>
          <w:szCs w:val="20"/>
          <w:color w:val="auto"/>
        </w:rPr>
      </w:pPr>
      <w:r>
        <w:rPr>
          <w:rFonts w:ascii="Calibri" w:cs="Calibri" w:eastAsia="Calibri" w:hAnsi="Calibri"/>
          <w:sz w:val="17"/>
          <w:szCs w:val="17"/>
          <w:color w:val="auto"/>
        </w:rPr>
        <w:t xml:space="preserve">at </w:t>
      </w:r>
      <w:r>
        <w:rPr>
          <w:rFonts w:ascii="Calibri" w:cs="Calibri" w:eastAsia="Calibri" w:hAnsi="Calibri"/>
          <w:sz w:val="17"/>
          <w:szCs w:val="17"/>
          <w:u w:val="single" w:color="auto"/>
          <w:color w:val="auto"/>
        </w:rPr>
        <w:t>htp://ir.blueprintmedicines.com/</w:t>
      </w:r>
      <w:r>
        <w:rPr>
          <w:rFonts w:ascii="Calibri" w:cs="Calibri" w:eastAsia="Calibri" w:hAnsi="Calibri"/>
          <w:sz w:val="17"/>
          <w:szCs w:val="17"/>
          <w:color w:val="auto"/>
        </w:rPr>
        <w:t>. The archived webcast will be available on Blueprint Medicines' website approximately two hours afer the conference call and will be available for 30 days following the call.</w:t>
      </w:r>
    </w:p>
    <w:p>
      <w:pPr>
        <w:spacing w:after="0" w:line="197"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Upcoming Investor Conferences</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Blueprint Medicines will partcipate in three upcoming investor conferences:</w:t>
      </w:r>
    </w:p>
    <w:p>
      <w:pPr>
        <w:ind w:left="620" w:hanging="330"/>
        <w:spacing w:after="0" w:line="221" w:lineRule="auto"/>
        <w:tabs>
          <w:tab w:leader="none" w:pos="62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Guggenheim Inaugural Healthcare Innovaton Conference </w:t>
      </w:r>
      <w:r>
        <w:rPr>
          <w:rFonts w:ascii="Calibri" w:cs="Calibri" w:eastAsia="Calibri" w:hAnsi="Calibri"/>
          <w:sz w:val="18"/>
          <w:szCs w:val="18"/>
          <w:color w:val="auto"/>
        </w:rPr>
        <w:t>on Tuesday, November 12, 2024 at 3:30 p.m. ET.</w:t>
      </w:r>
    </w:p>
    <w:p>
      <w:pPr>
        <w:spacing w:after="0" w:line="23" w:lineRule="exact"/>
        <w:rPr>
          <w:rFonts w:ascii="Times New Roman" w:cs="Times New Roman" w:eastAsia="Times New Roman" w:hAnsi="Times New Roman"/>
          <w:sz w:val="18"/>
          <w:szCs w:val="18"/>
          <w:color w:val="auto"/>
        </w:rPr>
      </w:pPr>
    </w:p>
    <w:p>
      <w:pPr>
        <w:ind w:left="620" w:hanging="330"/>
        <w:spacing w:after="0" w:line="210" w:lineRule="auto"/>
        <w:tabs>
          <w:tab w:leader="none" w:pos="62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Stfel 2024 Healthcare Conference </w:t>
      </w:r>
      <w:r>
        <w:rPr>
          <w:rFonts w:ascii="Calibri" w:cs="Calibri" w:eastAsia="Calibri" w:hAnsi="Calibri"/>
          <w:sz w:val="18"/>
          <w:szCs w:val="18"/>
          <w:color w:val="auto"/>
        </w:rPr>
        <w:t>on Monday, November 18, 2024 at 10:20 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620" w:hanging="330"/>
        <w:spacing w:after="0"/>
        <w:tabs>
          <w:tab w:leader="none" w:pos="62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color w:val="auto"/>
        </w:rPr>
        <w:t xml:space="preserve">Jefries London Healthcare Conference </w:t>
      </w:r>
      <w:r>
        <w:rPr>
          <w:rFonts w:ascii="Calibri" w:cs="Calibri" w:eastAsia="Calibri" w:hAnsi="Calibri"/>
          <w:sz w:val="18"/>
          <w:szCs w:val="18"/>
          <w:color w:val="auto"/>
        </w:rPr>
        <w:t>on Thursday, November 21, 2024 at 12:00 p.m. GMT.</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Scientfc Webinar Series</w:t>
      </w:r>
    </w:p>
    <w:p>
      <w:pPr>
        <w:spacing w:after="0" w:line="217" w:lineRule="exact"/>
        <w:rPr>
          <w:sz w:val="20"/>
          <w:szCs w:val="20"/>
          <w:color w:val="auto"/>
        </w:rPr>
      </w:pPr>
    </w:p>
    <w:p>
      <w:pPr>
        <w:ind w:left="620" w:right="439" w:hanging="330"/>
        <w:spacing w:after="0" w:line="227" w:lineRule="auto"/>
        <w:tabs>
          <w:tab w:leader="none" w:pos="6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second in our scientfc seminar series, focused on mast cell diseases, to be held on Thursday, November 14, 2024 at 10:00 a.m. ET.</w:t>
      </w:r>
    </w:p>
    <w:p>
      <w:pPr>
        <w:spacing w:after="0" w:line="219" w:lineRule="exact"/>
        <w:rPr>
          <w:sz w:val="20"/>
          <w:szCs w:val="20"/>
          <w:color w:val="auto"/>
        </w:rPr>
      </w:pPr>
    </w:p>
    <w:p>
      <w:pPr>
        <w:jc w:val="both"/>
        <w:ind w:left="200" w:right="479"/>
        <w:spacing w:after="0" w:line="235" w:lineRule="auto"/>
        <w:rPr>
          <w:sz w:val="20"/>
          <w:szCs w:val="20"/>
          <w:color w:val="auto"/>
        </w:rPr>
      </w:pPr>
      <w:r>
        <w:rPr>
          <w:rFonts w:ascii="Calibri" w:cs="Calibri" w:eastAsia="Calibri" w:hAnsi="Calibri"/>
          <w:sz w:val="18"/>
          <w:szCs w:val="18"/>
          <w:color w:val="auto"/>
        </w:rPr>
        <w:t xml:space="preserve">A live webcast of the above presentatons and any related slides will be available under "Events and Presentatons" in the Investors &amp; Media secton of the Blueprint Medicines website at </w:t>
      </w:r>
      <w:r>
        <w:rPr>
          <w:rFonts w:ascii="Calibri" w:cs="Calibri" w:eastAsia="Calibri" w:hAnsi="Calibri"/>
          <w:sz w:val="18"/>
          <w:szCs w:val="18"/>
          <w:u w:val="single" w:color="auto"/>
          <w:color w:val="auto"/>
        </w:rPr>
        <w:t>htp://ir.blueprintmedicines.com</w:t>
      </w:r>
      <w:r>
        <w:rPr>
          <w:rFonts w:ascii="Calibri" w:cs="Calibri" w:eastAsia="Calibri" w:hAnsi="Calibri"/>
          <w:sz w:val="18"/>
          <w:szCs w:val="18"/>
          <w:color w:val="auto"/>
        </w:rPr>
        <w:t>. A replay of the webcasts will be archived on the Blueprint Medicines website following the events.</w:t>
      </w:r>
    </w:p>
    <w:p>
      <w:pPr>
        <w:spacing w:after="0" w:line="214"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About Blueprint Medicines</w:t>
      </w:r>
    </w:p>
    <w:p>
      <w:pPr>
        <w:spacing w:after="0" w:line="217" w:lineRule="exact"/>
        <w:rPr>
          <w:sz w:val="20"/>
          <w:szCs w:val="20"/>
          <w:color w:val="auto"/>
        </w:rPr>
      </w:pPr>
    </w:p>
    <w:p>
      <w:pPr>
        <w:ind w:left="200" w:right="219"/>
        <w:spacing w:after="0" w:line="232" w:lineRule="auto"/>
        <w:rPr>
          <w:sz w:val="20"/>
          <w:szCs w:val="20"/>
          <w:color w:val="auto"/>
        </w:rPr>
      </w:pPr>
      <w:r>
        <w:rPr>
          <w:rFonts w:ascii="Calibri" w:cs="Calibri" w:eastAsia="Calibri" w:hAnsi="Calibri"/>
          <w:sz w:val="18"/>
          <w:szCs w:val="18"/>
          <w:color w:val="auto"/>
        </w:rPr>
        <w:t xml:space="preserve">Blueprint Medicines is a global, fully integrated biopharmaceutcal company that invents life-changing medicines. We seek to alleviate human sufering by solving important medical problems in two core focus areas: allergy/infammaton and oncology/hematology. Our approach begins by targetng the root causes of disease, using deep scientfc knowledge in our core focus areas and drug discovery expertse across multple therapeutc modalites. We have a track record of success with two approved medicines, including AYVAKIT®/AYVAKYT® (avapritnib) which we are bringing to patents with systemic mastocytosis (SM) in the U.S. and Europe. Leveraging our established research, development, and commercial capability and infrastructure, we now aim to signifcantly scale our impact by advancing a broad pipeline of programs ranging from early science to advanced clinical trials in mast cell diseases including SM and chronic urtcaria, breast cancer and other solid tumors. For more informaton, visit </w:t>
      </w:r>
      <w:r>
        <w:rPr>
          <w:rFonts w:ascii="Calibri" w:cs="Calibri" w:eastAsia="Calibri" w:hAnsi="Calibri"/>
          <w:sz w:val="18"/>
          <w:szCs w:val="18"/>
          <w:u w:val="single" w:color="auto"/>
          <w:color w:val="auto"/>
        </w:rPr>
        <w:t>www.BlueprintMedicines.com</w:t>
      </w:r>
      <w:r>
        <w:rPr>
          <w:rFonts w:ascii="Calibri" w:cs="Calibri" w:eastAsia="Calibri" w:hAnsi="Calibri"/>
          <w:sz w:val="18"/>
          <w:szCs w:val="18"/>
          <w:color w:val="auto"/>
        </w:rPr>
        <w:t xml:space="preserve"> and follow us on </w:t>
      </w:r>
      <w:r>
        <w:rPr>
          <w:rFonts w:ascii="Calibri" w:cs="Calibri" w:eastAsia="Calibri" w:hAnsi="Calibri"/>
          <w:sz w:val="18"/>
          <w:szCs w:val="18"/>
          <w:u w:val="single" w:color="auto"/>
          <w:color w:val="auto"/>
        </w:rPr>
        <w:t>X</w:t>
      </w:r>
      <w:r>
        <w:rPr>
          <w:rFonts w:ascii="Calibri" w:cs="Calibri" w:eastAsia="Calibri" w:hAnsi="Calibri"/>
          <w:sz w:val="18"/>
          <w:szCs w:val="18"/>
          <w:color w:val="auto"/>
        </w:rPr>
        <w:t xml:space="preserve"> (formerly Twiter; @BlueprintMeds) and </w:t>
      </w:r>
      <w:r>
        <w:rPr>
          <w:rFonts w:ascii="Calibri" w:cs="Calibri" w:eastAsia="Calibri" w:hAnsi="Calibri"/>
          <w:sz w:val="18"/>
          <w:szCs w:val="18"/>
          <w:u w:val="single" w:color="auto"/>
          <w:color w:val="auto"/>
        </w:rPr>
        <w:t>LinkedIn</w:t>
      </w:r>
      <w:r>
        <w:rPr>
          <w:rFonts w:ascii="Calibri" w:cs="Calibri" w:eastAsia="Calibri" w:hAnsi="Calibri"/>
          <w:sz w:val="18"/>
          <w:szCs w:val="18"/>
          <w:color w:val="auto"/>
        </w:rPr>
        <w:t>.</w:t>
      </w:r>
    </w:p>
    <w:p>
      <w:pPr>
        <w:spacing w:after="0" w:line="220"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Cautonary Note Regarding Forward-Looking Statements</w:t>
      </w:r>
    </w:p>
    <w:p>
      <w:pPr>
        <w:spacing w:after="0" w:line="217" w:lineRule="exact"/>
        <w:rPr>
          <w:sz w:val="20"/>
          <w:szCs w:val="20"/>
          <w:color w:val="auto"/>
        </w:rPr>
      </w:pPr>
    </w:p>
    <w:p>
      <w:pPr>
        <w:ind w:left="200" w:right="219"/>
        <w:spacing w:after="0" w:line="247" w:lineRule="auto"/>
        <w:rPr>
          <w:sz w:val="20"/>
          <w:szCs w:val="20"/>
          <w:color w:val="auto"/>
        </w:rPr>
      </w:pPr>
      <w:r>
        <w:rPr>
          <w:rFonts w:ascii="Calibri" w:cs="Calibri" w:eastAsia="Calibri" w:hAnsi="Calibri"/>
          <w:sz w:val="17"/>
          <w:szCs w:val="17"/>
          <w:color w:val="auto"/>
        </w:rPr>
        <w:t>This press release contains forward-looking statements within the meaning of the Private Securites Litgaton Reform Act of 1995, as amended, including, without limitaton, statements regarding plans, strategies, tmelines and expectatons for Blueprint Medicines’ operatons, including its expectatons regarding growth and net product revenue in 2024; statements regarding its current or future approved drugs and drug candidates and operatons, including plans to initate registraton-enabling Part 2 of the HARBOR trial of elenestnib in ISM in 2024, complete Phase 1 combinaton dose escalaton for BLU-222 to inform registraton plans and contnue strategic business development discussions by the end of 2024, and present healthy volunteer data from its Phase 1 trial for BLU-808 in early 2025; expectatons related to the markets for current or future approved drugs and drug candidates, including expectatons regarding the size or scale of patent opportunites that future approved drugs and drug candidates could address; the potental benefts of any of its current or future approved drugs or drug candidates in treatng patents; statements related to liquidity and capital positon, including expectatons that its cash, cash equivalents and investments will provide a durable capital positon which, together with antcipated product revenues, will enable Blueprint Medicines to reach a self-sustainable fnancial profle; and its fnancial performance, strategy, goals and antcipated milestones, business plans and focus, including expectatons regarding its revenue ramp and contnued decline in operatng expenses and cash burn. The words "aim," "may," "will," "could," "would," "should," "expect," "plan," "antcipate," "intend," "believe," "estmate," "predict," "project," "potental," "contnue," "target" and similar expressions are intended to identfy forward-looking statements, although not all forward-looking statements contain these identfying words. Any forward-looking statements in this press release are based on management's current expectatons and beliefs and are subject to a number of risks, uncertaintes and important factors that may cause actual events or results to difer materially from those expressed or implied by any forward-looking statements contained in this press release, including, without limitaton: the risk that the marketng and sale of AYVAKIT/AYVAKYT or any future approved drugs may be unsuccessful or less successful than antcipated, or that AYVAKIT/AYVAKYT may not gain market acceptance by physicians, patents, third-party payors and others in the medical community; the risk that the market opportunites for AYVAKIT/AYVAKYT or Blueprint Medicines’ drug candidates are smaller than we estmate or that any approval we obtain may be based on a narrower defniton of the patent populaton that we antcipate; the risk of delay of any current or planned clinical trials or the development of Blueprint Medicines’ current or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498475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 w:name="page7"/>
    <w:bookmarkEnd w:id="6"/>
    <w:p>
      <w:pPr>
        <w:ind w:left="280" w:right="320"/>
        <w:spacing w:after="0" w:line="233" w:lineRule="auto"/>
        <w:rPr>
          <w:sz w:val="20"/>
          <w:szCs w:val="20"/>
          <w:color w:val="auto"/>
        </w:rPr>
      </w:pPr>
      <w:r>
        <w:rPr>
          <w:rFonts w:ascii="Calibri" w:cs="Calibri" w:eastAsia="Calibri" w:hAnsi="Calibri"/>
          <w:sz w:val="18"/>
          <w:szCs w:val="18"/>
          <w:color w:val="auto"/>
        </w:rPr>
        <w:t>drug candidates; risks related to Blueprint Medicines' ability to successfully demonstrate the safety and efcacy of its drug candidates and gain approval of its drug candidates on a tmely basis, if at all; preclinical and clinical results for Blueprint Medicines' drug candidates may not support further development of such drug candidates either as monotherapies or in combinaton with other agents or may impact the antcipated tming of data or regulatory submissions; the tming of the initaton of clinical trials and trial cohorts at clinical trial sites and patent enrollment rates may be delayed or slower than antcipated; actons of regulatory agencies may afect its approved drugs or its current or future drug candidates, including afectng the initaton, tming and progress of clinical trials; risks related to Blueprint Medicines' ability to obtain, maintain and enforce patent and other intellectual property protecton for its products and current or future drug candidates it is developing; the success of Blueprint Medicines' current and future collaboratons, fnancing arrangements, partnerships or licensing and other arrangements; risks related to its liquidity and fnancial positon, including the risk that Blueprint Medicines may be unable to generate sufcient future product revenues to achieve and maintain a self-sustainable fnancial profle; and the accuracy of its estmates of revenues, expenses and capital requirements. These and other risks and uncertaintes are described in greater detail in the secton enttled "Risk Factors" in Blueprint Medicines' flings with the Securites and Exchange Commission (SEC),</w:t>
      </w:r>
    </w:p>
    <w:p>
      <w:pPr>
        <w:spacing w:after="0" w:line="10" w:lineRule="exact"/>
        <w:rPr>
          <w:sz w:val="20"/>
          <w:szCs w:val="20"/>
          <w:color w:val="auto"/>
        </w:rPr>
      </w:pPr>
    </w:p>
    <w:p>
      <w:pPr>
        <w:ind w:left="280" w:right="340"/>
        <w:spacing w:after="0" w:line="232" w:lineRule="auto"/>
        <w:rPr>
          <w:sz w:val="20"/>
          <w:szCs w:val="20"/>
          <w:color w:val="auto"/>
        </w:rPr>
      </w:pPr>
      <w:r>
        <w:rPr>
          <w:rFonts w:ascii="Calibri" w:cs="Calibri" w:eastAsia="Calibri" w:hAnsi="Calibri"/>
          <w:sz w:val="18"/>
          <w:szCs w:val="18"/>
          <w:color w:val="auto"/>
        </w:rPr>
        <w:t>including Blueprint Medicines' most recent Annual Report on Form 10-K, as supplemented by its most recent Quarterly Report on Form 10-Q and any other flings that Blueprint Medicines has made or may make with the SEC in the future. Any forward-looking statements contained in this press release represent Blueprint Medicines' views only as of the date hereof and should not be relied upon as representng its views as of any subsequent date. Except as required by law, Blueprint Medicines explicitly disclaims any obligaton to update any forward-looking statements.</w:t>
      </w:r>
    </w:p>
    <w:p>
      <w:pPr>
        <w:spacing w:after="0" w:line="200" w:lineRule="exact"/>
        <w:rPr>
          <w:sz w:val="20"/>
          <w:szCs w:val="20"/>
          <w:color w:val="auto"/>
        </w:rPr>
      </w:pPr>
    </w:p>
    <w:p>
      <w:pPr>
        <w:spacing w:after="0" w:line="232" w:lineRule="exact"/>
        <w:rPr>
          <w:sz w:val="20"/>
          <w:szCs w:val="20"/>
          <w:color w:val="auto"/>
        </w:rPr>
      </w:pPr>
    </w:p>
    <w:p>
      <w:pPr>
        <w:ind w:left="280"/>
        <w:spacing w:after="0"/>
        <w:rPr>
          <w:sz w:val="20"/>
          <w:szCs w:val="20"/>
          <w:color w:val="auto"/>
        </w:rPr>
      </w:pPr>
      <w:r>
        <w:rPr>
          <w:rFonts w:ascii="Calibri" w:cs="Calibri" w:eastAsia="Calibri" w:hAnsi="Calibri"/>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-121920</wp:posOffset>
            </wp:positionV>
            <wp:extent cx="5452110"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539750"/>
                    </a:xfrm>
                    <a:prstGeom prst="rect">
                      <a:avLst/>
                    </a:prstGeom>
                    <a:noFill/>
                  </pic:spPr>
                </pic:pic>
              </a:graphicData>
            </a:graphic>
          </wp:anchor>
        </w:drawing>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Blueprint Medicines, AYVAKIT, AYVAKYT and associated logos are trademarks of Blueprint Medicines Corporaton.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2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9"/>
              </w:rPr>
              <w:t>Blueprint Medicines Corporaton</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7780" w:type="dxa"/>
            <w:vAlign w:val="bottom"/>
            <w:gridSpan w:val="5"/>
          </w:tcPr>
          <w:p>
            <w:pPr>
              <w:jc w:val="center"/>
              <w:ind w:left="1302"/>
              <w:spacing w:after="0" w:line="216" w:lineRule="exact"/>
              <w:rPr>
                <w:sz w:val="20"/>
                <w:szCs w:val="20"/>
                <w:color w:val="auto"/>
              </w:rPr>
            </w:pPr>
            <w:r>
              <w:rPr>
                <w:rFonts w:ascii="Calibri" w:cs="Calibri" w:eastAsia="Calibri" w:hAnsi="Calibri"/>
                <w:sz w:val="18"/>
                <w:szCs w:val="18"/>
                <w:b w:val="1"/>
                <w:bCs w:val="1"/>
                <w:color w:val="auto"/>
                <w:w w:val="97"/>
              </w:rPr>
              <w:t>Selected Condensed Consolidated Balance Sheet Data</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6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260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i w:val="1"/>
                <w:iCs w:val="1"/>
                <w:color w:val="auto"/>
                <w:w w:val="97"/>
              </w:rPr>
              <w:t>(unaudited)</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7"/>
        </w:trPr>
        <w:tc>
          <w:tcPr>
            <w:tcW w:w="33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gridSpan w:val="2"/>
          </w:tcPr>
          <w:p>
            <w:pPr>
              <w:jc w:val="right"/>
              <w:ind w:right="500"/>
              <w:spacing w:after="0"/>
              <w:rPr>
                <w:sz w:val="20"/>
                <w:szCs w:val="20"/>
                <w:color w:val="auto"/>
              </w:rPr>
            </w:pPr>
            <w:r>
              <w:rPr>
                <w:rFonts w:ascii="Calibri" w:cs="Calibri" w:eastAsia="Calibri" w:hAnsi="Calibri"/>
                <w:sz w:val="20"/>
                <w:szCs w:val="20"/>
                <w:b w:val="1"/>
                <w:bCs w:val="1"/>
                <w:color w:val="auto"/>
              </w:rPr>
              <w:t>September 30,</w:t>
            </w:r>
          </w:p>
        </w:tc>
        <w:tc>
          <w:tcPr>
            <w:tcW w:w="1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Calibri" w:cs="Calibri" w:eastAsia="Calibri" w:hAnsi="Calibri"/>
                <w:sz w:val="20"/>
                <w:szCs w:val="20"/>
                <w:b w:val="1"/>
                <w:bCs w:val="1"/>
                <w:color w:val="auto"/>
                <w:w w:val="98"/>
              </w:rPr>
              <w:t>December 31,</w:t>
            </w:r>
          </w:p>
        </w:tc>
      </w:tr>
      <w:tr>
        <w:trPr>
          <w:trHeight w:val="60"/>
        </w:trPr>
        <w:tc>
          <w:tcPr>
            <w:tcW w:w="33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28"/>
        </w:trPr>
        <w:tc>
          <w:tcPr>
            <w:tcW w:w="33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ind w:right="501"/>
              <w:spacing w:after="0" w:line="228" w:lineRule="exact"/>
              <w:rPr>
                <w:sz w:val="20"/>
                <w:szCs w:val="20"/>
                <w:color w:val="auto"/>
              </w:rPr>
            </w:pPr>
            <w:r>
              <w:rPr>
                <w:rFonts w:ascii="Calibri" w:cs="Calibri" w:eastAsia="Calibri" w:hAnsi="Calibri"/>
                <w:sz w:val="20"/>
                <w:szCs w:val="20"/>
                <w:b w:val="1"/>
                <w:bCs w:val="1"/>
                <w:color w:val="auto"/>
              </w:rPr>
              <w:t>2024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61"/>
              <w:spacing w:after="0" w:line="228" w:lineRule="exact"/>
              <w:rPr>
                <w:sz w:val="20"/>
                <w:szCs w:val="20"/>
                <w:color w:val="auto"/>
              </w:rPr>
            </w:pPr>
            <w:r>
              <w:rPr>
                <w:rFonts w:ascii="Calibri" w:cs="Calibri" w:eastAsia="Calibri" w:hAnsi="Calibri"/>
                <w:sz w:val="20"/>
                <w:szCs w:val="20"/>
                <w:b w:val="1"/>
                <w:bCs w:val="1"/>
                <w:color w:val="auto"/>
              </w:rPr>
              <w:t>2023</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8"/>
        </w:trPr>
        <w:tc>
          <w:tcPr>
            <w:tcW w:w="3320" w:type="dxa"/>
            <w:vAlign w:val="bottom"/>
            <w:shd w:val="clear" w:color="auto" w:fill="CCEEFF"/>
          </w:tcPr>
          <w:p>
            <w:pPr>
              <w:spacing w:after="0" w:line="214" w:lineRule="exact"/>
              <w:rPr>
                <w:sz w:val="20"/>
                <w:szCs w:val="20"/>
                <w:color w:val="auto"/>
              </w:rPr>
            </w:pPr>
            <w:r>
              <w:rPr>
                <w:rFonts w:ascii="Calibri" w:cs="Calibri" w:eastAsia="Calibri" w:hAnsi="Calibri"/>
                <w:sz w:val="20"/>
                <w:szCs w:val="20"/>
                <w:color w:val="auto"/>
              </w:rPr>
              <w:t>Cash, cash equivalents and investments</w:t>
            </w:r>
          </w:p>
        </w:tc>
        <w:tc>
          <w:tcPr>
            <w:tcW w:w="2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81"/>
              <w:spacing w:after="0" w:line="228" w:lineRule="exact"/>
              <w:rPr>
                <w:sz w:val="20"/>
                <w:szCs w:val="20"/>
                <w:color w:val="auto"/>
              </w:rPr>
            </w:pPr>
            <w:r>
              <w:rPr>
                <w:rFonts w:ascii="Calibri" w:cs="Calibri" w:eastAsia="Calibri" w:hAnsi="Calibri"/>
                <w:sz w:val="20"/>
                <w:szCs w:val="20"/>
                <w:color w:val="auto"/>
                <w:w w:val="98"/>
              </w:rPr>
              <w:t>$</w:t>
            </w:r>
          </w:p>
        </w:tc>
        <w:tc>
          <w:tcPr>
            <w:tcW w:w="1560" w:type="dxa"/>
            <w:vAlign w:val="bottom"/>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882,353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8" w:lineRule="exact"/>
              <w:rPr>
                <w:sz w:val="20"/>
                <w:szCs w:val="20"/>
                <w:color w:val="auto"/>
              </w:rPr>
            </w:pPr>
            <w:r>
              <w:rPr>
                <w:rFonts w:ascii="Calibri" w:cs="Calibri" w:eastAsia="Calibri" w:hAnsi="Calibri"/>
                <w:sz w:val="20"/>
                <w:szCs w:val="20"/>
                <w:color w:val="auto"/>
                <w:w w:val="78"/>
              </w:rPr>
              <w:t>$</w:t>
            </w:r>
          </w:p>
        </w:tc>
        <w:tc>
          <w:tcPr>
            <w:tcW w:w="1260" w:type="dxa"/>
            <w:vAlign w:val="bottom"/>
            <w:shd w:val="clear" w:color="auto" w:fill="CCEEFF"/>
          </w:tcPr>
          <w:p>
            <w:pPr>
              <w:jc w:val="right"/>
              <w:spacing w:after="0" w:line="228" w:lineRule="exact"/>
              <w:rPr>
                <w:sz w:val="20"/>
                <w:szCs w:val="20"/>
                <w:color w:val="auto"/>
              </w:rPr>
            </w:pPr>
            <w:r>
              <w:rPr>
                <w:rFonts w:ascii="Calibri" w:cs="Calibri" w:eastAsia="Calibri" w:hAnsi="Calibri"/>
                <w:sz w:val="20"/>
                <w:szCs w:val="20"/>
                <w:color w:val="auto"/>
              </w:rPr>
              <w:t>767,171</w:t>
            </w:r>
          </w:p>
        </w:tc>
      </w:tr>
      <w:tr>
        <w:trPr>
          <w:trHeight w:val="63"/>
        </w:trPr>
        <w:tc>
          <w:tcPr>
            <w:tcW w:w="3320" w:type="dxa"/>
            <w:vAlign w:val="bottom"/>
            <w:shd w:val="clear" w:color="auto" w:fill="CCEEFF"/>
          </w:tcPr>
          <w:p>
            <w:pPr>
              <w:spacing w:after="0"/>
              <w:rPr>
                <w:sz w:val="5"/>
                <w:szCs w:val="5"/>
                <w:color w:val="auto"/>
              </w:rPr>
            </w:pPr>
          </w:p>
        </w:tc>
        <w:tc>
          <w:tcPr>
            <w:tcW w:w="22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34"/>
        </w:trPr>
        <w:tc>
          <w:tcPr>
            <w:tcW w:w="3320" w:type="dxa"/>
            <w:vAlign w:val="bottom"/>
          </w:tcPr>
          <w:p>
            <w:pPr>
              <w:spacing w:after="0" w:line="234" w:lineRule="exact"/>
              <w:rPr>
                <w:sz w:val="20"/>
                <w:szCs w:val="20"/>
                <w:color w:val="auto"/>
              </w:rPr>
            </w:pPr>
            <w:r>
              <w:rPr>
                <w:rFonts w:ascii="Calibri" w:cs="Calibri" w:eastAsia="Calibri" w:hAnsi="Calibri"/>
                <w:sz w:val="20"/>
                <w:szCs w:val="20"/>
                <w:color w:val="auto"/>
              </w:rPr>
              <w:t>Working capital (1)</w:t>
            </w:r>
          </w:p>
        </w:tc>
        <w:tc>
          <w:tcPr>
            <w:tcW w:w="2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597,187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593,470</w:t>
            </w:r>
          </w:p>
        </w:tc>
      </w:tr>
      <w:tr>
        <w:trPr>
          <w:trHeight w:val="36"/>
        </w:trPr>
        <w:tc>
          <w:tcPr>
            <w:tcW w:w="3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spacing w:after="0" w:line="234" w:lineRule="exact"/>
              <w:rPr>
                <w:sz w:val="20"/>
                <w:szCs w:val="20"/>
                <w:color w:val="auto"/>
              </w:rPr>
            </w:pPr>
            <w:r>
              <w:rPr>
                <w:rFonts w:ascii="Calibri" w:cs="Calibri" w:eastAsia="Calibri" w:hAnsi="Calibri"/>
                <w:sz w:val="20"/>
                <w:szCs w:val="20"/>
                <w:color w:val="auto"/>
              </w:rPr>
              <w:t>Total assets</w:t>
            </w:r>
          </w:p>
        </w:tc>
        <w:tc>
          <w:tcPr>
            <w:tcW w:w="2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300"/>
              <w:spacing w:after="0" w:line="234" w:lineRule="exact"/>
              <w:rPr>
                <w:sz w:val="20"/>
                <w:szCs w:val="20"/>
                <w:color w:val="auto"/>
              </w:rPr>
            </w:pPr>
            <w:r>
              <w:rPr>
                <w:rFonts w:ascii="Calibri" w:cs="Calibri" w:eastAsia="Calibri" w:hAnsi="Calibri"/>
                <w:sz w:val="20"/>
                <w:szCs w:val="20"/>
                <w:color w:val="auto"/>
              </w:rPr>
              <w:t>1,199,649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1,049,250</w:t>
            </w:r>
          </w:p>
        </w:tc>
      </w:tr>
      <w:tr>
        <w:trPr>
          <w:trHeight w:val="234"/>
        </w:trPr>
        <w:tc>
          <w:tcPr>
            <w:tcW w:w="3320" w:type="dxa"/>
            <w:vAlign w:val="bottom"/>
          </w:tcPr>
          <w:p>
            <w:pPr>
              <w:spacing w:after="0" w:line="234" w:lineRule="exact"/>
              <w:rPr>
                <w:sz w:val="20"/>
                <w:szCs w:val="20"/>
                <w:color w:val="auto"/>
              </w:rPr>
            </w:pPr>
            <w:r>
              <w:rPr>
                <w:rFonts w:ascii="Calibri" w:cs="Calibri" w:eastAsia="Calibri" w:hAnsi="Calibri"/>
                <w:sz w:val="20"/>
                <w:szCs w:val="20"/>
                <w:color w:val="auto"/>
              </w:rPr>
              <w:t>Deferred revenue (2)</w:t>
            </w:r>
          </w:p>
        </w:tc>
        <w:tc>
          <w:tcPr>
            <w:tcW w:w="2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60" w:type="dxa"/>
            <w:vAlign w:val="bottom"/>
            <w:gridSpan w:val="2"/>
          </w:tcPr>
          <w:p>
            <w:pPr>
              <w:jc w:val="right"/>
              <w:ind w:right="300"/>
              <w:spacing w:after="0" w:line="234" w:lineRule="exact"/>
              <w:rPr>
                <w:sz w:val="20"/>
                <w:szCs w:val="20"/>
                <w:color w:val="auto"/>
              </w:rPr>
            </w:pPr>
            <w:r>
              <w:rPr>
                <w:rFonts w:ascii="Calibri" w:cs="Calibri" w:eastAsia="Calibri" w:hAnsi="Calibri"/>
                <w:sz w:val="20"/>
                <w:szCs w:val="20"/>
                <w:color w:val="auto"/>
              </w:rPr>
              <w:t>12,034</w:t>
            </w:r>
          </w:p>
        </w:tc>
        <w:tc>
          <w:tcPr>
            <w:tcW w:w="10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5,604</w:t>
            </w:r>
          </w:p>
        </w:tc>
      </w:tr>
      <w:tr>
        <w:trPr>
          <w:trHeight w:val="36"/>
        </w:trPr>
        <w:tc>
          <w:tcPr>
            <w:tcW w:w="552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5920" w:type="dxa"/>
            <w:vAlign w:val="bottom"/>
            <w:tcBorders>
              <w:bottom w:val="single" w:sz="8" w:color="CCEEFF"/>
            </w:tcBorders>
            <w:gridSpan w:val="3"/>
            <w:shd w:val="clear" w:color="auto" w:fill="CCEEFF"/>
          </w:tcPr>
          <w:p>
            <w:pPr>
              <w:spacing w:after="0" w:line="234" w:lineRule="exact"/>
              <w:rPr>
                <w:sz w:val="20"/>
                <w:szCs w:val="20"/>
                <w:color w:val="auto"/>
              </w:rPr>
            </w:pPr>
            <w:r>
              <w:rPr>
                <w:rFonts w:ascii="Calibri" w:cs="Calibri" w:eastAsia="Calibri" w:hAnsi="Calibri"/>
                <w:sz w:val="20"/>
                <w:szCs w:val="20"/>
                <w:color w:val="auto"/>
              </w:rPr>
              <w:t>Liability related to the sale of future royaltes and revenues (2)</w:t>
            </w:r>
          </w:p>
        </w:tc>
        <w:tc>
          <w:tcPr>
            <w:tcW w:w="1860" w:type="dxa"/>
            <w:vAlign w:val="bottom"/>
            <w:tcBorders>
              <w:bottom w:val="single" w:sz="8" w:color="CCEEFF"/>
            </w:tcBorders>
            <w:gridSpan w:val="2"/>
            <w:shd w:val="clear" w:color="auto" w:fill="CCEEFF"/>
          </w:tcPr>
          <w:p>
            <w:pPr>
              <w:jc w:val="right"/>
              <w:ind w:right="300"/>
              <w:spacing w:after="0" w:line="234" w:lineRule="exact"/>
              <w:rPr>
                <w:sz w:val="20"/>
                <w:szCs w:val="20"/>
                <w:color w:val="auto"/>
              </w:rPr>
            </w:pPr>
            <w:r>
              <w:rPr>
                <w:rFonts w:ascii="Calibri" w:cs="Calibri" w:eastAsia="Calibri" w:hAnsi="Calibri"/>
                <w:sz w:val="20"/>
                <w:szCs w:val="20"/>
                <w:color w:val="auto"/>
              </w:rPr>
              <w:t>261,207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441,625</w:t>
            </w:r>
          </w:p>
        </w:tc>
      </w:tr>
      <w:tr>
        <w:trPr>
          <w:trHeight w:val="234"/>
        </w:trPr>
        <w:tc>
          <w:tcPr>
            <w:tcW w:w="3320" w:type="dxa"/>
            <w:vAlign w:val="bottom"/>
          </w:tcPr>
          <w:p>
            <w:pPr>
              <w:spacing w:after="0" w:line="234" w:lineRule="exact"/>
              <w:rPr>
                <w:sz w:val="20"/>
                <w:szCs w:val="20"/>
                <w:color w:val="auto"/>
              </w:rPr>
            </w:pPr>
            <w:r>
              <w:rPr>
                <w:rFonts w:ascii="Calibri" w:cs="Calibri" w:eastAsia="Calibri" w:hAnsi="Calibri"/>
                <w:sz w:val="20"/>
                <w:szCs w:val="20"/>
                <w:color w:val="auto"/>
              </w:rPr>
              <w:t>Term loan (2)</w:t>
            </w:r>
          </w:p>
        </w:tc>
        <w:tc>
          <w:tcPr>
            <w:tcW w:w="2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386,569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238,813</w:t>
            </w:r>
          </w:p>
        </w:tc>
      </w:tr>
      <w:tr>
        <w:trPr>
          <w:trHeight w:val="36"/>
        </w:trPr>
        <w:tc>
          <w:tcPr>
            <w:tcW w:w="33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3320" w:type="dxa"/>
            <w:vAlign w:val="bottom"/>
            <w:tcBorders>
              <w:bottom w:val="single" w:sz="8" w:color="CCEEFF"/>
            </w:tcBorders>
            <w:shd w:val="clear" w:color="auto" w:fill="CCEEFF"/>
          </w:tcPr>
          <w:p>
            <w:pPr>
              <w:spacing w:after="0" w:line="234" w:lineRule="exact"/>
              <w:rPr>
                <w:sz w:val="20"/>
                <w:szCs w:val="20"/>
                <w:color w:val="auto"/>
              </w:rPr>
            </w:pPr>
            <w:r>
              <w:rPr>
                <w:rFonts w:ascii="Calibri" w:cs="Calibri" w:eastAsia="Calibri" w:hAnsi="Calibri"/>
                <w:sz w:val="20"/>
                <w:szCs w:val="20"/>
                <w:color w:val="auto"/>
              </w:rPr>
              <w:t>Total liabilites</w:t>
            </w:r>
          </w:p>
        </w:tc>
        <w:tc>
          <w:tcPr>
            <w:tcW w:w="2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300"/>
              <w:spacing w:after="0" w:line="234" w:lineRule="exact"/>
              <w:rPr>
                <w:sz w:val="20"/>
                <w:szCs w:val="20"/>
                <w:color w:val="auto"/>
              </w:rPr>
            </w:pPr>
            <w:r>
              <w:rPr>
                <w:rFonts w:ascii="Calibri" w:cs="Calibri" w:eastAsia="Calibri" w:hAnsi="Calibri"/>
                <w:sz w:val="20"/>
                <w:szCs w:val="20"/>
                <w:color w:val="auto"/>
              </w:rPr>
              <w:t>886,501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line="234" w:lineRule="exact"/>
              <w:rPr>
                <w:sz w:val="20"/>
                <w:szCs w:val="20"/>
                <w:color w:val="auto"/>
              </w:rPr>
            </w:pPr>
            <w:r>
              <w:rPr>
                <w:rFonts w:ascii="Calibri" w:cs="Calibri" w:eastAsia="Calibri" w:hAnsi="Calibri"/>
                <w:sz w:val="20"/>
                <w:szCs w:val="20"/>
                <w:color w:val="auto"/>
              </w:rPr>
              <w:t>918,641</w:t>
            </w:r>
          </w:p>
        </w:tc>
      </w:tr>
      <w:tr>
        <w:trPr>
          <w:trHeight w:val="234"/>
        </w:trPr>
        <w:tc>
          <w:tcPr>
            <w:tcW w:w="3320" w:type="dxa"/>
            <w:vAlign w:val="bottom"/>
          </w:tcPr>
          <w:p>
            <w:pPr>
              <w:spacing w:after="0" w:line="234" w:lineRule="exact"/>
              <w:rPr>
                <w:sz w:val="20"/>
                <w:szCs w:val="20"/>
                <w:color w:val="auto"/>
              </w:rPr>
            </w:pPr>
            <w:r>
              <w:rPr>
                <w:rFonts w:ascii="Calibri" w:cs="Calibri" w:eastAsia="Calibri" w:hAnsi="Calibri"/>
                <w:sz w:val="20"/>
                <w:szCs w:val="20"/>
                <w:color w:val="auto"/>
              </w:rPr>
              <w:t>Total stockholders’ equity</w:t>
            </w:r>
          </w:p>
        </w:tc>
        <w:tc>
          <w:tcPr>
            <w:tcW w:w="2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tcPr>
          <w:p>
            <w:pPr>
              <w:jc w:val="right"/>
              <w:spacing w:after="0" w:line="234" w:lineRule="exact"/>
              <w:rPr>
                <w:sz w:val="20"/>
                <w:szCs w:val="20"/>
                <w:color w:val="auto"/>
              </w:rPr>
            </w:pPr>
            <w:r>
              <w:rPr>
                <w:rFonts w:ascii="Calibri" w:cs="Calibri" w:eastAsia="Calibri" w:hAnsi="Calibri"/>
                <w:sz w:val="20"/>
                <w:szCs w:val="20"/>
                <w:color w:val="auto"/>
              </w:rPr>
              <w:t>313,148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line="234" w:lineRule="exact"/>
              <w:rPr>
                <w:sz w:val="20"/>
                <w:szCs w:val="20"/>
                <w:color w:val="auto"/>
              </w:rPr>
            </w:pPr>
            <w:r>
              <w:rPr>
                <w:rFonts w:ascii="Calibri" w:cs="Calibri" w:eastAsia="Calibri" w:hAnsi="Calibri"/>
                <w:sz w:val="20"/>
                <w:szCs w:val="20"/>
                <w:color w:val="auto"/>
              </w:rPr>
              <w:t>130,609</w:t>
            </w:r>
          </w:p>
        </w:tc>
      </w:tr>
    </w:tbl>
    <w:p>
      <w:pPr>
        <w:spacing w:after="0" w:line="238" w:lineRule="exact"/>
        <w:rPr>
          <w:sz w:val="20"/>
          <w:szCs w:val="20"/>
          <w:color w:val="auto"/>
        </w:rPr>
      </w:pPr>
    </w:p>
    <w:p>
      <w:pPr>
        <w:ind w:left="600" w:hanging="311"/>
        <w:spacing w:after="0"/>
        <w:tabs>
          <w:tab w:leader="none" w:pos="60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Blueprint Medicines defnes working capital as current assets less current liabilites.</w:t>
      </w:r>
    </w:p>
    <w:p>
      <w:pPr>
        <w:ind w:left="620" w:hanging="331"/>
        <w:spacing w:after="0" w:line="235" w:lineRule="auto"/>
        <w:tabs>
          <w:tab w:leader="none" w:pos="6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Includes both current and long-term portons of the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727075</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140"/>
          </w:cols>
          <w:pgMar w:left="1360" w:top="117" w:right="1399" w:bottom="1440" w:gutter="0" w:footer="0" w:header="0"/>
        </w:sectPr>
      </w:pPr>
    </w:p>
    <w:bookmarkStart w:id="7" w:name="page8"/>
    <w:bookmarkEnd w:id="7"/>
    <w:p>
      <w:pPr>
        <w:jc w:val="center"/>
        <w:ind w:right="160"/>
        <w:spacing w:after="0"/>
        <w:rPr>
          <w:sz w:val="20"/>
          <w:szCs w:val="20"/>
          <w:color w:val="auto"/>
        </w:rPr>
      </w:pPr>
      <w:r>
        <w:rPr>
          <w:rFonts w:ascii="Calibri" w:cs="Calibri" w:eastAsia="Calibri" w:hAnsi="Calibri"/>
          <w:sz w:val="18"/>
          <w:szCs w:val="18"/>
          <w:b w:val="1"/>
          <w:bCs w:val="1"/>
          <w:color w:val="auto"/>
        </w:rPr>
        <w:t>Blueprint Medicines Corporaton</w:t>
      </w:r>
    </w:p>
    <w:p>
      <w:pPr>
        <w:jc w:val="center"/>
        <w:ind w:right="160"/>
        <w:spacing w:after="0" w:line="235" w:lineRule="auto"/>
        <w:rPr>
          <w:sz w:val="20"/>
          <w:szCs w:val="20"/>
          <w:color w:val="auto"/>
        </w:rPr>
      </w:pPr>
      <w:r>
        <w:rPr>
          <w:rFonts w:ascii="Calibri" w:cs="Calibri" w:eastAsia="Calibri" w:hAnsi="Calibri"/>
          <w:sz w:val="18"/>
          <w:szCs w:val="18"/>
          <w:b w:val="1"/>
          <w:bCs w:val="1"/>
          <w:color w:val="auto"/>
        </w:rPr>
        <w:t>Condensed Consolidated Statements of Operatons Data</w:t>
      </w:r>
    </w:p>
    <w:p>
      <w:pPr>
        <w:jc w:val="center"/>
        <w:ind w:right="160"/>
        <w:spacing w:after="0" w:line="236" w:lineRule="auto"/>
        <w:rPr>
          <w:sz w:val="20"/>
          <w:szCs w:val="20"/>
          <w:color w:val="auto"/>
        </w:rPr>
      </w:pPr>
      <w:r>
        <w:rPr>
          <w:rFonts w:ascii="Calibri" w:cs="Calibri" w:eastAsia="Calibri" w:hAnsi="Calibri"/>
          <w:sz w:val="18"/>
          <w:szCs w:val="18"/>
          <w:b w:val="1"/>
          <w:bCs w:val="1"/>
          <w:color w:val="auto"/>
        </w:rPr>
        <w:t>(in thousands, except per share data)</w:t>
      </w:r>
    </w:p>
    <w:p>
      <w:pPr>
        <w:jc w:val="center"/>
        <w:ind w:right="160"/>
        <w:spacing w:after="0" w:line="236" w:lineRule="auto"/>
        <w:rPr>
          <w:sz w:val="20"/>
          <w:szCs w:val="20"/>
          <w:color w:val="auto"/>
        </w:rPr>
      </w:pPr>
      <w:r>
        <w:rPr>
          <w:rFonts w:ascii="Calibri" w:cs="Calibri" w:eastAsia="Calibri" w:hAnsi="Calibri"/>
          <w:sz w:val="18"/>
          <w:szCs w:val="18"/>
          <w:b w:val="1"/>
          <w:bCs w:val="1"/>
          <w:i w:val="1"/>
          <w:iCs w:val="1"/>
          <w:color w:val="auto"/>
        </w:rPr>
        <w:t>(unaudited)</w:t>
      </w:r>
    </w:p>
    <w:p>
      <w:pPr>
        <w:spacing w:after="0" w:line="240" w:lineRule="exact"/>
        <w:rPr>
          <w:sz w:val="20"/>
          <w:szCs w:val="20"/>
          <w:color w:val="auto"/>
        </w:rPr>
      </w:pPr>
    </w:p>
    <w:tbl>
      <w:tblPr>
        <w:tblLayout w:type="fixed"/>
        <w:tblInd w:w="3820" w:type="dxa"/>
        <w:tblCellMar>
          <w:top w:w="0" w:type="dxa"/>
          <w:left w:w="0" w:type="dxa"/>
          <w:bottom w:w="0" w:type="dxa"/>
          <w:right w:w="0" w:type="dxa"/>
        </w:tblCellMar>
      </w:tblPr>
      <w:tr>
        <w:trPr>
          <w:trHeight w:val="220"/>
        </w:trPr>
        <w:tc>
          <w:tcPr>
            <w:tcW w:w="2780" w:type="dxa"/>
            <w:vAlign w:val="bottom"/>
            <w:gridSpan w:val="3"/>
          </w:tcPr>
          <w:p>
            <w:pPr>
              <w:jc w:val="right"/>
              <w:ind w:right="300"/>
              <w:spacing w:after="0"/>
              <w:rPr>
                <w:sz w:val="20"/>
                <w:szCs w:val="20"/>
                <w:color w:val="auto"/>
              </w:rPr>
            </w:pPr>
            <w:r>
              <w:rPr>
                <w:rFonts w:ascii="Calibri" w:cs="Calibri" w:eastAsia="Calibri" w:hAnsi="Calibri"/>
                <w:sz w:val="18"/>
                <w:szCs w:val="18"/>
                <w:b w:val="1"/>
                <w:bCs w:val="1"/>
                <w:color w:val="auto"/>
              </w:rPr>
              <w:t>Three Months Ended</w:t>
            </w:r>
          </w:p>
        </w:tc>
        <w:tc>
          <w:tcPr>
            <w:tcW w:w="2560" w:type="dxa"/>
            <w:vAlign w:val="bottom"/>
            <w:gridSpan w:val="2"/>
          </w:tcPr>
          <w:p>
            <w:pPr>
              <w:jc w:val="right"/>
              <w:ind w:right="10"/>
              <w:spacing w:after="0"/>
              <w:rPr>
                <w:sz w:val="20"/>
                <w:szCs w:val="20"/>
                <w:color w:val="auto"/>
              </w:rPr>
            </w:pPr>
            <w:r>
              <w:rPr>
                <w:rFonts w:ascii="Calibri" w:cs="Calibri" w:eastAsia="Calibri" w:hAnsi="Calibri"/>
                <w:sz w:val="18"/>
                <w:szCs w:val="18"/>
                <w:b w:val="1"/>
                <w:bCs w:val="1"/>
                <w:color w:val="auto"/>
              </w:rPr>
              <w:t>Nine Months Ended</w:t>
            </w:r>
          </w:p>
        </w:tc>
      </w:tr>
      <w:tr>
        <w:trPr>
          <w:trHeight w:val="270"/>
        </w:trPr>
        <w:tc>
          <w:tcPr>
            <w:tcW w:w="1240" w:type="dxa"/>
            <w:vAlign w:val="bottom"/>
          </w:tcPr>
          <w:p>
            <w:pPr>
              <w:spacing w:after="0"/>
              <w:rPr>
                <w:sz w:val="23"/>
                <w:szCs w:val="23"/>
                <w:color w:val="auto"/>
              </w:rPr>
            </w:pPr>
          </w:p>
        </w:tc>
        <w:tc>
          <w:tcPr>
            <w:tcW w:w="1540" w:type="dxa"/>
            <w:vAlign w:val="bottom"/>
            <w:gridSpan w:val="2"/>
          </w:tcPr>
          <w:p>
            <w:pPr>
              <w:jc w:val="right"/>
              <w:ind w:right="300"/>
              <w:spacing w:after="0"/>
              <w:rPr>
                <w:sz w:val="20"/>
                <w:szCs w:val="20"/>
                <w:color w:val="auto"/>
              </w:rPr>
            </w:pPr>
            <w:r>
              <w:rPr>
                <w:rFonts w:ascii="Calibri" w:cs="Calibri" w:eastAsia="Calibri" w:hAnsi="Calibri"/>
                <w:sz w:val="18"/>
                <w:szCs w:val="18"/>
                <w:b w:val="1"/>
                <w:bCs w:val="1"/>
                <w:color w:val="auto"/>
              </w:rPr>
              <w:t>September 30,</w:t>
            </w:r>
          </w:p>
        </w:tc>
        <w:tc>
          <w:tcPr>
            <w:tcW w:w="12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September 30,</w:t>
            </w:r>
          </w:p>
        </w:tc>
      </w:tr>
      <w:tr>
        <w:trPr>
          <w:trHeight w:val="37"/>
        </w:trPr>
        <w:tc>
          <w:tcPr>
            <w:tcW w:w="1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13"/>
        </w:trPr>
        <w:tc>
          <w:tcPr>
            <w:tcW w:w="1240" w:type="dxa"/>
            <w:vAlign w:val="bottom"/>
          </w:tcPr>
          <w:p>
            <w:pPr>
              <w:jc w:val="right"/>
              <w:ind w:right="70"/>
              <w:spacing w:after="0" w:line="213" w:lineRule="exact"/>
              <w:rPr>
                <w:sz w:val="20"/>
                <w:szCs w:val="20"/>
                <w:color w:val="auto"/>
              </w:rPr>
            </w:pPr>
            <w:r>
              <w:rPr>
                <w:rFonts w:ascii="Calibri" w:cs="Calibri" w:eastAsia="Calibri" w:hAnsi="Calibri"/>
                <w:sz w:val="18"/>
                <w:szCs w:val="18"/>
                <w:b w:val="1"/>
                <w:bCs w:val="1"/>
                <w:color w:val="auto"/>
              </w:rPr>
              <w:t>2024</w:t>
            </w:r>
          </w:p>
        </w:tc>
        <w:tc>
          <w:tcPr>
            <w:tcW w:w="1340" w:type="dxa"/>
            <w:vAlign w:val="bottom"/>
          </w:tcPr>
          <w:p>
            <w:pPr>
              <w:jc w:val="right"/>
              <w:ind w:right="10"/>
              <w:spacing w:after="0" w:line="213" w:lineRule="exact"/>
              <w:rPr>
                <w:sz w:val="20"/>
                <w:szCs w:val="20"/>
                <w:color w:val="auto"/>
              </w:rPr>
            </w:pPr>
            <w:r>
              <w:rPr>
                <w:rFonts w:ascii="Calibri" w:cs="Calibri" w:eastAsia="Calibri" w:hAnsi="Calibri"/>
                <w:sz w:val="18"/>
                <w:szCs w:val="18"/>
                <w:b w:val="1"/>
                <w:bCs w:val="1"/>
                <w:color w:val="auto"/>
              </w:rPr>
              <w:t>2023</w:t>
            </w:r>
          </w:p>
        </w:tc>
        <w:tc>
          <w:tcPr>
            <w:tcW w:w="200" w:type="dxa"/>
            <w:vAlign w:val="bottom"/>
          </w:tcPr>
          <w:p>
            <w:pPr>
              <w:spacing w:after="0"/>
              <w:rPr>
                <w:sz w:val="18"/>
                <w:szCs w:val="18"/>
                <w:color w:val="auto"/>
              </w:rPr>
            </w:pPr>
          </w:p>
        </w:tc>
        <w:tc>
          <w:tcPr>
            <w:tcW w:w="1220" w:type="dxa"/>
            <w:vAlign w:val="bottom"/>
          </w:tcPr>
          <w:p>
            <w:pPr>
              <w:jc w:val="right"/>
              <w:ind w:right="90"/>
              <w:spacing w:after="0" w:line="213" w:lineRule="exact"/>
              <w:rPr>
                <w:sz w:val="20"/>
                <w:szCs w:val="20"/>
                <w:color w:val="auto"/>
              </w:rPr>
            </w:pPr>
            <w:r>
              <w:rPr>
                <w:rFonts w:ascii="Calibri" w:cs="Calibri" w:eastAsia="Calibri" w:hAnsi="Calibri"/>
                <w:sz w:val="18"/>
                <w:szCs w:val="18"/>
                <w:b w:val="1"/>
                <w:bCs w:val="1"/>
                <w:color w:val="auto"/>
              </w:rPr>
              <w:t>2024</w:t>
            </w:r>
          </w:p>
        </w:tc>
        <w:tc>
          <w:tcPr>
            <w:tcW w:w="1340" w:type="dxa"/>
            <w:vAlign w:val="bottom"/>
          </w:tcPr>
          <w:p>
            <w:pPr>
              <w:jc w:val="right"/>
              <w:ind w:right="10"/>
              <w:spacing w:after="0" w:line="213" w:lineRule="exact"/>
              <w:rPr>
                <w:sz w:val="20"/>
                <w:szCs w:val="20"/>
                <w:color w:val="auto"/>
              </w:rPr>
            </w:pPr>
            <w:r>
              <w:rPr>
                <w:rFonts w:ascii="Calibri" w:cs="Calibri" w:eastAsia="Calibri" w:hAnsi="Calibri"/>
                <w:sz w:val="18"/>
                <w:szCs w:val="18"/>
                <w:b w:val="1"/>
                <w:bCs w:val="1"/>
                <w:color w:val="auto"/>
              </w:rPr>
              <w:t>2023</w:t>
            </w:r>
          </w:p>
        </w:tc>
      </w:tr>
    </w:tbl>
    <w:p>
      <w:pPr>
        <w:spacing w:after="0" w:line="23"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568325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3250" cy="171450"/>
                    </a:xfrm>
                    <a:prstGeom prst="rect">
                      <a:avLst/>
                    </a:prstGeom>
                    <a:noFill/>
                  </pic:spPr>
                </pic:pic>
              </a:graphicData>
            </a:graphic>
          </wp:anchor>
        </w:drawing>
      </w:r>
    </w:p>
    <w:p>
      <w:pPr>
        <w:spacing w:after="0" w:line="30" w:lineRule="exact"/>
        <w:rPr>
          <w:sz w:val="20"/>
          <w:szCs w:val="20"/>
          <w:color w:val="auto"/>
        </w:rPr>
      </w:pPr>
    </w:p>
    <w:tbl>
      <w:tblPr>
        <w:tblLayout w:type="fixed"/>
        <w:tblInd w:w="220" w:type="dxa"/>
        <w:tblCellMar>
          <w:top w:w="0" w:type="dxa"/>
          <w:left w:w="0" w:type="dxa"/>
          <w:bottom w:w="0" w:type="dxa"/>
          <w:right w:w="0" w:type="dxa"/>
        </w:tblCellMar>
      </w:tblPr>
      <w:tr>
        <w:trPr>
          <w:trHeight w:val="247"/>
        </w:trPr>
        <w:tc>
          <w:tcPr>
            <w:tcW w:w="3600" w:type="dxa"/>
            <w:vAlign w:val="bottom"/>
          </w:tcPr>
          <w:p>
            <w:pPr>
              <w:ind w:left="200"/>
              <w:spacing w:after="0"/>
              <w:rPr>
                <w:sz w:val="20"/>
                <w:szCs w:val="20"/>
                <w:color w:val="auto"/>
              </w:rPr>
            </w:pPr>
            <w:r>
              <w:rPr>
                <w:rFonts w:ascii="Calibri" w:cs="Calibri" w:eastAsia="Calibri" w:hAnsi="Calibri"/>
                <w:sz w:val="18"/>
                <w:szCs w:val="18"/>
                <w:color w:val="auto"/>
              </w:rPr>
              <w:t>Product revenue, net</w:t>
            </w:r>
          </w:p>
        </w:tc>
        <w:tc>
          <w:tcPr>
            <w:tcW w:w="30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880" w:type="dxa"/>
            <w:vAlign w:val="bottom"/>
          </w:tcPr>
          <w:p>
            <w:pPr>
              <w:jc w:val="right"/>
              <w:ind w:right="50"/>
              <w:spacing w:after="0"/>
              <w:rPr>
                <w:sz w:val="20"/>
                <w:szCs w:val="20"/>
                <w:color w:val="auto"/>
              </w:rPr>
            </w:pPr>
            <w:r>
              <w:rPr>
                <w:rFonts w:ascii="Calibri" w:cs="Calibri" w:eastAsia="Calibri" w:hAnsi="Calibri"/>
                <w:sz w:val="18"/>
                <w:szCs w:val="18"/>
                <w:color w:val="auto"/>
              </w:rPr>
              <w:t>128,184</w:t>
            </w:r>
          </w:p>
        </w:tc>
        <w:tc>
          <w:tcPr>
            <w:tcW w:w="20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ind w:right="70"/>
              <w:spacing w:after="0"/>
              <w:rPr>
                <w:sz w:val="20"/>
                <w:szCs w:val="20"/>
                <w:color w:val="auto"/>
              </w:rPr>
            </w:pPr>
            <w:r>
              <w:rPr>
                <w:rFonts w:ascii="Calibri" w:cs="Calibri" w:eastAsia="Calibri" w:hAnsi="Calibri"/>
                <w:sz w:val="18"/>
                <w:szCs w:val="18"/>
                <w:color w:val="auto"/>
              </w:rPr>
              <w:t>54,228</w:t>
            </w:r>
          </w:p>
        </w:tc>
        <w:tc>
          <w:tcPr>
            <w:tcW w:w="2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840" w:type="dxa"/>
            <w:vAlign w:val="bottom"/>
          </w:tcPr>
          <w:p>
            <w:pPr>
              <w:jc w:val="right"/>
              <w:ind w:right="50"/>
              <w:spacing w:after="0"/>
              <w:rPr>
                <w:sz w:val="20"/>
                <w:szCs w:val="20"/>
                <w:color w:val="auto"/>
              </w:rPr>
            </w:pPr>
            <w:r>
              <w:rPr>
                <w:rFonts w:ascii="Calibri" w:cs="Calibri" w:eastAsia="Calibri" w:hAnsi="Calibri"/>
                <w:sz w:val="18"/>
                <w:szCs w:val="18"/>
                <w:color w:val="auto"/>
              </w:rPr>
              <w:t>334,825</w:t>
            </w:r>
          </w:p>
        </w:tc>
        <w:tc>
          <w:tcPr>
            <w:tcW w:w="2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Calibri" w:cs="Calibri" w:eastAsia="Calibri" w:hAnsi="Calibri"/>
                <w:sz w:val="18"/>
                <w:szCs w:val="18"/>
                <w:color w:val="auto"/>
              </w:rPr>
              <w:t>$</w:t>
            </w:r>
          </w:p>
        </w:tc>
        <w:tc>
          <w:tcPr>
            <w:tcW w:w="900" w:type="dxa"/>
            <w:vAlign w:val="bottom"/>
          </w:tcPr>
          <w:p>
            <w:pPr>
              <w:jc w:val="right"/>
              <w:ind w:right="50"/>
              <w:spacing w:after="0"/>
              <w:rPr>
                <w:sz w:val="20"/>
                <w:szCs w:val="20"/>
                <w:color w:val="auto"/>
              </w:rPr>
            </w:pPr>
            <w:r>
              <w:rPr>
                <w:rFonts w:ascii="Calibri" w:cs="Calibri" w:eastAsia="Calibri" w:hAnsi="Calibri"/>
                <w:sz w:val="18"/>
                <w:szCs w:val="18"/>
                <w:color w:val="auto"/>
              </w:rPr>
              <w:t>133,173</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Collaboraton, license and 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2,338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27,633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44,250</w:t>
            </w:r>
          </w:p>
        </w:tc>
        <w:tc>
          <w:tcPr>
            <w:tcW w:w="0" w:type="dxa"/>
            <w:vAlign w:val="bottom"/>
          </w:tcPr>
          <w:p>
            <w:pPr>
              <w:spacing w:after="0"/>
              <w:rPr>
                <w:sz w:val="1"/>
                <w:szCs w:val="1"/>
                <w:color w:val="auto"/>
              </w:rPr>
            </w:pPr>
          </w:p>
        </w:tc>
      </w:tr>
      <w:tr>
        <w:trPr>
          <w:trHeight w:val="213"/>
        </w:trPr>
        <w:tc>
          <w:tcPr>
            <w:tcW w:w="3600" w:type="dxa"/>
            <w:vAlign w:val="bottom"/>
          </w:tcPr>
          <w:p>
            <w:pPr>
              <w:ind w:left="80"/>
              <w:spacing w:after="0" w:line="195" w:lineRule="exact"/>
              <w:rPr>
                <w:sz w:val="20"/>
                <w:szCs w:val="20"/>
                <w:color w:val="auto"/>
              </w:rPr>
            </w:pPr>
            <w:r>
              <w:rPr>
                <w:rFonts w:ascii="Calibri" w:cs="Calibri" w:eastAsia="Calibri" w:hAnsi="Calibri"/>
                <w:sz w:val="18"/>
                <w:szCs w:val="18"/>
                <w:color w:val="auto"/>
              </w:rPr>
              <w:t>Total revenues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128,184</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line="213" w:lineRule="exact"/>
              <w:rPr>
                <w:sz w:val="20"/>
                <w:szCs w:val="20"/>
                <w:color w:val="auto"/>
              </w:rPr>
            </w:pPr>
            <w:r>
              <w:rPr>
                <w:rFonts w:ascii="Calibri" w:cs="Calibri" w:eastAsia="Calibri" w:hAnsi="Calibri"/>
                <w:sz w:val="18"/>
                <w:szCs w:val="18"/>
                <w:color w:val="auto"/>
              </w:rPr>
              <w:t>56,566</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362,458</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177,423</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Cost and operatng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600" w:type="dxa"/>
            <w:vAlign w:val="bottom"/>
          </w:tcPr>
          <w:p>
            <w:pPr>
              <w:ind w:left="200"/>
              <w:spacing w:after="0" w:line="215" w:lineRule="exact"/>
              <w:rPr>
                <w:sz w:val="20"/>
                <w:szCs w:val="20"/>
                <w:color w:val="auto"/>
              </w:rPr>
            </w:pPr>
            <w:r>
              <w:rPr>
                <w:rFonts w:ascii="Calibri" w:cs="Calibri" w:eastAsia="Calibri" w:hAnsi="Calibri"/>
                <w:sz w:val="18"/>
                <w:szCs w:val="18"/>
                <w:color w:val="auto"/>
              </w:rPr>
              <w:t>Cost of sales</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Calibri" w:cs="Calibri" w:eastAsia="Calibri" w:hAnsi="Calibri"/>
                <w:sz w:val="18"/>
                <w:szCs w:val="18"/>
                <w:color w:val="auto"/>
              </w:rPr>
              <w:t>1,932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Calibri" w:cs="Calibri" w:eastAsia="Calibri" w:hAnsi="Calibri"/>
                <w:sz w:val="18"/>
                <w:szCs w:val="18"/>
                <w:color w:val="auto"/>
              </w:rPr>
              <w:t>2,782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Calibri" w:cs="Calibri" w:eastAsia="Calibri" w:hAnsi="Calibri"/>
                <w:sz w:val="18"/>
                <w:szCs w:val="18"/>
                <w:color w:val="auto"/>
              </w:rPr>
              <w:t>12,716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Calibri" w:cs="Calibri" w:eastAsia="Calibri" w:hAnsi="Calibri"/>
                <w:sz w:val="18"/>
                <w:szCs w:val="18"/>
                <w:color w:val="auto"/>
              </w:rPr>
              <w:t>8,280</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Collaboraton loss sharing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1,771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Calibri" w:cs="Calibri" w:eastAsia="Calibri" w:hAnsi="Calibri"/>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4,301</w:t>
            </w:r>
          </w:p>
        </w:tc>
        <w:tc>
          <w:tcPr>
            <w:tcW w:w="0" w:type="dxa"/>
            <w:vAlign w:val="bottom"/>
          </w:tcPr>
          <w:p>
            <w:pPr>
              <w:spacing w:after="0"/>
              <w:rPr>
                <w:sz w:val="1"/>
                <w:szCs w:val="1"/>
                <w:color w:val="auto"/>
              </w:rPr>
            </w:pPr>
          </w:p>
        </w:tc>
      </w:tr>
      <w:tr>
        <w:trPr>
          <w:trHeight w:val="233"/>
        </w:trPr>
        <w:tc>
          <w:tcPr>
            <w:tcW w:w="360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w:t>
            </w: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Calibri" w:cs="Calibri" w:eastAsia="Calibri" w:hAnsi="Calibri"/>
                <w:sz w:val="18"/>
                <w:szCs w:val="18"/>
                <w:color w:val="auto"/>
              </w:rPr>
              <w:t>85,300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Calibri" w:cs="Calibri" w:eastAsia="Calibri" w:hAnsi="Calibri"/>
                <w:sz w:val="18"/>
                <w:szCs w:val="18"/>
                <w:color w:val="auto"/>
              </w:rPr>
              <w:t>110,252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Calibri" w:cs="Calibri" w:eastAsia="Calibri" w:hAnsi="Calibri"/>
                <w:sz w:val="18"/>
                <w:szCs w:val="18"/>
                <w:color w:val="auto"/>
              </w:rPr>
              <w:t>257,761</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Calibri" w:cs="Calibri" w:eastAsia="Calibri" w:hAnsi="Calibri"/>
                <w:sz w:val="18"/>
                <w:szCs w:val="18"/>
                <w:color w:val="auto"/>
              </w:rPr>
              <w:t>330,184</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89,926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70,741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262,822</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215,826</w:t>
            </w:r>
          </w:p>
        </w:tc>
        <w:tc>
          <w:tcPr>
            <w:tcW w:w="0" w:type="dxa"/>
            <w:vAlign w:val="bottom"/>
          </w:tcPr>
          <w:p>
            <w:pPr>
              <w:spacing w:after="0"/>
              <w:rPr>
                <w:sz w:val="1"/>
                <w:szCs w:val="1"/>
                <w:color w:val="auto"/>
              </w:rPr>
            </w:pPr>
          </w:p>
        </w:tc>
      </w:tr>
      <w:tr>
        <w:trPr>
          <w:trHeight w:val="213"/>
        </w:trPr>
        <w:tc>
          <w:tcPr>
            <w:tcW w:w="3600" w:type="dxa"/>
            <w:vAlign w:val="bottom"/>
          </w:tcPr>
          <w:p>
            <w:pPr>
              <w:ind w:left="80"/>
              <w:spacing w:after="0" w:line="195" w:lineRule="exact"/>
              <w:rPr>
                <w:sz w:val="20"/>
                <w:szCs w:val="20"/>
                <w:color w:val="auto"/>
              </w:rPr>
            </w:pPr>
            <w:r>
              <w:rPr>
                <w:rFonts w:ascii="Calibri" w:cs="Calibri" w:eastAsia="Calibri" w:hAnsi="Calibri"/>
                <w:sz w:val="18"/>
                <w:szCs w:val="18"/>
                <w:color w:val="auto"/>
              </w:rPr>
              <w:t>Total cost and operatng expenses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177,158</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70"/>
              <w:spacing w:after="0" w:line="213" w:lineRule="exact"/>
              <w:rPr>
                <w:sz w:val="20"/>
                <w:szCs w:val="20"/>
                <w:color w:val="auto"/>
              </w:rPr>
            </w:pPr>
            <w:r>
              <w:rPr>
                <w:rFonts w:ascii="Calibri" w:cs="Calibri" w:eastAsia="Calibri" w:hAnsi="Calibri"/>
                <w:sz w:val="18"/>
                <w:szCs w:val="18"/>
                <w:color w:val="auto"/>
              </w:rPr>
              <w:t>185,546</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533,299</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line="213" w:lineRule="exact"/>
              <w:rPr>
                <w:sz w:val="20"/>
                <w:szCs w:val="20"/>
                <w:color w:val="auto"/>
              </w:rPr>
            </w:pPr>
            <w:r>
              <w:rPr>
                <w:rFonts w:ascii="Calibri" w:cs="Calibri" w:eastAsia="Calibri" w:hAnsi="Calibri"/>
                <w:sz w:val="18"/>
                <w:szCs w:val="18"/>
                <w:color w:val="auto"/>
              </w:rPr>
              <w:t>558,591</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60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expense, net</w:t>
            </w: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Calibri" w:cs="Calibri" w:eastAsia="Calibri" w:hAnsi="Calibri"/>
                <w:sz w:val="18"/>
                <w:szCs w:val="18"/>
                <w:color w:val="auto"/>
              </w:rPr>
              <w:t>(7,616)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Calibri" w:cs="Calibri" w:eastAsia="Calibri" w:hAnsi="Calibri"/>
                <w:sz w:val="18"/>
                <w:szCs w:val="18"/>
                <w:color w:val="auto"/>
              </w:rPr>
              <w:t>(3,808)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Calibri" w:cs="Calibri" w:eastAsia="Calibri" w:hAnsi="Calibri"/>
                <w:sz w:val="18"/>
                <w:szCs w:val="18"/>
                <w:color w:val="auto"/>
              </w:rPr>
              <w:t>(20,376)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Calibri" w:cs="Calibri" w:eastAsia="Calibri" w:hAnsi="Calibri"/>
                <w:sz w:val="18"/>
                <w:szCs w:val="18"/>
                <w:color w:val="auto"/>
              </w:rPr>
              <w:t>(13,624)</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Calibri" w:cs="Calibri" w:eastAsia="Calibri" w:hAnsi="Calibri"/>
                <w:sz w:val="18"/>
                <w:szCs w:val="18"/>
                <w:color w:val="auto"/>
              </w:rPr>
              <w:t>587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(728)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Calibri" w:cs="Calibri" w:eastAsia="Calibri" w:hAnsi="Calibri"/>
                <w:sz w:val="18"/>
                <w:szCs w:val="18"/>
                <w:color w:val="auto"/>
              </w:rPr>
              <w:t>962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(369)</w:t>
            </w:r>
          </w:p>
        </w:tc>
        <w:tc>
          <w:tcPr>
            <w:tcW w:w="0" w:type="dxa"/>
            <w:vAlign w:val="bottom"/>
          </w:tcPr>
          <w:p>
            <w:pPr>
              <w:spacing w:after="0"/>
              <w:rPr>
                <w:sz w:val="1"/>
                <w:szCs w:val="1"/>
                <w:color w:val="auto"/>
              </w:rPr>
            </w:pPr>
          </w:p>
        </w:tc>
      </w:tr>
      <w:tr>
        <w:trPr>
          <w:trHeight w:val="233"/>
        </w:trPr>
        <w:tc>
          <w:tcPr>
            <w:tcW w:w="3600" w:type="dxa"/>
            <w:vAlign w:val="bottom"/>
          </w:tcPr>
          <w:p>
            <w:pPr>
              <w:ind w:left="200"/>
              <w:spacing w:after="0" w:line="215" w:lineRule="exact"/>
              <w:rPr>
                <w:sz w:val="20"/>
                <w:szCs w:val="20"/>
                <w:color w:val="auto"/>
              </w:rPr>
            </w:pPr>
            <w:r>
              <w:rPr>
                <w:rFonts w:ascii="Calibri" w:cs="Calibri" w:eastAsia="Calibri" w:hAnsi="Calibri"/>
                <w:sz w:val="18"/>
                <w:szCs w:val="18"/>
                <w:color w:val="auto"/>
              </w:rPr>
              <w:t>Debt extnguishment gain</w:t>
            </w:r>
          </w:p>
        </w:tc>
        <w:tc>
          <w:tcPr>
            <w:tcW w:w="3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Calibri" w:cs="Calibri" w:eastAsia="Calibri" w:hAnsi="Calibri"/>
                <w:sz w:val="18"/>
                <w:szCs w:val="18"/>
                <w:color w:val="auto"/>
              </w:rPr>
              <w:t>—</w:t>
            </w: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Calibri" w:cs="Calibri" w:eastAsia="Calibri" w:hAnsi="Calibri"/>
                <w:sz w:val="18"/>
                <w:szCs w:val="18"/>
                <w:color w:val="auto"/>
              </w:rPr>
              <w:t>173,676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37"/>
        </w:trPr>
        <w:tc>
          <w:tcPr>
            <w:tcW w:w="36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80"/>
              <w:spacing w:after="0" w:line="195" w:lineRule="exact"/>
              <w:rPr>
                <w:sz w:val="20"/>
                <w:szCs w:val="20"/>
                <w:color w:val="auto"/>
              </w:rPr>
            </w:pPr>
            <w:r>
              <w:rPr>
                <w:rFonts w:ascii="Calibri" w:cs="Calibri" w:eastAsia="Calibri" w:hAnsi="Calibri"/>
                <w:sz w:val="18"/>
                <w:szCs w:val="18"/>
                <w:color w:val="auto"/>
              </w:rPr>
              <w:t>Total 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line="213" w:lineRule="exact"/>
              <w:rPr>
                <w:sz w:val="20"/>
                <w:szCs w:val="20"/>
                <w:color w:val="auto"/>
              </w:rPr>
            </w:pPr>
            <w:r>
              <w:rPr>
                <w:rFonts w:ascii="Calibri" w:cs="Calibri" w:eastAsia="Calibri" w:hAnsi="Calibri"/>
                <w:sz w:val="18"/>
                <w:szCs w:val="18"/>
                <w:color w:val="auto"/>
              </w:rPr>
              <w:t>(7,029)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line="213" w:lineRule="exact"/>
              <w:rPr>
                <w:sz w:val="20"/>
                <w:szCs w:val="20"/>
                <w:color w:val="auto"/>
              </w:rPr>
            </w:pPr>
            <w:r>
              <w:rPr>
                <w:rFonts w:ascii="Calibri" w:cs="Calibri" w:eastAsia="Calibri" w:hAnsi="Calibri"/>
                <w:sz w:val="18"/>
                <w:szCs w:val="18"/>
                <w:color w:val="auto"/>
              </w:rPr>
              <w:t>(4,536)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line="213" w:lineRule="exact"/>
              <w:rPr>
                <w:sz w:val="20"/>
                <w:szCs w:val="20"/>
                <w:color w:val="auto"/>
              </w:rPr>
            </w:pPr>
            <w:r>
              <w:rPr>
                <w:rFonts w:ascii="Calibri" w:cs="Calibri" w:eastAsia="Calibri" w:hAnsi="Calibri"/>
                <w:sz w:val="18"/>
                <w:szCs w:val="18"/>
                <w:color w:val="auto"/>
              </w:rPr>
              <w:t>154,262</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line="213" w:lineRule="exact"/>
              <w:rPr>
                <w:sz w:val="20"/>
                <w:szCs w:val="20"/>
                <w:color w:val="auto"/>
              </w:rPr>
            </w:pPr>
            <w:r>
              <w:rPr>
                <w:rFonts w:ascii="Calibri" w:cs="Calibri" w:eastAsia="Calibri" w:hAnsi="Calibri"/>
                <w:sz w:val="18"/>
                <w:szCs w:val="18"/>
                <w:color w:val="auto"/>
              </w:rPr>
              <w:t>(13,993)</w:t>
            </w:r>
          </w:p>
        </w:tc>
        <w:tc>
          <w:tcPr>
            <w:tcW w:w="0" w:type="dxa"/>
            <w:vAlign w:val="bottom"/>
          </w:tcPr>
          <w:p>
            <w:pPr>
              <w:spacing w:after="0"/>
              <w:rPr>
                <w:sz w:val="1"/>
                <w:szCs w:val="1"/>
                <w:color w:val="auto"/>
              </w:rPr>
            </w:pPr>
          </w:p>
        </w:tc>
      </w:tr>
      <w:tr>
        <w:trPr>
          <w:trHeight w:val="213"/>
        </w:trPr>
        <w:tc>
          <w:tcPr>
            <w:tcW w:w="3600" w:type="dxa"/>
            <w:vAlign w:val="bottom"/>
          </w:tcPr>
          <w:p>
            <w:pPr>
              <w:ind w:left="80"/>
              <w:spacing w:after="0" w:line="195" w:lineRule="exact"/>
              <w:rPr>
                <w:sz w:val="20"/>
                <w:szCs w:val="20"/>
                <w:color w:val="auto"/>
              </w:rPr>
            </w:pPr>
            <w:r>
              <w:rPr>
                <w:rFonts w:ascii="Calibri" w:cs="Calibri" w:eastAsia="Calibri" w:hAnsi="Calibri"/>
                <w:sz w:val="18"/>
                <w:szCs w:val="18"/>
                <w:color w:val="auto"/>
              </w:rPr>
              <w:t>Loss before income taxes</w:t>
            </w: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rPr>
              <w:t>(56,003)</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rPr>
              <w:t>(133,516)</w:t>
            </w: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rPr>
              <w:t>(16,579)</w:t>
            </w: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0"/>
              <w:spacing w:after="0" w:line="213" w:lineRule="exact"/>
              <w:rPr>
                <w:sz w:val="20"/>
                <w:szCs w:val="20"/>
                <w:color w:val="auto"/>
              </w:rPr>
            </w:pPr>
            <w:r>
              <w:rPr>
                <w:rFonts w:ascii="Calibri" w:cs="Calibri" w:eastAsia="Calibri" w:hAnsi="Calibri"/>
                <w:sz w:val="18"/>
                <w:szCs w:val="18"/>
                <w:color w:val="auto"/>
              </w:rPr>
              <w:t>(395,161)</w:t>
            </w: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80"/>
              <w:spacing w:after="0" w:line="215" w:lineRule="exact"/>
              <w:rPr>
                <w:sz w:val="20"/>
                <w:szCs w:val="20"/>
                <w:color w:val="auto"/>
              </w:rPr>
            </w:pPr>
            <w:r>
              <w:rPr>
                <w:rFonts w:ascii="Calibri" w:cs="Calibri" w:eastAsia="Calibri" w:hAnsi="Calibri"/>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273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Calibri" w:cs="Calibri" w:eastAsia="Calibri" w:hAnsi="Calibri"/>
                <w:sz w:val="18"/>
                <w:szCs w:val="18"/>
                <w:color w:val="auto"/>
              </w:rPr>
              <w:t>197</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554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Calibri" w:cs="Calibri" w:eastAsia="Calibri" w:hAnsi="Calibri"/>
                <w:sz w:val="18"/>
                <w:szCs w:val="18"/>
                <w:color w:val="auto"/>
              </w:rPr>
              <w:t>907</w:t>
            </w:r>
          </w:p>
        </w:tc>
        <w:tc>
          <w:tcPr>
            <w:tcW w:w="0" w:type="dxa"/>
            <w:vAlign w:val="bottom"/>
          </w:tcPr>
          <w:p>
            <w:pPr>
              <w:spacing w:after="0"/>
              <w:rPr>
                <w:sz w:val="1"/>
                <w:szCs w:val="1"/>
                <w:color w:val="auto"/>
              </w:rPr>
            </w:pPr>
          </w:p>
        </w:tc>
      </w:tr>
      <w:tr>
        <w:trPr>
          <w:trHeight w:val="208"/>
        </w:trPr>
        <w:tc>
          <w:tcPr>
            <w:tcW w:w="3600" w:type="dxa"/>
            <w:vAlign w:val="bottom"/>
          </w:tcPr>
          <w:p>
            <w:pPr>
              <w:ind w:left="80"/>
              <w:spacing w:after="0" w:line="195" w:lineRule="exact"/>
              <w:rPr>
                <w:sz w:val="20"/>
                <w:szCs w:val="20"/>
                <w:color w:val="auto"/>
              </w:rPr>
            </w:pPr>
            <w:r>
              <w:rPr>
                <w:rFonts w:ascii="Calibri" w:cs="Calibri" w:eastAsia="Calibri" w:hAnsi="Calibri"/>
                <w:sz w:val="18"/>
                <w:szCs w:val="18"/>
                <w:color w:val="auto"/>
              </w:rPr>
              <w:t>Net Loss</w:t>
            </w:r>
          </w:p>
        </w:tc>
        <w:tc>
          <w:tcPr>
            <w:tcW w:w="3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8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(56,276)</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(133,713)</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84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(17,133)</w:t>
            </w: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90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(396,068)</w:t>
            </w:r>
          </w:p>
        </w:tc>
        <w:tc>
          <w:tcPr>
            <w:tcW w:w="0" w:type="dxa"/>
            <w:vAlign w:val="bottom"/>
          </w:tcPr>
          <w:p>
            <w:pPr>
              <w:spacing w:after="0"/>
              <w:rPr>
                <w:sz w:val="1"/>
                <w:szCs w:val="1"/>
                <w:color w:val="auto"/>
              </w:rPr>
            </w:pPr>
          </w:p>
        </w:tc>
      </w:tr>
      <w:tr>
        <w:trPr>
          <w:trHeight w:val="68"/>
        </w:trPr>
        <w:tc>
          <w:tcPr>
            <w:tcW w:w="36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EEFF"/>
            </w:tcBorders>
            <w:shd w:val="clear" w:color="auto" w:fill="CCEEFF"/>
          </w:tcPr>
          <w:p>
            <w:pPr>
              <w:ind w:left="80"/>
              <w:spacing w:after="0" w:line="175" w:lineRule="exact"/>
              <w:rPr>
                <w:sz w:val="20"/>
                <w:szCs w:val="20"/>
                <w:color w:val="auto"/>
              </w:rPr>
            </w:pPr>
            <w:r>
              <w:rPr>
                <w:rFonts w:ascii="Calibri" w:cs="Calibri" w:eastAsia="Calibri" w:hAnsi="Calibri"/>
                <w:sz w:val="18"/>
                <w:szCs w:val="18"/>
                <w:color w:val="auto"/>
              </w:rPr>
              <w:t>Net Loss per share — basic and diluted</w:t>
            </w:r>
          </w:p>
        </w:tc>
        <w:tc>
          <w:tcPr>
            <w:tcW w:w="30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w:t>
            </w:r>
          </w:p>
        </w:tc>
        <w:tc>
          <w:tcPr>
            <w:tcW w:w="88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(0.89)</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(2.20)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(0.27)</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30"/>
              <w:spacing w:after="0" w:line="203"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Calibri" w:cs="Calibri" w:eastAsia="Calibri" w:hAnsi="Calibri"/>
                <w:sz w:val="18"/>
                <w:szCs w:val="18"/>
                <w:color w:val="auto"/>
              </w:rPr>
              <w:t>(6.55)</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80"/>
              <w:spacing w:after="0" w:line="207" w:lineRule="exact"/>
              <w:rPr>
                <w:sz w:val="20"/>
                <w:szCs w:val="20"/>
                <w:color w:val="auto"/>
              </w:rPr>
            </w:pPr>
            <w:r>
              <w:rPr>
                <w:rFonts w:ascii="Calibri" w:cs="Calibri" w:eastAsia="Calibri" w:hAnsi="Calibri"/>
                <w:sz w:val="18"/>
                <w:szCs w:val="18"/>
                <w:color w:val="auto"/>
              </w:rPr>
              <w:t>Weighted-average number of common</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6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600" w:type="dxa"/>
            <w:vAlign w:val="bottom"/>
          </w:tcPr>
          <w:p>
            <w:pPr>
              <w:ind w:left="80"/>
              <w:spacing w:after="0" w:line="215" w:lineRule="exact"/>
              <w:rPr>
                <w:sz w:val="20"/>
                <w:szCs w:val="20"/>
                <w:color w:val="auto"/>
              </w:rPr>
            </w:pPr>
            <w:r>
              <w:rPr>
                <w:rFonts w:ascii="Calibri" w:cs="Calibri" w:eastAsia="Calibri" w:hAnsi="Calibri"/>
                <w:sz w:val="18"/>
                <w:szCs w:val="18"/>
                <w:color w:val="auto"/>
              </w:rPr>
              <w:t>shares used in net loss per share —basic</w:t>
            </w:r>
          </w:p>
        </w:tc>
        <w:tc>
          <w:tcPr>
            <w:tcW w:w="300" w:type="dxa"/>
            <w:vAlign w:val="bottom"/>
          </w:tcPr>
          <w:p>
            <w:pPr>
              <w:spacing w:after="0"/>
              <w:rPr>
                <w:sz w:val="18"/>
                <w:szCs w:val="18"/>
                <w:color w:val="auto"/>
              </w:rPr>
            </w:pPr>
          </w:p>
        </w:tc>
        <w:tc>
          <w:tcPr>
            <w:tcW w:w="88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63,381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vMerge w:val="restart"/>
          </w:tcPr>
          <w:p>
            <w:pPr>
              <w:jc w:val="right"/>
              <w:ind w:right="70"/>
              <w:spacing w:after="0"/>
              <w:rPr>
                <w:sz w:val="20"/>
                <w:szCs w:val="20"/>
                <w:color w:val="auto"/>
              </w:rPr>
            </w:pPr>
            <w:r>
              <w:rPr>
                <w:rFonts w:ascii="Calibri" w:cs="Calibri" w:eastAsia="Calibri" w:hAnsi="Calibri"/>
                <w:sz w:val="18"/>
                <w:szCs w:val="18"/>
                <w:color w:val="auto"/>
              </w:rPr>
              <w:t>60,688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62,608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vMerge w:val="restart"/>
          </w:tcPr>
          <w:p>
            <w:pPr>
              <w:jc w:val="right"/>
              <w:ind w:right="50"/>
              <w:spacing w:after="0"/>
              <w:rPr>
                <w:sz w:val="20"/>
                <w:szCs w:val="20"/>
                <w:color w:val="auto"/>
              </w:rPr>
            </w:pPr>
            <w:r>
              <w:rPr>
                <w:rFonts w:ascii="Calibri" w:cs="Calibri" w:eastAsia="Calibri" w:hAnsi="Calibri"/>
                <w:sz w:val="18"/>
                <w:szCs w:val="18"/>
                <w:color w:val="auto"/>
              </w:rPr>
              <w:t>60,445</w:t>
            </w:r>
          </w:p>
        </w:tc>
        <w:tc>
          <w:tcPr>
            <w:tcW w:w="0" w:type="dxa"/>
            <w:vAlign w:val="bottom"/>
          </w:tcPr>
          <w:p>
            <w:pPr>
              <w:spacing w:after="0"/>
              <w:rPr>
                <w:sz w:val="1"/>
                <w:szCs w:val="1"/>
                <w:color w:val="auto"/>
              </w:rPr>
            </w:pPr>
          </w:p>
        </w:tc>
      </w:tr>
      <w:tr>
        <w:trPr>
          <w:trHeight w:val="235"/>
        </w:trPr>
        <w:tc>
          <w:tcPr>
            <w:tcW w:w="3600" w:type="dxa"/>
            <w:vAlign w:val="bottom"/>
          </w:tcPr>
          <w:p>
            <w:pPr>
              <w:ind w:left="80"/>
              <w:spacing w:after="0"/>
              <w:rPr>
                <w:sz w:val="20"/>
                <w:szCs w:val="20"/>
                <w:color w:val="auto"/>
              </w:rPr>
            </w:pPr>
            <w:r>
              <w:rPr>
                <w:rFonts w:ascii="Calibri" w:cs="Calibri" w:eastAsia="Calibri" w:hAnsi="Calibri"/>
                <w:sz w:val="18"/>
                <w:szCs w:val="18"/>
                <w:color w:val="auto"/>
              </w:rPr>
              <w:t>and diluted</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Media Contact</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Andrew Law</w:t>
      </w:r>
    </w:p>
    <w:p>
      <w:pPr>
        <w:ind w:left="200"/>
        <w:spacing w:after="0" w:line="235" w:lineRule="auto"/>
        <w:rPr>
          <w:sz w:val="20"/>
          <w:szCs w:val="20"/>
          <w:color w:val="auto"/>
        </w:rPr>
      </w:pPr>
      <w:r>
        <w:rPr>
          <w:rFonts w:ascii="Calibri" w:cs="Calibri" w:eastAsia="Calibri" w:hAnsi="Calibri"/>
          <w:sz w:val="18"/>
          <w:szCs w:val="18"/>
          <w:color w:val="auto"/>
        </w:rPr>
        <w:t>617-844-8205</w:t>
      </w:r>
    </w:p>
    <w:p>
      <w:pPr>
        <w:ind w:left="200"/>
        <w:spacing w:after="0" w:line="236" w:lineRule="auto"/>
        <w:rPr>
          <w:sz w:val="20"/>
          <w:szCs w:val="20"/>
          <w:color w:val="auto"/>
        </w:rPr>
      </w:pPr>
      <w:r>
        <w:rPr>
          <w:rFonts w:ascii="Calibri" w:cs="Calibri" w:eastAsia="Calibri" w:hAnsi="Calibri"/>
          <w:sz w:val="18"/>
          <w:szCs w:val="18"/>
          <w:u w:val="single" w:color="auto"/>
          <w:color w:val="0563C1"/>
        </w:rPr>
        <w:t>media@blueprintmedicines.com</w:t>
      </w:r>
    </w:p>
    <w:p>
      <w:pPr>
        <w:spacing w:after="0" w:line="213" w:lineRule="exact"/>
        <w:rPr>
          <w:sz w:val="20"/>
          <w:szCs w:val="20"/>
          <w:color w:val="auto"/>
        </w:rPr>
      </w:pPr>
    </w:p>
    <w:p>
      <w:pPr>
        <w:ind w:left="200"/>
        <w:spacing w:after="0"/>
        <w:rPr>
          <w:sz w:val="20"/>
          <w:szCs w:val="20"/>
          <w:color w:val="auto"/>
        </w:rPr>
      </w:pPr>
      <w:r>
        <w:rPr>
          <w:rFonts w:ascii="Calibri" w:cs="Calibri" w:eastAsia="Calibri" w:hAnsi="Calibri"/>
          <w:sz w:val="18"/>
          <w:szCs w:val="18"/>
          <w:b w:val="1"/>
          <w:bCs w:val="1"/>
          <w:color w:val="auto"/>
        </w:rPr>
        <w:t>Investor Contact</w:t>
      </w:r>
    </w:p>
    <w:p>
      <w:pPr>
        <w:spacing w:after="0" w:line="212" w:lineRule="exact"/>
        <w:rPr>
          <w:sz w:val="20"/>
          <w:szCs w:val="20"/>
          <w:color w:val="auto"/>
        </w:rPr>
      </w:pPr>
    </w:p>
    <w:p>
      <w:pPr>
        <w:ind w:left="200"/>
        <w:spacing w:after="0"/>
        <w:rPr>
          <w:sz w:val="20"/>
          <w:szCs w:val="20"/>
          <w:color w:val="auto"/>
        </w:rPr>
      </w:pPr>
      <w:r>
        <w:rPr>
          <w:rFonts w:ascii="Calibri" w:cs="Calibri" w:eastAsia="Calibri" w:hAnsi="Calibri"/>
          <w:sz w:val="18"/>
          <w:szCs w:val="18"/>
          <w:color w:val="auto"/>
        </w:rPr>
        <w:t>Jenna Cohen</w:t>
      </w:r>
    </w:p>
    <w:p>
      <w:pPr>
        <w:ind w:left="200"/>
        <w:spacing w:after="0" w:line="221" w:lineRule="auto"/>
        <w:rPr>
          <w:sz w:val="20"/>
          <w:szCs w:val="20"/>
          <w:color w:val="auto"/>
        </w:rPr>
      </w:pPr>
      <w:r>
        <w:rPr>
          <w:rFonts w:ascii="Calibri" w:cs="Calibri" w:eastAsia="Calibri" w:hAnsi="Calibri"/>
          <w:sz w:val="18"/>
          <w:szCs w:val="18"/>
          <w:color w:val="auto"/>
        </w:rPr>
        <w:t>857-209-3147</w:t>
      </w:r>
    </w:p>
    <w:p>
      <w:pPr>
        <w:ind w:left="200"/>
        <w:spacing w:after="0" w:line="236" w:lineRule="auto"/>
        <w:rPr>
          <w:sz w:val="20"/>
          <w:szCs w:val="20"/>
          <w:color w:val="auto"/>
        </w:rPr>
      </w:pPr>
      <w:r>
        <w:rPr>
          <w:rFonts w:ascii="Calibri" w:cs="Calibri" w:eastAsia="Calibri" w:hAnsi="Calibri"/>
          <w:sz w:val="18"/>
          <w:szCs w:val="18"/>
          <w:u w:val="single" w:color="auto"/>
          <w:color w:val="0563C1"/>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358140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160"/>
      </w:cols>
      <w:pgMar w:left="1440" w:top="112"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2024-10-30T06:13:31Z</dcterms:created>
  <dcterms:modified xsi:type="dcterms:W3CDTF">2024-10-30T06:13:31Z</dcterms:modified>
</cp:coreProperties>
</file>