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846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462645"/>
                    </a:xfrm>
                    <a:prstGeom prst="rect">
                      <a:avLst/>
                    </a:prstGeom>
                    <a:noFill/>
                  </pic:spPr>
                </pic:pic>
              </a:graphicData>
            </a:graphic>
          </wp:anchor>
        </w:drawing>
      </w:r>
    </w:p>
    <w:p>
      <w:pPr>
        <w:spacing w:after="0" w:line="1176" w:lineRule="exact"/>
        <w:rPr>
          <w:sz w:val="24"/>
          <w:szCs w:val="24"/>
          <w:color w:val="auto"/>
        </w:rPr>
      </w:pPr>
    </w:p>
    <w:p>
      <w:pPr>
        <w:sectPr>
          <w:pgSz w:w="11900" w:h="16913"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COATS LONNEL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Blueprint Medicines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BPMC</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45 SIDNEY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13"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913"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9"/>
              </w:rPr>
              <w:t>6,144</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1"/>
                <w:szCs w:val="11"/>
                <w:color w:val="008000"/>
              </w:rPr>
              <w:t>(3)(4)</w:t>
            </w:r>
          </w:p>
        </w:tc>
        <w:tc>
          <w:tcPr>
            <w:tcW w:w="7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43"/>
              <w:spacing w:after="0" w:line="129" w:lineRule="exact"/>
              <w:rPr>
                <w:sz w:val="20"/>
                <w:szCs w:val="20"/>
                <w:color w:val="auto"/>
              </w:rPr>
            </w:pPr>
            <w:r>
              <w:rPr>
                <w:rFonts w:ascii="Arial" w:cs="Arial" w:eastAsia="Arial" w:hAnsi="Arial"/>
                <w:sz w:val="12"/>
                <w:szCs w:val="12"/>
                <w:b w:val="1"/>
                <w:bCs w:val="1"/>
                <w:color w:val="auto"/>
                <w:w w:val="95"/>
              </w:rPr>
              <w:t>Expiration</w:t>
            </w:r>
          </w:p>
        </w:tc>
        <w:tc>
          <w:tcPr>
            <w:tcW w:w="62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11,818</w:t>
            </w:r>
          </w:p>
        </w:tc>
        <w:tc>
          <w:tcPr>
            <w:tcW w:w="780" w:type="dxa"/>
            <w:vAlign w:val="bottom"/>
            <w:gridSpan w:val="2"/>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11,818</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jc w:val="center"/>
              <w:ind w:right="4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19.53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10,909</w:t>
            </w:r>
          </w:p>
        </w:tc>
        <w:tc>
          <w:tcPr>
            <w:tcW w:w="780" w:type="dxa"/>
            <w:vAlign w:val="bottom"/>
            <w:gridSpan w:val="2"/>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10,909</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jc w:val="center"/>
              <w:ind w:right="4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46.02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10,909</w:t>
            </w:r>
          </w:p>
        </w:tc>
        <w:tc>
          <w:tcPr>
            <w:tcW w:w="780" w:type="dxa"/>
            <w:vAlign w:val="bottom"/>
            <w:gridSpan w:val="2"/>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10,909</w:t>
            </w:r>
          </w:p>
        </w:tc>
        <w:tc>
          <w:tcPr>
            <w:tcW w:w="760" w:type="dxa"/>
            <w:vAlign w:val="bottom"/>
            <w:gridSpan w:val="2"/>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jc w:val="center"/>
              <w:ind w:right="40"/>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96.77</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4,875</w:t>
            </w: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4,875</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76.24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3,188</w:t>
            </w: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3,188</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87.13</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4,500</w:t>
            </w: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4,500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5,300</w:t>
            </w: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5,300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63.66</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5,300</w:t>
            </w: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5,300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106.14</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4,570</w:t>
            </w:r>
          </w:p>
        </w:tc>
        <w:tc>
          <w:tcPr>
            <w:tcW w:w="780" w:type="dxa"/>
            <w:vAlign w:val="bottom"/>
            <w:gridSpan w:val="2"/>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tcPr>
          <w:p>
            <w:pPr>
              <w:jc w:val="center"/>
              <w:ind w:right="40"/>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4,570</w:t>
            </w:r>
          </w:p>
        </w:tc>
        <w:tc>
          <w:tcPr>
            <w:tcW w:w="76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1"/>
                <w:szCs w:val="11"/>
                <w:color w:val="008000"/>
              </w:rPr>
              <w:t>(5)</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restart"/>
          </w:tcPr>
          <w:p>
            <w:pPr>
              <w:jc w:val="center"/>
              <w:ind w:right="40"/>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Form 4 reports securities transacted pursuant to the Agreement and Plan of Merger (the "Merger Agreement") by and among the Issuer, SANOFI, a French societe anonyme ("Parent"), Aventis Inc., a</w:t>
      </w:r>
    </w:p>
    <w:p>
      <w:pPr>
        <w:sectPr>
          <w:pgSz w:w="11900" w:h="16913"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Pennsylvania corporation and wholly owned subsidiary of Parent ("Aventis"), and Rothko Merger Sub, Inc., a Delaware corporation and wholly owned subsidiary of Aventis ("Purchaser").</w:t>
      </w:r>
    </w:p>
    <w:p>
      <w:pPr>
        <w:spacing w:after="0" w:line="43" w:lineRule="exact"/>
        <w:rPr>
          <w:sz w:val="20"/>
          <w:szCs w:val="20"/>
          <w:color w:val="auto"/>
        </w:rPr>
      </w:pPr>
    </w:p>
    <w:p>
      <w:pPr>
        <w:ind w:left="120" w:hanging="119"/>
        <w:spacing w:after="0"/>
        <w:tabs>
          <w:tab w:leader="none" w:pos="12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Purchaser completed a tender offer to acquire all of the issued and outstanding shares of common stock of the Issuer, par value $0.001 per share (the "Common Stock"), for</w:t>
      </w:r>
    </w:p>
    <w:p>
      <w:pPr>
        <w:spacing w:after="0" w:line="17" w:lineRule="exact"/>
        <w:rPr>
          <w:rFonts w:ascii="Times New Roman" w:cs="Times New Roman" w:eastAsia="Times New Roman" w:hAnsi="Times New Roman"/>
          <w:sz w:val="12"/>
          <w:szCs w:val="12"/>
          <w:color w:val="008000"/>
        </w:rPr>
      </w:pPr>
    </w:p>
    <w:p>
      <w:pPr>
        <w:ind w:right="20"/>
        <w:spacing w:after="0" w:line="23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2"/>
          <w:szCs w:val="12"/>
          <w:color w:val="008000"/>
        </w:rPr>
      </w:pPr>
    </w:p>
    <w:p>
      <w:pPr>
        <w:ind w:right="120" w:firstLine="1"/>
        <w:spacing w:after="0" w:line="254"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w:t>
      </w:r>
    </w:p>
    <w:p>
      <w:pPr>
        <w:spacing w:after="0" w:line="17" w:lineRule="exact"/>
        <w:rPr>
          <w:rFonts w:ascii="Times New Roman" w:cs="Times New Roman" w:eastAsia="Times New Roman" w:hAnsi="Times New Roman"/>
          <w:sz w:val="13"/>
          <w:szCs w:val="13"/>
          <w:color w:val="008000"/>
        </w:rPr>
      </w:pPr>
    </w:p>
    <w:p>
      <w:pPr>
        <w:ind w:right="220" w:firstLine="1"/>
        <w:spacing w:after="0" w:line="254"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2,242 shares of Common Stock held by the Reporting Person were cancelled and automatically converted into the right to receive the Offer Consideration.</w:t>
      </w:r>
    </w:p>
    <w:p>
      <w:pPr>
        <w:spacing w:after="0" w:line="17" w:lineRule="exact"/>
        <w:rPr>
          <w:rFonts w:ascii="Times New Roman" w:cs="Times New Roman" w:eastAsia="Times New Roman" w:hAnsi="Times New Roman"/>
          <w:sz w:val="13"/>
          <w:szCs w:val="13"/>
          <w:color w:val="008000"/>
        </w:rPr>
      </w:pPr>
    </w:p>
    <w:p>
      <w:pPr>
        <w:ind w:firstLine="1"/>
        <w:spacing w:after="0" w:line="235" w:lineRule="auto"/>
        <w:tabs>
          <w:tab w:leader="none" w:pos="12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6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-86360</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20" w:firstLine="1"/>
        <w:spacing w:after="0" w:line="335"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2528"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2025-07-21T18:51:36Z</dcterms:created>
  <dcterms:modified xsi:type="dcterms:W3CDTF">2025-07-21T18:51:36Z</dcterms:modified>
</cp:coreProperties>
</file>