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line="203"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420" w:hanging="196"/>
        <w:spacing w:after="0"/>
        <w:tabs>
          <w:tab w:leader="none" w:pos="420" w:val="left"/>
        </w:tabs>
        <w:numPr>
          <w:ilvl w:val="0"/>
          <w:numId w:val="1"/>
        </w:numPr>
        <w:rPr>
          <w:rFonts w:ascii="MS PGothic" w:cs="MS PGothic" w:eastAsia="MS PGothic" w:hAnsi="MS PGothic"/>
          <w:sz w:val="14"/>
          <w:szCs w:val="14"/>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7" w:lineRule="exact"/>
        <w:rPr>
          <w:rFonts w:ascii="MS PGothic" w:cs="MS PGothic" w:eastAsia="MS PGothic" w:hAnsi="MS PGothic"/>
          <w:sz w:val="14"/>
          <w:szCs w:val="14"/>
          <w:color w:val="auto"/>
        </w:rPr>
      </w:pPr>
    </w:p>
    <w:p>
      <w:pPr>
        <w:ind w:left="3220"/>
        <w:spacing w:after="0"/>
        <w:rPr>
          <w:rFonts w:ascii="MS PGothic" w:cs="MS PGothic" w:eastAsia="MS PGothic" w:hAnsi="MS PGothic"/>
          <w:sz w:val="14"/>
          <w:szCs w:val="14"/>
          <w:color w:val="auto"/>
        </w:rPr>
      </w:pPr>
      <w:r>
        <w:rPr>
          <w:rFonts w:ascii="Arial" w:cs="Arial" w:eastAsia="Arial" w:hAnsi="Arial"/>
          <w:sz w:val="18"/>
          <w:szCs w:val="18"/>
          <w:b w:val="1"/>
          <w:bCs w:val="1"/>
          <w:color w:val="auto"/>
        </w:rPr>
        <w:t>For the quarterly period ended March 31, 2019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8" w:lineRule="exact"/>
        <w:rPr>
          <w:sz w:val="24"/>
          <w:szCs w:val="24"/>
          <w:color w:val="auto"/>
        </w:rPr>
      </w:pPr>
    </w:p>
    <w:p>
      <w:pPr>
        <w:jc w:val="center"/>
        <w:ind w:left="940" w:right="440"/>
        <w:spacing w:after="0" w:line="31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001-37359</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jc w:val="center"/>
        <w:spacing w:after="0" w:line="213"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2520" w:type="dxa"/>
            <w:vAlign w:val="bottom"/>
          </w:tcPr>
          <w:p>
            <w:pPr>
              <w:jc w:val="center"/>
              <w:ind w:right="368"/>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26-3632015</w:t>
            </w:r>
          </w:p>
        </w:tc>
        <w:tc>
          <w:tcPr>
            <w:tcW w:w="0" w:type="dxa"/>
            <w:vAlign w:val="bottom"/>
          </w:tcPr>
          <w:p>
            <w:pPr>
              <w:spacing w:after="0"/>
              <w:rPr>
                <w:sz w:val="1"/>
                <w:szCs w:val="1"/>
                <w:color w:val="auto"/>
              </w:rPr>
            </w:pPr>
          </w:p>
        </w:tc>
      </w:tr>
      <w:tr>
        <w:trPr>
          <w:trHeight w:val="108"/>
        </w:trPr>
        <w:tc>
          <w:tcPr>
            <w:tcW w:w="2520" w:type="dxa"/>
            <w:vAlign w:val="bottom"/>
          </w:tcPr>
          <w:p>
            <w:pPr>
              <w:jc w:val="center"/>
              <w:ind w:right="368"/>
              <w:spacing w:after="0" w:line="109" w:lineRule="exact"/>
              <w:rPr>
                <w:sz w:val="20"/>
                <w:szCs w:val="20"/>
                <w:color w:val="auto"/>
              </w:rPr>
            </w:pPr>
            <w:r>
              <w:rPr>
                <w:rFonts w:ascii="Arial" w:cs="Arial" w:eastAsia="Arial" w:hAnsi="Arial"/>
                <w:sz w:val="11"/>
                <w:szCs w:val="11"/>
                <w:b w:val="1"/>
                <w:bCs w:val="1"/>
                <w:color w:val="auto"/>
                <w:w w:val="89"/>
              </w:rPr>
              <w:t>(State or Other Jurisdiction of</w:t>
            </w:r>
          </w:p>
        </w:tc>
        <w:tc>
          <w:tcPr>
            <w:tcW w:w="4060" w:type="dxa"/>
            <w:vAlign w:val="bottom"/>
          </w:tcPr>
          <w:p>
            <w:pPr>
              <w:jc w:val="center"/>
              <w:ind w:left="3128"/>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2520" w:type="dxa"/>
            <w:vAlign w:val="bottom"/>
          </w:tcPr>
          <w:p>
            <w:pPr>
              <w:jc w:val="center"/>
              <w:ind w:right="368"/>
              <w:spacing w:after="0"/>
              <w:rPr>
                <w:sz w:val="20"/>
                <w:szCs w:val="20"/>
                <w:color w:val="auto"/>
              </w:rPr>
            </w:pPr>
            <w:r>
              <w:rPr>
                <w:rFonts w:ascii="Arial" w:cs="Arial" w:eastAsia="Arial" w:hAnsi="Arial"/>
                <w:sz w:val="11"/>
                <w:szCs w:val="11"/>
                <w:b w:val="1"/>
                <w:bCs w:val="1"/>
                <w:color w:val="auto"/>
                <w:w w:val="90"/>
              </w:rPr>
              <w:t>Incorporation or Organization)</w:t>
            </w:r>
          </w:p>
        </w:tc>
        <w:tc>
          <w:tcPr>
            <w:tcW w:w="4060" w:type="dxa"/>
            <w:vAlign w:val="bottom"/>
          </w:tcPr>
          <w:p>
            <w:pPr>
              <w:jc w:val="center"/>
              <w:ind w:left="3108"/>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51"/>
        </w:trPr>
        <w:tc>
          <w:tcPr>
            <w:tcW w:w="2520" w:type="dxa"/>
            <w:vAlign w:val="bottom"/>
          </w:tcPr>
          <w:p>
            <w:pPr>
              <w:jc w:val="center"/>
              <w:ind w:right="368"/>
              <w:spacing w:after="0"/>
              <w:rPr>
                <w:sz w:val="20"/>
                <w:szCs w:val="20"/>
                <w:color w:val="auto"/>
              </w:rPr>
            </w:pPr>
            <w:r>
              <w:rPr>
                <w:rFonts w:ascii="Arial" w:cs="Arial" w:eastAsia="Arial" w:hAnsi="Arial"/>
                <w:sz w:val="18"/>
                <w:szCs w:val="18"/>
                <w:b w:val="1"/>
                <w:bCs w:val="1"/>
                <w:color w:val="auto"/>
                <w:w w:val="88"/>
              </w:rPr>
              <w:t>45 Sidney Street</w:t>
            </w:r>
          </w:p>
        </w:tc>
        <w:tc>
          <w:tcPr>
            <w:tcW w:w="4060" w:type="dxa"/>
            <w:vAlign w:val="bottom"/>
            <w:vMerge w:val="restart"/>
          </w:tcPr>
          <w:p>
            <w:pPr>
              <w:jc w:val="right"/>
              <w:ind w:right="148"/>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2520" w:type="dxa"/>
            <w:vAlign w:val="bottom"/>
          </w:tcPr>
          <w:p>
            <w:pPr>
              <w:jc w:val="center"/>
              <w:ind w:right="368"/>
              <w:spacing w:after="0" w:line="176" w:lineRule="exact"/>
              <w:rPr>
                <w:sz w:val="20"/>
                <w:szCs w:val="20"/>
                <w:color w:val="auto"/>
              </w:rPr>
            </w:pPr>
            <w:r>
              <w:rPr>
                <w:rFonts w:ascii="Arial" w:cs="Arial" w:eastAsia="Arial" w:hAnsi="Arial"/>
                <w:sz w:val="18"/>
                <w:szCs w:val="18"/>
                <w:b w:val="1"/>
                <w:bCs w:val="1"/>
                <w:color w:val="auto"/>
                <w:w w:val="89"/>
              </w:rPr>
              <w:t>Cambridge, Massachusetts</w:t>
            </w:r>
          </w:p>
        </w:tc>
        <w:tc>
          <w:tcPr>
            <w:tcW w:w="4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520" w:type="dxa"/>
            <w:vAlign w:val="bottom"/>
          </w:tcPr>
          <w:p>
            <w:pPr>
              <w:jc w:val="center"/>
              <w:ind w:right="368"/>
              <w:spacing w:after="0" w:line="109"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4060" w:type="dxa"/>
            <w:vAlign w:val="bottom"/>
          </w:tcPr>
          <w:p>
            <w:pPr>
              <w:jc w:val="center"/>
              <w:ind w:left="3108"/>
              <w:spacing w:after="0" w:line="109" w:lineRule="exact"/>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187"/>
        </w:trPr>
        <w:tc>
          <w:tcPr>
            <w:tcW w:w="2520" w:type="dxa"/>
            <w:vAlign w:val="bottom"/>
          </w:tcPr>
          <w:p>
            <w:pPr>
              <w:spacing w:after="0"/>
              <w:rPr>
                <w:sz w:val="16"/>
                <w:szCs w:val="16"/>
                <w:color w:val="auto"/>
              </w:rPr>
            </w:pPr>
          </w:p>
        </w:tc>
        <w:tc>
          <w:tcPr>
            <w:tcW w:w="4060" w:type="dxa"/>
            <w:vAlign w:val="bottom"/>
          </w:tcPr>
          <w:p>
            <w:pPr>
              <w:jc w:val="right"/>
              <w:ind w:right="2408"/>
              <w:spacing w:after="0" w:line="188" w:lineRule="exact"/>
              <w:rPr>
                <w:sz w:val="20"/>
                <w:szCs w:val="20"/>
                <w:color w:val="auto"/>
              </w:rPr>
            </w:pPr>
            <w:r>
              <w:rPr>
                <w:rFonts w:ascii="Arial" w:cs="Arial" w:eastAsia="Arial" w:hAnsi="Arial"/>
                <w:sz w:val="18"/>
                <w:szCs w:val="18"/>
                <w:b w:val="1"/>
                <w:bCs w:val="1"/>
                <w:color w:val="auto"/>
              </w:rPr>
              <w:t>(617) 374-7580</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152" w:lineRule="exact"/>
        <w:rPr>
          <w:sz w:val="24"/>
          <w:szCs w:val="24"/>
          <w:color w:val="auto"/>
        </w:rPr>
      </w:pPr>
    </w:p>
    <w:p>
      <w:pPr>
        <w:ind w:right="24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40" w:firstLine="415"/>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7" w:lineRule="exact"/>
        <w:rPr>
          <w:sz w:val="24"/>
          <w:szCs w:val="24"/>
          <w:color w:val="auto"/>
        </w:rPr>
      </w:pPr>
    </w:p>
    <w:p>
      <w:pPr>
        <w:ind w:firstLine="415"/>
        <w:spacing w:after="0" w:line="30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060"/>
          </w:cols>
          <w:pgMar w:left="920" w:top="220" w:right="919" w:bottom="1440" w:gutter="0" w:footer="0" w:header="0"/>
        </w:sectPr>
      </w:pPr>
    </w:p>
    <w:p>
      <w:pPr>
        <w:spacing w:after="0" w:line="27" w:lineRule="exact"/>
        <w:rPr>
          <w:sz w:val="24"/>
          <w:szCs w:val="24"/>
          <w:color w:val="auto"/>
        </w:rPr>
      </w:pPr>
    </w:p>
    <w:p>
      <w:pPr>
        <w:ind w:left="1760"/>
        <w:spacing w:after="0"/>
        <w:rPr>
          <w:sz w:val="20"/>
          <w:szCs w:val="20"/>
          <w:color w:val="auto"/>
        </w:rPr>
      </w:pPr>
      <w:r>
        <w:rPr>
          <w:rFonts w:ascii="Arial" w:cs="Arial" w:eastAsia="Arial" w:hAnsi="Arial"/>
          <w:sz w:val="12"/>
          <w:szCs w:val="12"/>
          <w:color w:val="auto"/>
        </w:rPr>
        <w:t>Large accelerated filer</w:t>
      </w:r>
    </w:p>
    <w:p>
      <w:pPr>
        <w:spacing w:after="0" w:line="51" w:lineRule="exact"/>
        <w:rPr>
          <w:sz w:val="24"/>
          <w:szCs w:val="24"/>
          <w:color w:val="auto"/>
        </w:rPr>
      </w:pPr>
    </w:p>
    <w:p>
      <w:pPr>
        <w:ind w:left="180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ind w:left="40"/>
        <w:spacing w:after="0" w:line="10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300"/>
        <w:spacing w:after="0" w:line="14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6" w:lineRule="exact"/>
        <w:rPr>
          <w:sz w:val="24"/>
          <w:szCs w:val="24"/>
          <w:color w:val="auto"/>
        </w:rPr>
      </w:pPr>
    </w:p>
    <w:p>
      <w:pPr>
        <w:sectPr>
          <w:pgSz w:w="11900" w:h="16838" w:orient="portrait"/>
          <w:cols w:equalWidth="0" w:num="4">
            <w:col w:w="3040" w:space="40"/>
            <w:col w:w="2860" w:space="720"/>
            <w:col w:w="1580" w:space="60"/>
            <w:col w:w="1760"/>
          </w:cols>
          <w:pgMar w:left="920" w:top="220" w:right="919" w:bottom="1440" w:gutter="0" w:footer="0" w:header="0"/>
          <w:type w:val="continuous"/>
        </w:sectPr>
      </w:pPr>
    </w:p>
    <w:p>
      <w:pPr>
        <w:ind w:right="180" w:firstLine="415"/>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420"/>
        <w:spacing w:after="0" w:line="161" w:lineRule="exact"/>
        <w:tabs>
          <w:tab w:leader="none" w:pos="7080" w:val="left"/>
          <w:tab w:leader="none" w:pos="7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58" w:lineRule="exact"/>
        <w:rPr>
          <w:sz w:val="24"/>
          <w:szCs w:val="24"/>
          <w:color w:val="auto"/>
        </w:rPr>
      </w:pPr>
    </w:p>
    <w:p>
      <w:pPr>
        <w:jc w:val="center"/>
        <w:ind w:right="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8" w:lineRule="exact"/>
        <w:rPr>
          <w:sz w:val="24"/>
          <w:szCs w:val="24"/>
          <w:color w:val="auto"/>
        </w:rPr>
      </w:pPr>
    </w:p>
    <w:tbl>
      <w:tblPr>
        <w:tblLayout w:type="fixed"/>
        <w:tblInd w:w="240" w:type="dxa"/>
        <w:tblCellMar>
          <w:top w:w="0" w:type="dxa"/>
          <w:left w:w="0" w:type="dxa"/>
          <w:bottom w:w="0" w:type="dxa"/>
          <w:right w:w="0" w:type="dxa"/>
        </w:tblCellMar>
      </w:tblPr>
      <w:tr>
        <w:trPr>
          <w:trHeight w:val="176"/>
        </w:trPr>
        <w:tc>
          <w:tcPr>
            <w:tcW w:w="3260" w:type="dxa"/>
            <w:vAlign w:val="bottom"/>
          </w:tcPr>
          <w:p>
            <w:pPr>
              <w:jc w:val="center"/>
              <w:ind w:right="708"/>
              <w:spacing w:after="0"/>
              <w:rPr>
                <w:sz w:val="20"/>
                <w:szCs w:val="20"/>
                <w:color w:val="auto"/>
              </w:rPr>
            </w:pPr>
            <w:r>
              <w:rPr>
                <w:rFonts w:ascii="Arial" w:cs="Arial" w:eastAsia="Arial" w:hAnsi="Arial"/>
                <w:sz w:val="14"/>
                <w:szCs w:val="14"/>
                <w:color w:val="auto"/>
                <w:w w:val="92"/>
              </w:rPr>
              <w:t>Title of each class</w:t>
            </w:r>
          </w:p>
        </w:tc>
        <w:tc>
          <w:tcPr>
            <w:tcW w:w="2640" w:type="dxa"/>
            <w:vAlign w:val="bottom"/>
          </w:tcPr>
          <w:p>
            <w:pPr>
              <w:jc w:val="center"/>
              <w:spacing w:after="0"/>
              <w:rPr>
                <w:sz w:val="20"/>
                <w:szCs w:val="20"/>
                <w:color w:val="auto"/>
              </w:rPr>
            </w:pPr>
            <w:r>
              <w:rPr>
                <w:rFonts w:ascii="Arial" w:cs="Arial" w:eastAsia="Arial" w:hAnsi="Arial"/>
                <w:sz w:val="14"/>
                <w:szCs w:val="14"/>
                <w:color w:val="auto"/>
                <w:w w:val="94"/>
              </w:rPr>
              <w:t>Trading symbol(s)</w:t>
            </w:r>
          </w:p>
        </w:tc>
        <w:tc>
          <w:tcPr>
            <w:tcW w:w="3320" w:type="dxa"/>
            <w:vAlign w:val="bottom"/>
          </w:tcPr>
          <w:p>
            <w:pPr>
              <w:jc w:val="center"/>
              <w:ind w:left="688"/>
              <w:spacing w:after="0"/>
              <w:rPr>
                <w:sz w:val="20"/>
                <w:szCs w:val="20"/>
                <w:color w:val="auto"/>
              </w:rPr>
            </w:pPr>
            <w:r>
              <w:rPr>
                <w:rFonts w:ascii="Arial" w:cs="Arial" w:eastAsia="Arial" w:hAnsi="Arial"/>
                <w:sz w:val="14"/>
                <w:szCs w:val="14"/>
                <w:color w:val="auto"/>
                <w:w w:val="92"/>
              </w:rPr>
              <w:t>Name of each exchange on which registered</w:t>
            </w:r>
          </w:p>
        </w:tc>
      </w:tr>
      <w:tr>
        <w:trPr>
          <w:trHeight w:val="182"/>
        </w:trPr>
        <w:tc>
          <w:tcPr>
            <w:tcW w:w="3260" w:type="dxa"/>
            <w:vAlign w:val="bottom"/>
          </w:tcPr>
          <w:p>
            <w:pPr>
              <w:jc w:val="center"/>
              <w:ind w:right="728"/>
              <w:spacing w:after="0"/>
              <w:rPr>
                <w:sz w:val="20"/>
                <w:szCs w:val="20"/>
                <w:color w:val="auto"/>
              </w:rPr>
            </w:pPr>
            <w:r>
              <w:rPr>
                <w:rFonts w:ascii="Arial" w:cs="Arial" w:eastAsia="Arial" w:hAnsi="Arial"/>
                <w:sz w:val="14"/>
                <w:szCs w:val="14"/>
                <w:color w:val="auto"/>
                <w:w w:val="91"/>
              </w:rPr>
              <w:t>Common stock, par value $0.001 per share</w:t>
            </w:r>
          </w:p>
        </w:tc>
        <w:tc>
          <w:tcPr>
            <w:tcW w:w="2640" w:type="dxa"/>
            <w:vAlign w:val="bottom"/>
          </w:tcPr>
          <w:p>
            <w:pPr>
              <w:jc w:val="center"/>
              <w:spacing w:after="0"/>
              <w:rPr>
                <w:sz w:val="20"/>
                <w:szCs w:val="20"/>
                <w:color w:val="auto"/>
              </w:rPr>
            </w:pPr>
            <w:r>
              <w:rPr>
                <w:rFonts w:ascii="Arial" w:cs="Arial" w:eastAsia="Arial" w:hAnsi="Arial"/>
                <w:sz w:val="14"/>
                <w:szCs w:val="14"/>
                <w:color w:val="auto"/>
                <w:w w:val="98"/>
              </w:rPr>
              <w:t>BPMC</w:t>
            </w:r>
          </w:p>
        </w:tc>
        <w:tc>
          <w:tcPr>
            <w:tcW w:w="3320" w:type="dxa"/>
            <w:vAlign w:val="bottom"/>
          </w:tcPr>
          <w:p>
            <w:pPr>
              <w:jc w:val="center"/>
              <w:ind w:left="668"/>
              <w:spacing w:after="0"/>
              <w:rPr>
                <w:sz w:val="20"/>
                <w:szCs w:val="20"/>
                <w:color w:val="auto"/>
              </w:rPr>
            </w:pPr>
            <w:r>
              <w:rPr>
                <w:rFonts w:ascii="Arial" w:cs="Arial" w:eastAsia="Arial" w:hAnsi="Arial"/>
                <w:sz w:val="14"/>
                <w:szCs w:val="14"/>
                <w:color w:val="auto"/>
                <w:w w:val="93"/>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6397625"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7625" cy="231775"/>
                    </a:xfrm>
                    <a:prstGeom prst="rect">
                      <a:avLst/>
                    </a:prstGeom>
                    <a:noFill/>
                  </pic:spPr>
                </pic:pic>
              </a:graphicData>
            </a:graphic>
          </wp:anchor>
        </w:drawing>
      </w:r>
    </w:p>
    <w:p>
      <w:pPr>
        <w:spacing w:after="0" w:line="68"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May 6, 2019: 48,853,933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827405</wp:posOffset>
            </wp:positionV>
            <wp:extent cx="638873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gridSpan w:val="12"/>
            <w:vMerge w:val="restart"/>
          </w:tcPr>
          <w:p>
            <w:pPr>
              <w:jc w:val="center"/>
              <w:ind w:right="24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580" w:type="dxa"/>
            <w:vAlign w:val="bottom"/>
            <w:gridSpan w:val="1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5460" w:type="dxa"/>
            <w:vAlign w:val="bottom"/>
            <w:gridSpan w:val="11"/>
          </w:tcPr>
          <w:p>
            <w:pPr>
              <w:spacing w:after="0"/>
              <w:rPr>
                <w:sz w:val="18"/>
                <w:szCs w:val="18"/>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80" w:type="dxa"/>
            <w:vAlign w:val="bottom"/>
            <w:tcBorders>
              <w:bottom w:val="single" w:sz="8" w:color="0000EE"/>
            </w:tcBorders>
            <w:gridSpan w:val="15"/>
          </w:tcPr>
          <w:p>
            <w:pPr>
              <w:spacing w:after="0" w:line="18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2019 and December 31, 2018</w:t>
              </w:r>
            </w:hyperlink>
          </w:p>
        </w:tc>
        <w:tc>
          <w:tcPr>
            <w:tcW w:w="1500" w:type="dxa"/>
            <w:vAlign w:val="bottom"/>
            <w:gridSpan w:val="5"/>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20"/>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Operations and Comprehensive Loss for the three months ended</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Borders>
              <w:top w:val="single" w:sz="8" w:color="0000EE"/>
              <w:bottom w:val="single" w:sz="8" w:color="0000EE"/>
            </w:tcBorders>
            <w:gridSpan w:val="7"/>
          </w:tcPr>
          <w:p>
            <w:pPr>
              <w:spacing w:after="0" w:line="142" w:lineRule="exact"/>
              <w:rPr>
                <w:rFonts w:ascii="Arial" w:cs="Arial" w:eastAsia="Arial" w:hAnsi="Arial"/>
                <w:sz w:val="16"/>
                <w:szCs w:val="16"/>
                <w:color w:val="0000EE"/>
              </w:rPr>
            </w:pPr>
            <w:hyperlink w:anchor="page6">
              <w:r>
                <w:rPr>
                  <w:rFonts w:ascii="Arial" w:cs="Arial" w:eastAsia="Arial" w:hAnsi="Arial"/>
                  <w:sz w:val="16"/>
                  <w:szCs w:val="16"/>
                  <w:color w:val="0000EE"/>
                </w:rPr>
                <w:t>March 31, 2019 and 2018</w:t>
              </w:r>
            </w:hyperlink>
          </w:p>
        </w:tc>
        <w:tc>
          <w:tcPr>
            <w:tcW w:w="5640" w:type="dxa"/>
            <w:vAlign w:val="bottom"/>
            <w:tcBorders>
              <w:top w:val="single" w:sz="8" w:color="0000EE"/>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20"/>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Stockholders’ Equity for the three months ended March 31, 2019</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560" w:type="dxa"/>
            <w:vAlign w:val="bottom"/>
            <w:tcBorders>
              <w:top w:val="single" w:sz="8" w:color="0000EE"/>
            </w:tcBorders>
            <w:gridSpan w:val="18"/>
          </w:tcPr>
          <w:p>
            <w:pPr>
              <w:spacing w:after="0" w:line="142" w:lineRule="exact"/>
              <w:rPr>
                <w:rFonts w:ascii="Arial" w:cs="Arial" w:eastAsia="Arial" w:hAnsi="Arial"/>
                <w:sz w:val="16"/>
                <w:szCs w:val="16"/>
                <w:color w:val="0000EE"/>
              </w:rPr>
            </w:pPr>
            <w:hyperlink w:anchor="page7">
              <w:r>
                <w:rPr>
                  <w:rFonts w:ascii="Arial" w:cs="Arial" w:eastAsia="Arial" w:hAnsi="Arial"/>
                  <w:sz w:val="16"/>
                  <w:szCs w:val="16"/>
                  <w:color w:val="0000EE"/>
                </w:rPr>
                <w:t>and 2018</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20"/>
          </w:tcPr>
          <w:p>
            <w:pPr>
              <w:spacing w:after="0" w:line="182"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Cash Flows for the three months ended March 31, 2019 and 2018</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580" w:type="dxa"/>
            <w:vAlign w:val="bottom"/>
            <w:tcBorders>
              <w:top w:val="single" w:sz="8" w:color="0000EE"/>
            </w:tcBorders>
            <w:gridSpan w:val="8"/>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020" w:type="dxa"/>
            <w:vAlign w:val="bottom"/>
            <w:tcBorders>
              <w:bottom w:val="single" w:sz="8" w:color="0000EE"/>
            </w:tcBorders>
            <w:gridSpan w:val="18"/>
          </w:tcPr>
          <w:p>
            <w:pPr>
              <w:spacing w:after="0" w:line="182"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1380" w:type="dxa"/>
            <w:vAlign w:val="bottom"/>
            <w:gridSpan w:val="4"/>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bottom w:val="single" w:sz="8" w:color="0000EE"/>
            </w:tcBorders>
          </w:tcPr>
          <w:p>
            <w:pPr>
              <w:spacing w:after="0" w:line="182"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3.</w:t>
              </w:r>
            </w:hyperlink>
          </w:p>
        </w:tc>
        <w:tc>
          <w:tcPr>
            <w:tcW w:w="4380" w:type="dxa"/>
            <w:vAlign w:val="bottom"/>
            <w:tcBorders>
              <w:bottom w:val="single" w:sz="8" w:color="0000EE"/>
            </w:tcBorders>
            <w:gridSpan w:val="13"/>
          </w:tcPr>
          <w:p>
            <w:pPr>
              <w:ind w:left="20"/>
              <w:spacing w:after="0" w:line="182"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3480" w:type="dxa"/>
            <w:vAlign w:val="bottom"/>
            <w:gridSpan w:val="8"/>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82"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Item 4.</w:t>
              </w:r>
            </w:hyperlink>
          </w:p>
        </w:tc>
        <w:tc>
          <w:tcPr>
            <w:tcW w:w="7860" w:type="dxa"/>
            <w:vAlign w:val="bottom"/>
            <w:gridSpan w:val="21"/>
          </w:tcPr>
          <w:p>
            <w:pPr>
              <w:ind w:left="20"/>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 OTHER INFORMATION</w:t>
              </w:r>
            </w:hyperlink>
          </w:p>
        </w:tc>
        <w:tc>
          <w:tcPr>
            <w:tcW w:w="258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1.</w:t>
              </w:r>
            </w:hyperlink>
          </w:p>
        </w:tc>
        <w:tc>
          <w:tcPr>
            <w:tcW w:w="7860" w:type="dxa"/>
            <w:vAlign w:val="bottom"/>
            <w:gridSpan w:val="21"/>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6520" w:type="dxa"/>
            <w:vAlign w:val="bottom"/>
            <w:gridSpan w:val="15"/>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3"/>
          </w:tcPr>
          <w:p>
            <w:pPr>
              <w:ind w:left="20"/>
              <w:spacing w:after="0" w:line="182"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Exhibits</w:t>
              </w:r>
            </w:hyperlink>
          </w:p>
        </w:tc>
        <w:tc>
          <w:tcPr>
            <w:tcW w:w="420" w:type="dxa"/>
            <w:vAlign w:val="bottom"/>
            <w:tcBorders>
              <w:top w:val="single" w:sz="8" w:color="0000EE"/>
            </w:tcBorders>
            <w:gridSpan w:val="2"/>
          </w:tcPr>
          <w:p>
            <w:pPr>
              <w:spacing w:after="0"/>
              <w:rPr>
                <w:sz w:val="17"/>
                <w:szCs w:val="17"/>
                <w:color w:val="auto"/>
              </w:rPr>
            </w:pPr>
          </w:p>
        </w:tc>
        <w:tc>
          <w:tcPr>
            <w:tcW w:w="6820" w:type="dxa"/>
            <w:vAlign w:val="bottom"/>
            <w:gridSpan w:val="16"/>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82" w:lineRule="exact"/>
              <w:rPr>
                <w:rFonts w:ascii="Arial" w:cs="Arial" w:eastAsia="Arial" w:hAnsi="Arial"/>
                <w:sz w:val="18"/>
                <w:szCs w:val="18"/>
                <w:color w:val="0000EE"/>
                <w:w w:val="85"/>
              </w:rPr>
            </w:pPr>
            <w:hyperlink w:anchor="page78">
              <w:r>
                <w:rPr>
                  <w:rFonts w:ascii="Arial" w:cs="Arial" w:eastAsia="Arial" w:hAnsi="Arial"/>
                  <w:sz w:val="18"/>
                  <w:szCs w:val="18"/>
                  <w:color w:val="0000EE"/>
                  <w:w w:val="85"/>
                </w:rPr>
                <w:t>Signatures</w:t>
              </w:r>
            </w:hyperlink>
          </w:p>
        </w:tc>
        <w:tc>
          <w:tcPr>
            <w:tcW w:w="7640" w:type="dxa"/>
            <w:vAlign w:val="bottom"/>
            <w:gridSpan w:val="19"/>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84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12"/>
          </w:tcPr>
          <w:p>
            <w:pPr>
              <w:jc w:val="center"/>
              <w:ind w:left="357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79" w:firstLine="648"/>
        <w:spacing w:after="0" w:line="214"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169" w:lineRule="exact"/>
        <w:rPr>
          <w:sz w:val="20"/>
          <w:szCs w:val="20"/>
          <w:color w:val="auto"/>
        </w:rPr>
      </w:pPr>
    </w:p>
    <w:p>
      <w:pPr>
        <w:ind w:left="1300" w:right="239" w:hanging="325"/>
        <w:spacing w:after="0" w:line="22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BLU-667, BLU-554 and BLU-782, and our research and development programs;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300" w:right="859" w:hanging="325"/>
        <w:spacing w:after="0" w:line="23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4" w:lineRule="exact"/>
        <w:rPr>
          <w:rFonts w:ascii="Arial" w:cs="Arial" w:eastAsia="Arial" w:hAnsi="Arial"/>
          <w:sz w:val="18"/>
          <w:szCs w:val="18"/>
          <w:color w:val="auto"/>
        </w:rPr>
      </w:pPr>
    </w:p>
    <w:p>
      <w:pPr>
        <w:ind w:left="1300" w:right="219" w:hanging="325"/>
        <w:spacing w:after="0" w:line="23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40" w:lineRule="exact"/>
        <w:rPr>
          <w:rFonts w:ascii="Arial" w:cs="Arial" w:eastAsia="Arial" w:hAnsi="Arial"/>
          <w:sz w:val="16"/>
          <w:szCs w:val="16"/>
          <w:color w:val="auto"/>
        </w:rPr>
      </w:pPr>
    </w:p>
    <w:p>
      <w:pPr>
        <w:jc w:val="both"/>
        <w:ind w:left="1300" w:right="79" w:hanging="325"/>
        <w:spacing w:after="0" w:line="22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 Roche Inc. and our collaboration with CStone Pharmaceuticals, as well as our ability to maintain these collaborations and establish other strategic collaborations;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sz w:val="20"/>
          <w:szCs w:val="20"/>
          <w:color w:val="auto"/>
        </w:rPr>
      </w:pPr>
    </w:p>
    <w:p>
      <w:pPr>
        <w:ind w:right="19" w:firstLine="648"/>
        <w:spacing w:after="0" w:line="210"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66" w:lineRule="exact"/>
        <w:rPr>
          <w:sz w:val="20"/>
          <w:szCs w:val="20"/>
          <w:color w:val="auto"/>
        </w:rPr>
      </w:pPr>
    </w:p>
    <w:p>
      <w:pPr>
        <w:ind w:right="539" w:firstLine="648"/>
        <w:spacing w:after="0" w:line="289"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achievements may be materially different from what we expect. Except as required by law, we assume no obligation to update or revise these forward-looking statements for any reason, even if new information becomes available in the future.</w:t>
      </w:r>
    </w:p>
    <w:p>
      <w:pPr>
        <w:spacing w:after="0" w:line="124"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70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0" w:type="dxa"/>
            <w:vAlign w:val="bottom"/>
            <w:shd w:val="clear" w:color="auto" w:fill="CCEEFF"/>
          </w:tcPr>
          <w:p>
            <w:pPr>
              <w:ind w:left="3200"/>
              <w:spacing w:after="0" w:line="12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79,391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68,064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Investments, available-for-sale</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336,465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425,948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10,660</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5,775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line="129"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426,516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499,787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30,615</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29,627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Operating lease right-of-use assets, net</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76,528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5,159</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5,845</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5,556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assets</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544,663</w:t>
            </w: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540,124</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320"/>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4,421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3,298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50,826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51,711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operating lease liabilities</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5,278</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Current portion of deferred revenue</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4,238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3,600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lease incentive obligation</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line="129"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64,763</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60,323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rent, net of current portion</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5,130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Operating lease liabilities, net of current portion</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94,322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41,198</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42,567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Lease incentive obligation, net of current portion</w:t>
            </w:r>
          </w:p>
        </w:tc>
        <w:tc>
          <w:tcPr>
            <w:tcW w:w="80" w:type="dxa"/>
            <w:vAlign w:val="bottom"/>
          </w:tcPr>
          <w:p>
            <w:pPr>
              <w:spacing w:after="0"/>
              <w:rPr>
                <w:sz w:val="11"/>
                <w:szCs w:val="11"/>
                <w:color w:val="auto"/>
              </w:rPr>
            </w:pPr>
          </w:p>
        </w:tc>
        <w:tc>
          <w:tcPr>
            <w:tcW w:w="98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12,903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long-term liabilities</w:t>
            </w: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167</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line="129"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200,450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121,115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Commitments (Note 12)</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2"/>
                <w:szCs w:val="12"/>
                <w:color w:val="auto"/>
              </w:rPr>
              <w:t>Common stock, $0.001 par value; 120,000,000 shares authorized; 44,171,465 and 44,037,026 shares issued and</w:t>
            </w: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000" w:type="dxa"/>
            <w:vAlign w:val="bottom"/>
          </w:tcPr>
          <w:p>
            <w:pPr>
              <w:spacing w:after="0"/>
              <w:rPr>
                <w:sz w:val="20"/>
                <w:szCs w:val="20"/>
                <w:color w:val="auto"/>
              </w:rPr>
            </w:pPr>
            <w:r>
              <w:rPr>
                <w:rFonts w:ascii="Arial" w:cs="Arial" w:eastAsia="Arial" w:hAnsi="Arial"/>
                <w:sz w:val="14"/>
                <w:szCs w:val="14"/>
                <w:color w:val="auto"/>
              </w:rPr>
              <w:t>outstanding at March 31, 2019 and December 31, 2018, respectively</w:t>
            </w: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1,029,046</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1,016,690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(684,952)</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(597,545)</w:t>
            </w:r>
          </w:p>
        </w:tc>
        <w:tc>
          <w:tcPr>
            <w:tcW w:w="0" w:type="dxa"/>
            <w:vAlign w:val="bottom"/>
          </w:tcPr>
          <w:p>
            <w:pPr>
              <w:spacing w:after="0"/>
              <w:rPr>
                <w:sz w:val="1"/>
                <w:szCs w:val="1"/>
                <w:color w:val="auto"/>
              </w:rPr>
            </w:pPr>
          </w:p>
        </w:tc>
      </w:tr>
      <w:tr>
        <w:trPr>
          <w:trHeight w:val="129"/>
        </w:trPr>
        <w:tc>
          <w:tcPr>
            <w:tcW w:w="700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Total stockholders’ equity</w:t>
            </w: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344,213</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419,009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544,663</w:t>
            </w:r>
          </w:p>
        </w:tc>
        <w:tc>
          <w:tcPr>
            <w:tcW w:w="2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540,124</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20"/>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r>
      <w:tr>
        <w:trPr>
          <w:trHeight w:val="135"/>
        </w:trPr>
        <w:tc>
          <w:tcPr>
            <w:tcW w:w="6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gridSpan w:val="7"/>
          </w:tcPr>
          <w:p>
            <w:pPr>
              <w:jc w:val="center"/>
              <w:ind w:right="180"/>
              <w:spacing w:after="0" w:line="135" w:lineRule="exact"/>
              <w:rPr>
                <w:sz w:val="20"/>
                <w:szCs w:val="20"/>
                <w:color w:val="auto"/>
              </w:rPr>
            </w:pPr>
            <w:r>
              <w:rPr>
                <w:rFonts w:ascii="Arial" w:cs="Arial" w:eastAsia="Arial" w:hAnsi="Arial"/>
                <w:sz w:val="14"/>
                <w:szCs w:val="14"/>
                <w:b w:val="1"/>
                <w:bCs w:val="1"/>
                <w:color w:val="auto"/>
                <w:w w:val="99"/>
              </w:rPr>
              <w:t>March 31,</w:t>
            </w:r>
          </w:p>
        </w:tc>
      </w:tr>
      <w:tr>
        <w:trPr>
          <w:trHeight w:val="162"/>
        </w:trPr>
        <w:tc>
          <w:tcPr>
            <w:tcW w:w="68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169"/>
        </w:trPr>
        <w:tc>
          <w:tcPr>
            <w:tcW w:w="6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74,250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49,954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16,553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9,911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r>
      <w:tr>
        <w:trPr>
          <w:trHeight w:val="169"/>
        </w:trPr>
        <w:tc>
          <w:tcPr>
            <w:tcW w:w="6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90,803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59,865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2,394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r>
      <w:tr>
        <w:trPr>
          <w:trHeight w:val="169"/>
        </w:trPr>
        <w:tc>
          <w:tcPr>
            <w:tcW w:w="6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w:t>
            </w:r>
          </w:p>
        </w:tc>
        <w:tc>
          <w:tcPr>
            <w:tcW w:w="2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2,362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9"/>
        </w:trPr>
        <w:tc>
          <w:tcPr>
            <w:tcW w:w="68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(87,407)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(56,549)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169"/>
        </w:trPr>
        <w:tc>
          <w:tcPr>
            <w:tcW w:w="6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6"/>
        </w:trPr>
        <w:tc>
          <w:tcPr>
            <w:tcW w:w="6840" w:type="dxa"/>
            <w:vAlign w:val="bottom"/>
          </w:tcPr>
          <w:p>
            <w:pPr>
              <w:ind w:left="220"/>
              <w:spacing w:after="0" w:line="176" w:lineRule="exact"/>
              <w:rPr>
                <w:sz w:val="20"/>
                <w:szCs w:val="20"/>
                <w:color w:val="auto"/>
              </w:rPr>
            </w:pPr>
            <w:r>
              <w:rPr>
                <w:rFonts w:ascii="Arial" w:cs="Arial" w:eastAsia="Arial" w:hAnsi="Arial"/>
                <w:sz w:val="18"/>
                <w:szCs w:val="18"/>
                <w:color w:val="auto"/>
              </w:rPr>
              <w:t>Changes in foreign currency translation adjustments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260"/>
              <w:spacing w:after="0" w:line="176" w:lineRule="exact"/>
              <w:rPr>
                <w:sz w:val="20"/>
                <w:szCs w:val="20"/>
                <w:color w:val="auto"/>
              </w:rPr>
            </w:pPr>
            <w:r>
              <w:rPr>
                <w:rFonts w:ascii="Arial" w:cs="Arial" w:eastAsia="Arial" w:hAnsi="Arial"/>
                <w:sz w:val="18"/>
                <w:szCs w:val="18"/>
                <w:color w:val="auto"/>
              </w:rPr>
              <w:t>—</w:t>
            </w:r>
          </w:p>
        </w:tc>
      </w:tr>
      <w:tr>
        <w:trPr>
          <w:trHeight w:val="176"/>
        </w:trPr>
        <w:tc>
          <w:tcPr>
            <w:tcW w:w="6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Changes in unrealized gain (losses) related to available-for-sale investments</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6"/>
        </w:trPr>
        <w:tc>
          <w:tcPr>
            <w:tcW w:w="68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(87,152)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(56,872)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r>
      <w:tr>
        <w:trPr>
          <w:trHeight w:val="196"/>
        </w:trPr>
        <w:tc>
          <w:tcPr>
            <w:tcW w:w="6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share — basic and diluted</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29)</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170"/>
        </w:trPr>
        <w:tc>
          <w:tcPr>
            <w:tcW w:w="6840" w:type="dxa"/>
            <w:vAlign w:val="bottom"/>
          </w:tcPr>
          <w:p>
            <w:pPr>
              <w:spacing w:after="0" w:line="163" w:lineRule="exact"/>
              <w:rPr>
                <w:sz w:val="20"/>
                <w:szCs w:val="20"/>
                <w:color w:val="auto"/>
              </w:rPr>
            </w:pPr>
            <w:r>
              <w:rPr>
                <w:rFonts w:ascii="Arial" w:cs="Arial" w:eastAsia="Arial" w:hAnsi="Arial"/>
                <w:sz w:val="18"/>
                <w:szCs w:val="18"/>
                <w:color w:val="auto"/>
                <w:w w:val="92"/>
              </w:rPr>
              <w:t>Weighted-average number of common shares used in net loss per share — basic and diluted</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44,097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43,700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648"/>
        </w:trPr>
        <w:tc>
          <w:tcPr>
            <w:tcW w:w="6840" w:type="dxa"/>
            <w:vAlign w:val="bottom"/>
          </w:tcPr>
          <w:p>
            <w:pPr>
              <w:ind w:left="44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6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9080"/>
          </w:cols>
          <w:pgMar w:left="1420" w:top="111" w:right="139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line="216" w:lineRule="auto"/>
        <w:rPr>
          <w:sz w:val="20"/>
          <w:szCs w:val="20"/>
          <w:color w:val="auto"/>
        </w:rPr>
      </w:pPr>
      <w:r>
        <w:rPr>
          <w:rFonts w:ascii="Arial" w:cs="Arial" w:eastAsia="Arial" w:hAnsi="Arial"/>
          <w:sz w:val="18"/>
          <w:szCs w:val="18"/>
          <w:b w:val="1"/>
          <w:bCs w:val="1"/>
          <w:color w:val="auto"/>
        </w:rPr>
        <w:t>Blueprint Medicines Corporation Condensed Consolidated Statements of Stockholders’ Equity (in thousands)</w:t>
      </w:r>
    </w:p>
    <w:p>
      <w:pPr>
        <w:jc w:val="center"/>
        <w:spacing w:after="0" w:line="216" w:lineRule="auto"/>
        <w:rPr>
          <w:sz w:val="20"/>
          <w:szCs w:val="20"/>
          <w:color w:val="auto"/>
        </w:rPr>
      </w:pPr>
      <w:r>
        <w:rPr>
          <w:rFonts w:ascii="Arial" w:cs="Arial" w:eastAsia="Arial" w:hAnsi="Arial"/>
          <w:sz w:val="18"/>
          <w:szCs w:val="18"/>
          <w:b w:val="1"/>
          <w:bCs w:val="1"/>
          <w:i w:val="1"/>
          <w:iCs w:val="1"/>
          <w:color w:val="auto"/>
        </w:rPr>
        <w:t>(Unaudited)</w:t>
      </w:r>
    </w:p>
    <w:tbl>
      <w:tblPr>
        <w:tblLayout w:type="fixed"/>
        <w:tblInd w:w="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ind w:right="66"/>
              <w:spacing w:after="0" w:line="97" w:lineRule="exact"/>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180" w:type="dxa"/>
            <w:vAlign w:val="bottom"/>
            <w:gridSpan w:val="4"/>
            <w:vMerge w:val="restart"/>
          </w:tcPr>
          <w:p>
            <w:pPr>
              <w:jc w:val="right"/>
              <w:ind w:right="16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86"/>
              <w:spacing w:after="0" w:line="109"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18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1"/>
                <w:szCs w:val="11"/>
                <w:color w:val="auto"/>
              </w:rPr>
            </w:pPr>
          </w:p>
        </w:tc>
        <w:tc>
          <w:tcPr>
            <w:tcW w:w="8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4"/>
              </w:rPr>
              <w:t>Comprehensive</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560" w:type="dxa"/>
            <w:vAlign w:val="bottom"/>
          </w:tcPr>
          <w:p>
            <w:pPr>
              <w:jc w:val="right"/>
              <w:ind w:right="66"/>
              <w:spacing w:after="0" w:line="109" w:lineRule="exact"/>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ind w:right="6"/>
              <w:spacing w:after="0" w:line="109"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right"/>
              <w:ind w:right="206"/>
              <w:spacing w:after="0" w:line="109" w:lineRule="exact"/>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ind w:right="66"/>
              <w:spacing w:after="0" w:line="109" w:lineRule="exact"/>
              <w:rPr>
                <w:sz w:val="20"/>
                <w:szCs w:val="20"/>
                <w:color w:val="auto"/>
              </w:rPr>
            </w:pPr>
            <w:r>
              <w:rPr>
                <w:rFonts w:ascii="Arial" w:cs="Arial" w:eastAsia="Arial" w:hAnsi="Arial"/>
                <w:sz w:val="11"/>
                <w:szCs w:val="11"/>
                <w:b w:val="1"/>
                <w:bCs w:val="1"/>
                <w:color w:val="auto"/>
                <w:w w:val="85"/>
              </w:rPr>
              <w:t>Loss</w:t>
            </w:r>
          </w:p>
        </w:tc>
        <w:tc>
          <w:tcPr>
            <w:tcW w:w="120" w:type="dxa"/>
            <w:vAlign w:val="bottom"/>
          </w:tcPr>
          <w:p>
            <w:pPr>
              <w:spacing w:after="0"/>
              <w:rPr>
                <w:sz w:val="9"/>
                <w:szCs w:val="9"/>
                <w:color w:val="auto"/>
              </w:rPr>
            </w:pPr>
          </w:p>
        </w:tc>
        <w:tc>
          <w:tcPr>
            <w:tcW w:w="820" w:type="dxa"/>
            <w:vAlign w:val="bottom"/>
            <w:gridSpan w:val="2"/>
          </w:tcPr>
          <w:p>
            <w:pPr>
              <w:jc w:val="center"/>
              <w:ind w:right="160"/>
              <w:spacing w:after="0" w:line="109" w:lineRule="exact"/>
              <w:rPr>
                <w:sz w:val="20"/>
                <w:szCs w:val="20"/>
                <w:color w:val="auto"/>
              </w:rPr>
            </w:pPr>
            <w:r>
              <w:rPr>
                <w:rFonts w:ascii="Arial" w:cs="Arial" w:eastAsia="Arial" w:hAnsi="Arial"/>
                <w:sz w:val="11"/>
                <w:szCs w:val="11"/>
                <w:b w:val="1"/>
                <w:bCs w:val="1"/>
                <w:color w:val="auto"/>
                <w:w w:val="89"/>
              </w:rPr>
              <w:t>Deficit</w:t>
            </w:r>
          </w:p>
        </w:tc>
        <w:tc>
          <w:tcPr>
            <w:tcW w:w="60" w:type="dxa"/>
            <w:vAlign w:val="bottom"/>
          </w:tcPr>
          <w:p>
            <w:pPr>
              <w:spacing w:after="0"/>
              <w:rPr>
                <w:sz w:val="9"/>
                <w:szCs w:val="9"/>
                <w:color w:val="auto"/>
              </w:rPr>
            </w:pPr>
          </w:p>
        </w:tc>
        <w:tc>
          <w:tcPr>
            <w:tcW w:w="800" w:type="dxa"/>
            <w:vAlign w:val="bottom"/>
            <w:gridSpan w:val="2"/>
          </w:tcPr>
          <w:p>
            <w:pPr>
              <w:jc w:val="center"/>
              <w:ind w:right="140"/>
              <w:spacing w:after="0" w:line="109"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1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Balance at December 31, 2018</w:t>
            </w: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44,037,026</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1,016,690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(180)</w:t>
            </w: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(597,545)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419,009</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1"/>
                <w:szCs w:val="11"/>
                <w:color w:val="auto"/>
              </w:rPr>
              <w:t>Issuance of common stock under stock plan</w:t>
            </w:r>
          </w:p>
        </w:tc>
        <w:tc>
          <w:tcPr>
            <w:tcW w:w="560" w:type="dxa"/>
            <w:vAlign w:val="bottom"/>
          </w:tcPr>
          <w:p>
            <w:pPr>
              <w:jc w:val="right"/>
              <w:spacing w:after="0"/>
              <w:rPr>
                <w:sz w:val="20"/>
                <w:szCs w:val="20"/>
                <w:color w:val="auto"/>
              </w:rPr>
            </w:pPr>
            <w:r>
              <w:rPr>
                <w:rFonts w:ascii="Arial" w:cs="Arial" w:eastAsia="Arial" w:hAnsi="Arial"/>
                <w:sz w:val="11"/>
                <w:szCs w:val="11"/>
                <w:color w:val="auto"/>
              </w:rPr>
              <w:t>134,439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10,295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10,295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1"/>
                <w:szCs w:val="11"/>
                <w:color w:val="auto"/>
              </w:rPr>
              <w:t>Cumulative translation adjustment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1"/>
                <w:szCs w:val="11"/>
                <w:color w:val="auto"/>
              </w:rPr>
              <w:t>Unrealized gain (loss) on available-for-sale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270</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1"/>
                <w:szCs w:val="11"/>
                <w:color w:val="auto"/>
              </w:rPr>
              <w:t>Net loss</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(87,407)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(87,407)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March 31, 2019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44,171,465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1,029,046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(684,952)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344,213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16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Balance at December 31, 2017</w:t>
            </w: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w w:val="90"/>
              </w:rPr>
              <w:t>43,577,526</w:t>
            </w:r>
          </w:p>
        </w:tc>
        <w:tc>
          <w:tcPr>
            <w:tcW w:w="1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43</w:t>
            </w:r>
          </w:p>
        </w:tc>
        <w:tc>
          <w:tcPr>
            <w:tcW w:w="240" w:type="dxa"/>
            <w:vAlign w:val="bottom"/>
            <w:gridSpan w:val="2"/>
            <w:shd w:val="clear" w:color="auto" w:fill="CCEEFF"/>
          </w:tcPr>
          <w:p>
            <w:pPr>
              <w:jc w:val="right"/>
              <w:ind w:right="11"/>
              <w:spacing w:after="0" w:line="109"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979,785</w:t>
            </w:r>
          </w:p>
        </w:tc>
        <w:tc>
          <w:tcPr>
            <w:tcW w:w="1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(269)</w:t>
            </w:r>
          </w:p>
        </w:tc>
        <w:tc>
          <w:tcPr>
            <w:tcW w:w="1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(355,589)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623,970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1"/>
                <w:szCs w:val="11"/>
                <w:color w:val="auto"/>
              </w:rPr>
              <w:t>Issuance of common stock under stock plan</w:t>
            </w:r>
          </w:p>
        </w:tc>
        <w:tc>
          <w:tcPr>
            <w:tcW w:w="560" w:type="dxa"/>
            <w:vAlign w:val="bottom"/>
          </w:tcPr>
          <w:p>
            <w:pPr>
              <w:jc w:val="right"/>
              <w:spacing w:after="0"/>
              <w:rPr>
                <w:sz w:val="20"/>
                <w:szCs w:val="20"/>
                <w:color w:val="auto"/>
              </w:rPr>
            </w:pPr>
            <w:r>
              <w:rPr>
                <w:rFonts w:ascii="Arial" w:cs="Arial" w:eastAsia="Arial" w:hAnsi="Arial"/>
                <w:sz w:val="11"/>
                <w:szCs w:val="11"/>
                <w:color w:val="auto"/>
              </w:rPr>
              <w:t>243,721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3,552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3,553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1"/>
                <w:szCs w:val="11"/>
                <w:color w:val="auto"/>
              </w:rPr>
              <w:t>Stock-based compensation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1"/>
                <w:szCs w:val="11"/>
                <w:color w:val="auto"/>
              </w:rPr>
              <w:t>Adoption of new accounting standard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(5,314)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1"/>
                <w:szCs w:val="11"/>
                <w:color w:val="auto"/>
              </w:rPr>
              <w:t>Unrealized gain (loss) on available-for-sale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spacing w:after="0"/>
              <w:rPr>
                <w:sz w:val="20"/>
                <w:szCs w:val="20"/>
                <w:color w:val="auto"/>
              </w:rPr>
            </w:pPr>
            <w:r>
              <w:rPr>
                <w:rFonts w:ascii="Arial" w:cs="Arial" w:eastAsia="Arial" w:hAnsi="Arial"/>
                <w:sz w:val="11"/>
                <w:szCs w:val="11"/>
                <w:color w:val="auto"/>
              </w:rPr>
              <w:t>Other</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1"/>
                <w:szCs w:val="11"/>
                <w:color w:val="auto"/>
              </w:rPr>
              <w:t>Net loss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(56,549)</w:t>
            </w:r>
          </w:p>
        </w:tc>
        <w:tc>
          <w:tcPr>
            <w:tcW w:w="10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(56,549)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180" w:type="dxa"/>
            <w:vAlign w:val="bottom"/>
            <w:gridSpan w:val="2"/>
          </w:tcPr>
          <w:p>
            <w:pPr>
              <w:spacing w:after="0"/>
              <w:rPr>
                <w:sz w:val="20"/>
                <w:szCs w:val="20"/>
                <w:color w:val="auto"/>
              </w:rPr>
            </w:pPr>
            <w:r>
              <w:rPr>
                <w:rFonts w:ascii="Arial" w:cs="Arial" w:eastAsia="Arial" w:hAnsi="Arial"/>
                <w:sz w:val="11"/>
                <w:szCs w:val="11"/>
                <w:color w:val="auto"/>
              </w:rPr>
              <w:t>Balance at March 31, 2018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43,821,247</w:t>
            </w:r>
          </w:p>
        </w:tc>
        <w:tc>
          <w:tcPr>
            <w:tcW w:w="1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988,872</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(417,452)</w:t>
            </w:r>
          </w:p>
        </w:tc>
        <w:tc>
          <w:tcPr>
            <w:tcW w:w="10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570,873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r>
      <w:tr>
        <w:trPr>
          <w:trHeight w:val="162"/>
        </w:trPr>
        <w:tc>
          <w:tcPr>
            <w:tcW w:w="6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r>
      <w:tr>
        <w:trPr>
          <w:trHeight w:val="129"/>
        </w:trPr>
        <w:tc>
          <w:tcPr>
            <w:tcW w:w="68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2"/>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r>
      <w:tr>
        <w:trPr>
          <w:trHeight w:val="169"/>
        </w:trPr>
        <w:tc>
          <w:tcPr>
            <w:tcW w:w="68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76"/>
        </w:trPr>
        <w:tc>
          <w:tcPr>
            <w:tcW w:w="682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(87,407)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(56,549)</w:t>
            </w: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6"/>
        </w:trPr>
        <w:tc>
          <w:tcPr>
            <w:tcW w:w="6820" w:type="dxa"/>
            <w:vAlign w:val="bottom"/>
          </w:tcPr>
          <w:p>
            <w:pPr>
              <w:ind w:left="220"/>
              <w:spacing w:after="0" w:line="176" w:lineRule="exact"/>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2,219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780</w:t>
            </w:r>
          </w:p>
        </w:tc>
        <w:tc>
          <w:tcPr>
            <w:tcW w:w="180" w:type="dxa"/>
            <w:vAlign w:val="bottom"/>
          </w:tcPr>
          <w:p>
            <w:pPr>
              <w:spacing w:after="0"/>
              <w:rPr>
                <w:sz w:val="15"/>
                <w:szCs w:val="15"/>
                <w:color w:val="auto"/>
              </w:rPr>
            </w:pPr>
          </w:p>
        </w:tc>
      </w:tr>
      <w:tr>
        <w:trPr>
          <w:trHeight w:val="176"/>
        </w:trPr>
        <w:tc>
          <w:tcPr>
            <w:tcW w:w="6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10,295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5,549</w:t>
            </w:r>
          </w:p>
        </w:tc>
        <w:tc>
          <w:tcPr>
            <w:tcW w:w="180" w:type="dxa"/>
            <w:vAlign w:val="bottom"/>
            <w:shd w:val="clear" w:color="auto" w:fill="CCEEFF"/>
          </w:tcPr>
          <w:p>
            <w:pPr>
              <w:spacing w:after="0"/>
              <w:rPr>
                <w:sz w:val="15"/>
                <w:szCs w:val="15"/>
                <w:color w:val="auto"/>
              </w:rPr>
            </w:pPr>
          </w:p>
        </w:tc>
      </w:tr>
      <w:tr>
        <w:trPr>
          <w:trHeight w:val="176"/>
        </w:trPr>
        <w:tc>
          <w:tcPr>
            <w:tcW w:w="6820" w:type="dxa"/>
            <w:vAlign w:val="bottom"/>
          </w:tcPr>
          <w:p>
            <w:pPr>
              <w:ind w:left="220"/>
              <w:spacing w:after="0" w:line="176" w:lineRule="exact"/>
              <w:rPr>
                <w:sz w:val="20"/>
                <w:szCs w:val="20"/>
                <w:color w:val="auto"/>
              </w:rPr>
            </w:pPr>
            <w:r>
              <w:rPr>
                <w:rFonts w:ascii="Arial" w:cs="Arial" w:eastAsia="Arial" w:hAnsi="Arial"/>
                <w:sz w:val="18"/>
                <w:szCs w:val="18"/>
                <w:color w:val="auto"/>
              </w:rPr>
              <w:t>Accretion of premiums and discounts on investments</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(1,332)</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(692)</w:t>
            </w:r>
          </w:p>
        </w:tc>
      </w:tr>
      <w:tr>
        <w:trPr>
          <w:trHeight w:val="176"/>
        </w:trPr>
        <w:tc>
          <w:tcPr>
            <w:tcW w:w="68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5"/>
                <w:szCs w:val="15"/>
                <w:color w:val="auto"/>
              </w:rPr>
            </w:pPr>
          </w:p>
        </w:tc>
      </w:tr>
      <w:tr>
        <w:trPr>
          <w:trHeight w:val="176"/>
        </w:trPr>
        <w:tc>
          <w:tcPr>
            <w:tcW w:w="6820" w:type="dxa"/>
            <w:vAlign w:val="bottom"/>
          </w:tcPr>
          <w:p>
            <w:pPr>
              <w:ind w:left="220"/>
              <w:spacing w:after="0" w:line="176" w:lineRule="exact"/>
              <w:rPr>
                <w:sz w:val="20"/>
                <w:szCs w:val="20"/>
                <w:color w:val="auto"/>
              </w:rPr>
            </w:pPr>
            <w:r>
              <w:rPr>
                <w:rFonts w:ascii="Arial" w:cs="Arial" w:eastAsia="Arial" w:hAnsi="Arial"/>
                <w:sz w:val="18"/>
                <w:szCs w:val="18"/>
                <w:b w:val="1"/>
                <w:bCs w:val="1"/>
                <w:color w:val="auto"/>
              </w:rPr>
              <w:t>Changes in assets and liabilities: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68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(1,923)</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3,473</w:t>
            </w:r>
          </w:p>
        </w:tc>
        <w:tc>
          <w:tcPr>
            <w:tcW w:w="180" w:type="dxa"/>
            <w:vAlign w:val="bottom"/>
            <w:shd w:val="clear" w:color="auto" w:fill="CCEEFF"/>
          </w:tcPr>
          <w:p>
            <w:pPr>
              <w:spacing w:after="0"/>
              <w:rPr>
                <w:sz w:val="15"/>
                <w:szCs w:val="15"/>
                <w:color w:val="auto"/>
              </w:rPr>
            </w:pPr>
          </w:p>
        </w:tc>
      </w:tr>
      <w:tr>
        <w:trPr>
          <w:trHeight w:val="176"/>
        </w:trPr>
        <w:tc>
          <w:tcPr>
            <w:tcW w:w="6820" w:type="dxa"/>
            <w:vAlign w:val="bottom"/>
          </w:tcPr>
          <w:p>
            <w:pPr>
              <w:ind w:left="320"/>
              <w:spacing w:after="0" w:line="176"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(114)</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(27)</w:t>
            </w:r>
          </w:p>
        </w:tc>
      </w:tr>
      <w:tr>
        <w:trPr>
          <w:trHeight w:val="176"/>
        </w:trPr>
        <w:tc>
          <w:tcPr>
            <w:tcW w:w="68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(482)</w:t>
            </w:r>
          </w:p>
        </w:tc>
      </w:tr>
      <w:tr>
        <w:trPr>
          <w:trHeight w:val="176"/>
        </w:trPr>
        <w:tc>
          <w:tcPr>
            <w:tcW w:w="682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(1,208)</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(525)</w:t>
            </w:r>
          </w:p>
        </w:tc>
      </w:tr>
      <w:tr>
        <w:trPr>
          <w:trHeight w:val="176"/>
        </w:trPr>
        <w:tc>
          <w:tcPr>
            <w:tcW w:w="68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(954)</w:t>
            </w:r>
          </w:p>
        </w:tc>
      </w:tr>
      <w:tr>
        <w:trPr>
          <w:trHeight w:val="176"/>
        </w:trPr>
        <w:tc>
          <w:tcPr>
            <w:tcW w:w="6820" w:type="dxa"/>
            <w:vAlign w:val="bottom"/>
          </w:tcPr>
          <w:p>
            <w:pPr>
              <w:ind w:left="320"/>
              <w:spacing w:after="0" w:line="176" w:lineRule="exact"/>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5"/>
                <w:szCs w:val="15"/>
                <w:color w:val="auto"/>
              </w:rPr>
            </w:pPr>
          </w:p>
        </w:tc>
        <w:tc>
          <w:tcPr>
            <w:tcW w:w="9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(140)</w:t>
            </w:r>
          </w:p>
        </w:tc>
      </w:tr>
      <w:tr>
        <w:trPr>
          <w:trHeight w:val="176"/>
        </w:trPr>
        <w:tc>
          <w:tcPr>
            <w:tcW w:w="68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(969)</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r>
      <w:tr>
        <w:trPr>
          <w:trHeight w:val="169"/>
        </w:trPr>
        <w:tc>
          <w:tcPr>
            <w:tcW w:w="6820" w:type="dxa"/>
            <w:vAlign w:val="bottom"/>
          </w:tcPr>
          <w:p>
            <w:pPr>
              <w:ind w:left="580"/>
              <w:spacing w:after="0" w:line="170"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(80,188)</w:t>
            </w: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(49,563)</w:t>
            </w:r>
          </w:p>
        </w:tc>
        <w:tc>
          <w:tcPr>
            <w:tcW w:w="180" w:type="dxa"/>
            <w:vAlign w:val="bottom"/>
          </w:tcPr>
          <w:p>
            <w:pPr>
              <w:spacing w:after="0"/>
              <w:rPr>
                <w:sz w:val="14"/>
                <w:szCs w:val="14"/>
                <w:color w:val="auto"/>
              </w:rPr>
            </w:pP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6"/>
        </w:trPr>
        <w:tc>
          <w:tcPr>
            <w:tcW w:w="6820" w:type="dxa"/>
            <w:vAlign w:val="bottom"/>
          </w:tcPr>
          <w:p>
            <w:pPr>
              <w:spacing w:after="0" w:line="176"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(1,770)</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(6,312)</w:t>
            </w: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investments</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w w:val="98"/>
              </w:rPr>
              <w:t>(112,916)</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w w:val="98"/>
              </w:rPr>
              <w:t>(338,816)</w:t>
            </w:r>
          </w:p>
        </w:tc>
      </w:tr>
      <w:tr>
        <w:trPr>
          <w:trHeight w:val="176"/>
        </w:trPr>
        <w:tc>
          <w:tcPr>
            <w:tcW w:w="68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Maturities of investments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204,000</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126,000</w:t>
            </w:r>
          </w:p>
        </w:tc>
        <w:tc>
          <w:tcPr>
            <w:tcW w:w="180" w:type="dxa"/>
            <w:vAlign w:val="bottom"/>
            <w:tcBorders>
              <w:bottom w:val="single" w:sz="8" w:color="CCEEFF"/>
            </w:tcBorders>
          </w:tcPr>
          <w:p>
            <w:pPr>
              <w:spacing w:after="0"/>
              <w:rPr>
                <w:sz w:val="15"/>
                <w:szCs w:val="15"/>
                <w:color w:val="auto"/>
              </w:rPr>
            </w:pPr>
          </w:p>
        </w:tc>
      </w:tr>
      <w:tr>
        <w:trPr>
          <w:trHeight w:val="169"/>
        </w:trPr>
        <w:tc>
          <w:tcPr>
            <w:tcW w:w="6820" w:type="dxa"/>
            <w:vAlign w:val="bottom"/>
            <w:shd w:val="clear" w:color="auto" w:fill="CCEEFF"/>
          </w:tcPr>
          <w:p>
            <w:pPr>
              <w:ind w:left="580"/>
              <w:spacing w:after="0" w:line="170"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89,314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(219,128)</w:t>
            </w:r>
          </w:p>
        </w:tc>
        <w:tc>
          <w:tcPr>
            <w:tcW w:w="180" w:type="dxa"/>
            <w:vAlign w:val="bottom"/>
            <w:shd w:val="clear" w:color="auto" w:fill="CCEEFF"/>
          </w:tcPr>
          <w:p>
            <w:pPr>
              <w:spacing w:after="0"/>
              <w:rPr>
                <w:sz w:val="14"/>
                <w:szCs w:val="14"/>
                <w:color w:val="auto"/>
              </w:rPr>
            </w:pPr>
          </w:p>
        </w:tc>
      </w:tr>
      <w:tr>
        <w:trPr>
          <w:trHeight w:val="176"/>
        </w:trPr>
        <w:tc>
          <w:tcPr>
            <w:tcW w:w="6820" w:type="dxa"/>
            <w:vAlign w:val="bottom"/>
          </w:tcPr>
          <w:p>
            <w:pPr>
              <w:spacing w:after="0" w:line="176" w:lineRule="exact"/>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Principal payments on loan payable</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(417)</w:t>
            </w:r>
          </w:p>
        </w:tc>
      </w:tr>
      <w:tr>
        <w:trPr>
          <w:trHeight w:val="176"/>
        </w:trPr>
        <w:tc>
          <w:tcPr>
            <w:tcW w:w="6820" w:type="dxa"/>
            <w:vAlign w:val="bottom"/>
          </w:tcPr>
          <w:p>
            <w:pPr>
              <w:spacing w:after="0" w:line="176" w:lineRule="exact"/>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2,039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3,643</w:t>
            </w:r>
          </w:p>
        </w:tc>
        <w:tc>
          <w:tcPr>
            <w:tcW w:w="180" w:type="dxa"/>
            <w:vAlign w:val="bottom"/>
          </w:tcPr>
          <w:p>
            <w:pPr>
              <w:spacing w:after="0"/>
              <w:rPr>
                <w:sz w:val="15"/>
                <w:szCs w:val="15"/>
                <w:color w:val="auto"/>
              </w:rPr>
            </w:pP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Payment of offering costs</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(164)</w:t>
            </w:r>
          </w:p>
        </w:tc>
      </w:tr>
      <w:tr>
        <w:trPr>
          <w:trHeight w:val="176"/>
        </w:trPr>
        <w:tc>
          <w:tcPr>
            <w:tcW w:w="6820" w:type="dxa"/>
            <w:vAlign w:val="bottom"/>
          </w:tcPr>
          <w:p>
            <w:pPr>
              <w:spacing w:after="0" w:line="176" w:lineRule="exact"/>
              <w:rPr>
                <w:sz w:val="20"/>
                <w:szCs w:val="20"/>
                <w:color w:val="auto"/>
              </w:rPr>
            </w:pPr>
            <w:r>
              <w:rPr>
                <w:rFonts w:ascii="Arial" w:cs="Arial" w:eastAsia="Arial" w:hAnsi="Arial"/>
                <w:sz w:val="18"/>
                <w:szCs w:val="18"/>
                <w:color w:val="auto"/>
              </w:rPr>
              <w:t>Other financing activities</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(28)</w:t>
            </w:r>
          </w:p>
        </w:tc>
        <w:tc>
          <w:tcPr>
            <w:tcW w:w="160" w:type="dxa"/>
            <w:vAlign w:val="bottom"/>
          </w:tcPr>
          <w:p>
            <w:pPr>
              <w:spacing w:after="0"/>
              <w:rPr>
                <w:sz w:val="15"/>
                <w:szCs w:val="15"/>
                <w:color w:val="auto"/>
              </w:rPr>
            </w:pPr>
          </w:p>
        </w:tc>
        <w:tc>
          <w:tcPr>
            <w:tcW w:w="9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r>
      <w:tr>
        <w:trPr>
          <w:trHeight w:val="183"/>
        </w:trPr>
        <w:tc>
          <w:tcPr>
            <w:tcW w:w="6820" w:type="dxa"/>
            <w:vAlign w:val="bottom"/>
            <w:tcBorders>
              <w:top w:val="single" w:sz="8" w:color="CCEEFF"/>
            </w:tcBorders>
            <w:shd w:val="clear" w:color="auto" w:fill="CCEEFF"/>
          </w:tcPr>
          <w:p>
            <w:pPr>
              <w:ind w:left="50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2,011</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3,062</w:t>
            </w:r>
          </w:p>
        </w:tc>
        <w:tc>
          <w:tcPr>
            <w:tcW w:w="180" w:type="dxa"/>
            <w:vAlign w:val="bottom"/>
            <w:tcBorders>
              <w:top w:val="single" w:sz="8" w:color="CCEEFF"/>
            </w:tcBorders>
            <w:shd w:val="clear" w:color="auto" w:fill="CCEEFF"/>
          </w:tcPr>
          <w:p>
            <w:pPr>
              <w:spacing w:after="0"/>
              <w:rPr>
                <w:sz w:val="15"/>
                <w:szCs w:val="15"/>
                <w:color w:val="auto"/>
              </w:rPr>
            </w:pPr>
          </w:p>
        </w:tc>
      </w:tr>
      <w:tr>
        <w:trPr>
          <w:trHeight w:val="176"/>
        </w:trPr>
        <w:tc>
          <w:tcPr>
            <w:tcW w:w="6820" w:type="dxa"/>
            <w:vAlign w:val="bottom"/>
          </w:tcPr>
          <w:p>
            <w:pPr>
              <w:spacing w:after="0" w:line="176" w:lineRule="exact"/>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11,137</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w w:val="98"/>
              </w:rPr>
              <w:t>(265,629)</w:t>
            </w: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cash equivalents and restricted cash at beginning of period</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73,429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405,072</w:t>
            </w:r>
          </w:p>
        </w:tc>
        <w:tc>
          <w:tcPr>
            <w:tcW w:w="180" w:type="dxa"/>
            <w:vAlign w:val="bottom"/>
            <w:shd w:val="clear" w:color="auto" w:fill="CCEEFF"/>
          </w:tcPr>
          <w:p>
            <w:pPr>
              <w:spacing w:after="0"/>
              <w:rPr>
                <w:sz w:val="15"/>
                <w:szCs w:val="15"/>
                <w:color w:val="auto"/>
              </w:rPr>
            </w:pPr>
          </w:p>
        </w:tc>
      </w:tr>
      <w:tr>
        <w:trPr>
          <w:trHeight w:val="176"/>
        </w:trPr>
        <w:tc>
          <w:tcPr>
            <w:tcW w:w="6820" w:type="dxa"/>
            <w:vAlign w:val="bottom"/>
          </w:tcPr>
          <w:p>
            <w:pPr>
              <w:spacing w:after="0" w:line="176"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(16)</w:t>
            </w:r>
          </w:p>
        </w:tc>
        <w:tc>
          <w:tcPr>
            <w:tcW w:w="160" w:type="dxa"/>
            <w:vAlign w:val="bottom"/>
          </w:tcPr>
          <w:p>
            <w:pPr>
              <w:spacing w:after="0"/>
              <w:rPr>
                <w:sz w:val="15"/>
                <w:szCs w:val="15"/>
                <w:color w:val="auto"/>
              </w:rPr>
            </w:pPr>
          </w:p>
        </w:tc>
        <w:tc>
          <w:tcPr>
            <w:tcW w:w="96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r>
      <w:tr>
        <w:trPr>
          <w:trHeight w:val="189"/>
        </w:trPr>
        <w:tc>
          <w:tcPr>
            <w:tcW w:w="68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84,550</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139,443</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3"/>
        </w:trPr>
        <w:tc>
          <w:tcPr>
            <w:tcW w:w="6820" w:type="dxa"/>
            <w:vAlign w:val="bottom"/>
          </w:tcPr>
          <w:p>
            <w:pPr>
              <w:spacing w:after="0" w:line="163" w:lineRule="exact"/>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offering costs incurred but unpaid at period end</w:t>
            </w:r>
          </w:p>
        </w:tc>
        <w:tc>
          <w:tcPr>
            <w:tcW w:w="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7"/>
                <w:szCs w:val="17"/>
                <w:color w:val="auto"/>
              </w:rPr>
            </w:pPr>
          </w:p>
        </w:tc>
      </w:tr>
      <w:tr>
        <w:trPr>
          <w:trHeight w:val="170"/>
        </w:trPr>
        <w:tc>
          <w:tcPr>
            <w:tcW w:w="682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Property and equipment purchases unpaid at period end</w:t>
            </w:r>
          </w:p>
        </w:tc>
        <w:tc>
          <w:tcPr>
            <w:tcW w:w="1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1,478</w:t>
            </w:r>
          </w:p>
        </w:tc>
        <w:tc>
          <w:tcPr>
            <w:tcW w:w="180" w:type="dxa"/>
            <w:vAlign w:val="bottom"/>
            <w:tcBorders>
              <w:top w:val="single" w:sz="8" w:color="CCEEFF"/>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3,126</w:t>
            </w:r>
          </w:p>
        </w:tc>
        <w:tc>
          <w:tcPr>
            <w:tcW w:w="180" w:type="dxa"/>
            <w:vAlign w:val="bottom"/>
            <w:tcBorders>
              <w:top w:val="single" w:sz="8" w:color="CCEEFF"/>
              <w:bottom w:val="single" w:sz="8" w:color="CCEEFF"/>
            </w:tcBorders>
          </w:tcPr>
          <w:p>
            <w:pPr>
              <w:spacing w:after="0"/>
              <w:rPr>
                <w:sz w:val="14"/>
                <w:szCs w:val="14"/>
                <w:color w:val="auto"/>
              </w:rPr>
            </w:pPr>
          </w:p>
        </w:tc>
      </w:tr>
      <w:tr>
        <w:trPr>
          <w:trHeight w:val="183"/>
        </w:trPr>
        <w:tc>
          <w:tcPr>
            <w:tcW w:w="68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Cash paid for interest</w:t>
            </w:r>
          </w:p>
        </w:tc>
        <w:tc>
          <w:tcPr>
            <w:tcW w:w="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15"/>
                <w:szCs w:val="15"/>
                <w:color w:val="auto"/>
              </w:rPr>
            </w:pPr>
          </w:p>
        </w:tc>
      </w:tr>
    </w:tbl>
    <w:p>
      <w:pPr>
        <w:spacing w:after="0" w:line="161"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62"/>
        </w:trPr>
        <w:tc>
          <w:tcPr>
            <w:tcW w:w="65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129"/>
        </w:trPr>
        <w:tc>
          <w:tcPr>
            <w:tcW w:w="65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and cash equivalents</w:t>
            </w: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79,391</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134,886</w:t>
            </w:r>
          </w:p>
        </w:tc>
        <w:tc>
          <w:tcPr>
            <w:tcW w:w="200" w:type="dxa"/>
            <w:vAlign w:val="bottom"/>
            <w:shd w:val="clear" w:color="auto" w:fill="CCEEFF"/>
          </w:tcPr>
          <w:p>
            <w:pPr>
              <w:spacing w:after="0"/>
              <w:rPr>
                <w:sz w:val="11"/>
                <w:szCs w:val="11"/>
                <w:color w:val="auto"/>
              </w:rPr>
            </w:pPr>
          </w:p>
        </w:tc>
      </w:tr>
      <w:tr>
        <w:trPr>
          <w:trHeight w:val="135"/>
        </w:trPr>
        <w:tc>
          <w:tcPr>
            <w:tcW w:w="656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Restricted cash</w:t>
            </w:r>
          </w:p>
        </w:tc>
        <w:tc>
          <w:tcPr>
            <w:tcW w:w="4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5,159</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4,557</w:t>
            </w:r>
          </w:p>
        </w:tc>
        <w:tc>
          <w:tcPr>
            <w:tcW w:w="200" w:type="dxa"/>
            <w:vAlign w:val="bottom"/>
            <w:tcBorders>
              <w:bottom w:val="single" w:sz="8" w:color="CCEEFF"/>
            </w:tcBorders>
          </w:tcPr>
          <w:p>
            <w:pPr>
              <w:spacing w:after="0"/>
              <w:rPr>
                <w:sz w:val="11"/>
                <w:szCs w:val="11"/>
                <w:color w:val="auto"/>
              </w:rPr>
            </w:pPr>
          </w:p>
        </w:tc>
      </w:tr>
      <w:tr>
        <w:trPr>
          <w:trHeight w:val="136"/>
        </w:trPr>
        <w:tc>
          <w:tcPr>
            <w:tcW w:w="65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w w:val="97"/>
              </w:rPr>
              <w:t>Total cash, cash equivalents, and restricted cash shown in condensed consolidated statements of cash flows</w:t>
            </w: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84,550</w:t>
            </w: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139,443</w:t>
            </w:r>
          </w:p>
        </w:tc>
        <w:tc>
          <w:tcPr>
            <w:tcW w:w="200" w:type="dxa"/>
            <w:vAlign w:val="bottom"/>
            <w:tcBorders>
              <w:bottom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rare diseases and cancer immunotherapy.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7"/>
          <w:szCs w:val="17"/>
          <w:color w:val="auto"/>
        </w:rPr>
        <w:t>‑</w:t>
      </w:r>
      <w:r>
        <w:rPr>
          <w:rFonts w:ascii="Arial" w:cs="Arial" w:eastAsia="Arial" w:hAnsi="Arial"/>
          <w:sz w:val="17"/>
          <w:szCs w:val="17"/>
          <w:color w:val="auto"/>
        </w:rPr>
        <w:t>license certain of its research and development programs or future commercialization efforts.</w:t>
      </w:r>
    </w:p>
    <w:p>
      <w:pPr>
        <w:spacing w:after="0" w:line="162"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On April 2, 2019, the Company closed an underwritten public offering of 4,662,162 shares of its common stock at a price to the public of $74.00 per share, including 608,108 shares of common stock sold by the Company pursuant to the exercise in full by the underwriters of their option to purchase additional shares in connection with the offering (the April 2019 follow-on public offering). The Company received estimated net proceeds of $327.2 million, after deducting underwriting discounts and commissions and estimated offering expenses payable by the Company.</w:t>
      </w:r>
    </w:p>
    <w:p>
      <w:pPr>
        <w:spacing w:after="0" w:line="161"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As of March 31, 2019, the Company had cash, cash equivalents and investments of $415.9 million. Based on the Company’s current plans, the Company expects that its existing cash, cash equivalents and investments, including the $327.2 million in estimated net proceeds from its April 2019 follow-on public offering but excluding any potential option fees and milestone payments under its existing collaborations with Roche and CStone, will be sufficient to enable it to fund its operating expenses and capital expenditure requirements into the middle of 2021.</w:t>
      </w:r>
    </w:p>
    <w:p>
      <w:pPr>
        <w:spacing w:after="0" w:line="157" w:lineRule="exact"/>
        <w:rPr>
          <w:sz w:val="20"/>
          <w:szCs w:val="20"/>
          <w:color w:val="auto"/>
        </w:rPr>
      </w:pPr>
    </w:p>
    <w:p>
      <w:pPr>
        <w:ind w:right="234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2018 and notes thereto included in the Company’s Annual Report on Form 10-K for the year ended December 31, 2018, filed with the SEC on February 26, 2019 (the 2018 Annual Report on Form 10-K).</w:t>
      </w:r>
    </w:p>
    <w:p>
      <w:pPr>
        <w:spacing w:after="0" w:line="16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March 31, 2019, the results of its operations for the three months ended March 31, 2019 and 2018, stockholder’s equity for the three months ended March 31, 2019 and 2018 and cash flows for the three months ended March 31, 2019 and 2018. Such adjustments are of a normal and recurring nature. The results for the three months ended March 31, 2019 are not necessarily indicative of the results for the year ending December 31, 2019, or for any future period.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Blueprint Medicines Security Corporation, which is a Massachusetts subsidiary created to buy, sell and hold securities, Blueprint Medicines (Switzerland) GmbH, and Blueprint Medicines (Netherlands) B.V. All intercompany transactions and balances have been eliminated.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operating lease right-of-use assets, operating lease liabilities,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accrued expenses, and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jc w:val="both"/>
        <w:ind w:right="80" w:firstLine="648"/>
        <w:spacing w:after="0" w:line="249"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for the three months ended March 31, 2019 are consistent with those discussed in Note 2 to the consolidated financial statements in the 2018 Annual Report on Form 10-K, except as noted below with respect to the Company’s accounting policies related to lease obligations and as noted within this Note 2 under the section titled “—New Accounting Pronouncements.”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8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 xml:space="preserve">In February 2016, the FASB issued Accounting Standards Update </w:t>
      </w:r>
      <w:r>
        <w:rPr>
          <w:rFonts w:ascii="Arial" w:cs="Arial" w:eastAsia="Arial" w:hAnsi="Arial"/>
          <w:sz w:val="17"/>
          <w:szCs w:val="17"/>
          <w:i w:val="1"/>
          <w:iCs w:val="1"/>
          <w:color w:val="auto"/>
        </w:rPr>
        <w:t>ASU No. 2016-02, Leases (Topic 842)</w:t>
      </w:r>
      <w:r>
        <w:rPr>
          <w:rFonts w:ascii="Arial" w:cs="Arial" w:eastAsia="Arial" w:hAnsi="Arial"/>
          <w:sz w:val="17"/>
          <w:szCs w:val="17"/>
          <w:color w:val="auto"/>
        </w:rPr>
        <w:t xml:space="preserve"> or ASC 842, a new standard issued to increase transparency and comparability among organizations related to their leasing activities. This standard established a right-of-use model that requires all lessees to recognize right-of-use assets and lease liabilities on their balance sheet that arise from leases as well as provide disclosures with respect to certain qualitative and quantitative information related to a company's leasing arrangements to meet the objective of allowing users of financial statements to assess the amount, timing and uncertainty of cash flows arising from leases.</w:t>
      </w:r>
    </w:p>
    <w:p>
      <w:pPr>
        <w:spacing w:after="0" w:line="165"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 xml:space="preserve">The FASB subsequently issued the following amendments to ASU 2016-02 that have the same effective date and transition date: </w:t>
      </w:r>
      <w:r>
        <w:rPr>
          <w:rFonts w:ascii="Arial" w:cs="Arial" w:eastAsia="Arial" w:hAnsi="Arial"/>
          <w:sz w:val="18"/>
          <w:szCs w:val="18"/>
          <w:i w:val="1"/>
          <w:iCs w:val="1"/>
          <w:color w:val="auto"/>
        </w:rPr>
        <w:t>ASU No. 2018-01, Leases (Topic 842): Land Easement Practical Expedient for Transition to Topic 842, ASU</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2018-10, Codification Improvements to Topic 842, Leases, ASU No. 2018-11, Leases (Topic 842): Targeted Improvements, ASU No. 2018-20, Narrow-Scope Improvement for Lessors, and ASU No. 2019-01, Leases (Topic 842): Codification Improvements. </w:t>
      </w:r>
      <w:r>
        <w:rPr>
          <w:rFonts w:ascii="Arial" w:cs="Arial" w:eastAsia="Arial" w:hAnsi="Arial"/>
          <w:sz w:val="18"/>
          <w:szCs w:val="18"/>
          <w:color w:val="auto"/>
        </w:rPr>
        <w:t>The Company adopted these amendments with ASU 2016-02 (collectively, the new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or ASC 842) effective January 1, 2019.</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As permitted by the new leasing standards, the Company elected to adopt ASC 842 using the modified retrospective transition approach, with no restatement of prior periods or cumulative adjustment to retained earnings, and therefore, the consolidated balance sheet prior to January 1, 2019 continues to be reported under ASC Topic 840, Leases, or ASC 840, which did not require the recognition of operating lease liabilities on the balance sheet, and is not comparative.</w:t>
      </w:r>
    </w:p>
    <w:p>
      <w:pPr>
        <w:spacing w:after="0" w:line="15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6"/>
          <w:szCs w:val="16"/>
          <w:color w:val="auto"/>
        </w:rPr>
        <w:t>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leases that were classified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as operating leases under ASC 840 were classified as operating leases under ASC 842, and the accounting for finance leases (capital leases) was substantially unchanged. The Company elected to apply the practical expedient not to separate lease and non-lease components for new and modified leases commencing after adoption. The Company also made an accounting policy election to not recognize leases with an initial term of 12 months or less within the condensed consolidated balance sheets and to recognize those lease payments on a straight-line basis in the condensed consolidated statements of income over the lease term.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 of ASC 842</w:t>
      </w:r>
    </w:p>
    <w:p>
      <w:pPr>
        <w:spacing w:after="0" w:line="185"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Upon adoption of the new leasing standards, the Company recognized an adjustment of $54.2 million and $74.1 million to operating lease right-of-use assets and the related lease liabilities, respectively. The operating lease liabilities are based on the present value of the remaining minimum lease payments discounted using the Company’s secured incremental borrowing rate at the effective date of January 1, 2019. The adoption of the new leasing standards did not have an impact on the Company’s condensed consolidated statements of income.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impact of the adoption of ASC 842 on the condensed consolidated balance sheet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920" w:type="dxa"/>
            <w:vAlign w:val="bottom"/>
            <w:tcBorders>
              <w:top w:val="single" w:sz="8" w:color="auto"/>
            </w:tcBorders>
            <w:gridSpan w:val="7"/>
          </w:tcPr>
          <w:p>
            <w:pPr>
              <w:jc w:val="right"/>
              <w:ind w:right="13"/>
              <w:spacing w:after="0" w:line="129" w:lineRule="exact"/>
              <w:rPr>
                <w:sz w:val="20"/>
                <w:szCs w:val="20"/>
                <w:color w:val="auto"/>
              </w:rPr>
            </w:pPr>
            <w:r>
              <w:rPr>
                <w:rFonts w:ascii="Arial" w:cs="Arial" w:eastAsia="Arial" w:hAnsi="Arial"/>
                <w:sz w:val="14"/>
                <w:szCs w:val="14"/>
                <w:b w:val="1"/>
                <w:bCs w:val="1"/>
                <w:color w:val="auto"/>
                <w:w w:val="92"/>
              </w:rPr>
              <w:t>Impact of ASC 842 Adoption on Consolidated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4"/>
                <w:szCs w:val="14"/>
                <w:b w:val="1"/>
                <w:bCs w:val="1"/>
                <w:color w:val="auto"/>
              </w:rPr>
              <w:t>Balance Sheet as of January 1, 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Balances</w:t>
            </w: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Balances with</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6"/>
              </w:rPr>
              <w:t>without</w:t>
            </w:r>
          </w:p>
        </w:tc>
        <w:tc>
          <w:tcPr>
            <w:tcW w:w="240" w:type="dxa"/>
            <w:vAlign w:val="bottom"/>
          </w:tcPr>
          <w:p>
            <w:pPr>
              <w:spacing w:after="0"/>
              <w:rPr>
                <w:sz w:val="11"/>
                <w:szCs w:val="1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ASC 842</w:t>
            </w: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24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adoption of</w:t>
            </w:r>
          </w:p>
        </w:tc>
        <w:tc>
          <w:tcPr>
            <w:tcW w:w="2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62"/>
        </w:trPr>
        <w:tc>
          <w:tcPr>
            <w:tcW w:w="474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ASC 842</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Adjustment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ASC 842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lease right-of-use assets, net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4"/>
                <w:szCs w:val="14"/>
                <w:color w:val="auto"/>
                <w:w w:val="99"/>
              </w:rPr>
              <w:t xml:space="preserve">$   </w:t>
            </w:r>
            <w:r>
              <w:rPr>
                <w:rFonts w:ascii="Arial" w:cs="Arial" w:eastAsia="Arial" w:hAnsi="Arial"/>
                <w:sz w:val="18"/>
                <w:szCs w:val="18"/>
                <w:color w:val="auto"/>
                <w:w w:val="99"/>
              </w:rPr>
              <w:t>54,245</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54,245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540,124</w:t>
            </w:r>
          </w:p>
        </w:tc>
        <w:tc>
          <w:tcPr>
            <w:tcW w:w="10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54,245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594,369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expenses</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51,711</w:t>
            </w:r>
          </w:p>
        </w:tc>
        <w:tc>
          <w:tcPr>
            <w:tcW w:w="1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51,586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Current portion of operating lease liabilities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4,730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4,730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portion of lease incentive obligation</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1,714</w:t>
            </w:r>
          </w:p>
        </w:tc>
        <w:tc>
          <w:tcPr>
            <w:tcW w:w="1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(1,714)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Total current liabilities</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60,323</w:t>
            </w:r>
          </w:p>
        </w:tc>
        <w:tc>
          <w:tcPr>
            <w:tcW w:w="10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2,891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63,214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Deferred rent, net of current portion</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5,130</w:t>
            </w:r>
          </w:p>
        </w:tc>
        <w:tc>
          <w:tcPr>
            <w:tcW w:w="10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(5,130)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Arial" w:cs="Arial" w:eastAsia="Arial" w:hAnsi="Arial"/>
                <w:sz w:val="18"/>
                <w:szCs w:val="18"/>
                <w:color w:val="auto"/>
              </w:rPr>
              <w:t>Operating lease liabilities, net of current portion</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69,387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69,387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Lease incentive obligation, net of current portion</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12,903</w:t>
            </w:r>
          </w:p>
        </w:tc>
        <w:tc>
          <w:tcPr>
            <w:tcW w:w="116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(12,903)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Total liabilities</w:t>
            </w: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121,115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54,245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175,360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Accounting Policy</w:t>
      </w:r>
    </w:p>
    <w:p>
      <w:pPr>
        <w:spacing w:after="0" w:line="185"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For contracts entered into on or after the effective date,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62"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61"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212" w:lineRule="auto"/>
        <w:rPr>
          <w:sz w:val="20"/>
          <w:szCs w:val="20"/>
          <w:color w:val="auto"/>
        </w:rPr>
      </w:pPr>
      <w:r>
        <w:rPr>
          <w:rFonts w:ascii="Arial" w:cs="Arial" w:eastAsia="Arial" w:hAnsi="Arial"/>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 For real estate leases, the Company uses its secured incremental borrowing rate. For finance leases, the Company uses the rate implicit in the lease or its secured incremental borrowing rate if the implicit lease rate cannot be determined.</w:t>
      </w:r>
    </w:p>
    <w:p>
      <w:pPr>
        <w:spacing w:after="0" w:line="1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47"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Lease expense for operating leases consists of the lease payments plus any initial direct costs, primarily brokerage commissions,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Lease expense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185"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No. 2016-13, Financial Instruments - Credit Losses (Topic 326):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Credit Losses on Financial Instruments</w:t>
      </w:r>
      <w:r>
        <w:rPr>
          <w:rFonts w:ascii="Arial" w:cs="Arial" w:eastAsia="Arial" w:hAnsi="Arial"/>
          <w:sz w:val="18"/>
          <w:szCs w:val="18"/>
          <w:color w:val="auto"/>
        </w:rPr>
        <w:t>. This standard requires that credit losses be reported using an expected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the incurred losses model that is currently used, and establishes additional disclosures related to credit risks. For available-for-sale debt securities with unrealized losses, this standard now requires allowances to be recorded instead of reducing the amortized cost of the investment. This standard will be effective for the Company on January 1, 2020. The Company is currently evaluating the potential impact that this standard may have on its consolidated financial position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March 2017, the FASB issued </w:t>
      </w:r>
      <w:r>
        <w:rPr>
          <w:rFonts w:ascii="Arial" w:cs="Arial" w:eastAsia="Arial" w:hAnsi="Arial"/>
          <w:sz w:val="16"/>
          <w:szCs w:val="16"/>
          <w:i w:val="1"/>
          <w:iCs w:val="1"/>
          <w:color w:val="auto"/>
        </w:rPr>
        <w:t>ASU No. 2017-08, Receivables - Nonrefundable Fees and Other Costs (Subtopic</w:t>
      </w:r>
    </w:p>
    <w:p>
      <w:pPr>
        <w:spacing w:after="0"/>
        <w:rPr>
          <w:sz w:val="20"/>
          <w:szCs w:val="20"/>
          <w:color w:val="auto"/>
        </w:rPr>
      </w:pPr>
      <w:r>
        <w:rPr>
          <w:rFonts w:ascii="Arial" w:cs="Arial" w:eastAsia="Arial" w:hAnsi="Arial"/>
          <w:sz w:val="16"/>
          <w:szCs w:val="16"/>
          <w:i w:val="1"/>
          <w:iCs w:val="1"/>
          <w:color w:val="auto"/>
        </w:rPr>
        <w:t xml:space="preserve">310-20): Premium Amortization on Purchased Callable Debt Securities. </w:t>
      </w:r>
      <w:r>
        <w:rPr>
          <w:rFonts w:ascii="Arial" w:cs="Arial" w:eastAsia="Arial" w:hAnsi="Arial"/>
          <w:sz w:val="16"/>
          <w:szCs w:val="16"/>
          <w:color w:val="auto"/>
        </w:rPr>
        <w:t>This standard amends the amortization period for</w:t>
      </w:r>
    </w:p>
    <w:p>
      <w:pPr>
        <w:spacing w:after="0" w:line="229" w:lineRule="auto"/>
        <w:rPr>
          <w:sz w:val="20"/>
          <w:szCs w:val="20"/>
          <w:color w:val="auto"/>
        </w:rPr>
      </w:pPr>
      <w:r>
        <w:rPr>
          <w:rFonts w:ascii="Arial" w:cs="Arial" w:eastAsia="Arial" w:hAnsi="Arial"/>
          <w:sz w:val="16"/>
          <w:szCs w:val="16"/>
          <w:color w:val="auto"/>
        </w:rPr>
        <w:t>certain purchased callable debt securities held at a premium by shortening the amortization period to the earliest call date.</w:t>
      </w:r>
    </w:p>
    <w:p>
      <w:pPr>
        <w:spacing w:after="0" w:line="215" w:lineRule="auto"/>
        <w:rPr>
          <w:sz w:val="20"/>
          <w:szCs w:val="20"/>
          <w:color w:val="auto"/>
        </w:rPr>
      </w:pPr>
      <w:r>
        <w:rPr>
          <w:rFonts w:ascii="Arial" w:cs="Arial" w:eastAsia="Arial" w:hAnsi="Arial"/>
          <w:sz w:val="17"/>
          <w:szCs w:val="17"/>
          <w:color w:val="auto"/>
        </w:rPr>
        <w:t>This standard became effective for the Company on January 1, 2019, and was adopted using a modified retrospective</w:t>
      </w:r>
    </w:p>
    <w:p>
      <w:pPr>
        <w:spacing w:after="0" w:line="229" w:lineRule="auto"/>
        <w:rPr>
          <w:sz w:val="20"/>
          <w:szCs w:val="20"/>
          <w:color w:val="auto"/>
        </w:rPr>
      </w:pPr>
      <w:r>
        <w:rPr>
          <w:rFonts w:ascii="Arial" w:cs="Arial" w:eastAsia="Arial" w:hAnsi="Arial"/>
          <w:sz w:val="16"/>
          <w:szCs w:val="16"/>
          <w:color w:val="auto"/>
        </w:rPr>
        <w:t>transition approach. The adoption of this standard did not result in a significant adjustment to the Company’s marketable debt</w:t>
      </w:r>
    </w:p>
    <w:p>
      <w:pPr>
        <w:spacing w:after="0"/>
        <w:rPr>
          <w:sz w:val="20"/>
          <w:szCs w:val="20"/>
          <w:color w:val="auto"/>
        </w:rPr>
      </w:pPr>
      <w:r>
        <w:rPr>
          <w:rFonts w:ascii="Arial" w:cs="Arial" w:eastAsia="Arial" w:hAnsi="Arial"/>
          <w:sz w:val="18"/>
          <w:szCs w:val="18"/>
          <w:color w:val="auto"/>
        </w:rPr>
        <w:t>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No. 2018-13, Fair Value Measurement (Topic 820): Disclosure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This standard modifies certain disclosure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on fair value measurements. This standard will be effective for the Company on January 1, 2020. The Company does not expect that the adoption of this standard will have a material impact on the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 xml:space="preserve">In November 2018, the </w:t>
      </w:r>
      <w:r>
        <w:rPr>
          <w:rFonts w:ascii="Arial" w:cs="Arial" w:eastAsia="Arial" w:hAnsi="Arial"/>
          <w:sz w:val="18"/>
          <w:szCs w:val="18"/>
          <w:i w:val="1"/>
          <w:iCs w:val="1"/>
          <w:color w:val="auto"/>
        </w:rPr>
        <w:t>FASB issued ASU No. 2018-18, Collaborative Arrangements (Topic 808):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Interaction between Topic 808 and Topic 606. </w:t>
      </w:r>
      <w:r>
        <w:rPr>
          <w:rFonts w:ascii="Arial" w:cs="Arial" w:eastAsia="Arial" w:hAnsi="Arial"/>
          <w:sz w:val="18"/>
          <w:szCs w:val="18"/>
          <w:color w:val="auto"/>
        </w:rPr>
        <w:t>This standard makes targeted improvements for collaborative arrangements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63" w:lineRule="exact"/>
        <w:rPr>
          <w:sz w:val="20"/>
          <w:szCs w:val="20"/>
          <w:color w:val="auto"/>
        </w:rPr>
      </w:pPr>
    </w:p>
    <w:p>
      <w:pPr>
        <w:jc w:val="both"/>
        <w:ind w:left="1300" w:right="140" w:hanging="325"/>
        <w:spacing w:after="0" w:line="259"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Clarifies that certain transactions between collaborative arrangement participants should be accounted for as revenue under </w:t>
      </w:r>
      <w:r>
        <w:rPr>
          <w:rFonts w:ascii="Arial" w:cs="Arial" w:eastAsia="Arial" w:hAnsi="Arial"/>
          <w:sz w:val="16"/>
          <w:szCs w:val="16"/>
          <w:i w:val="1"/>
          <w:iCs w:val="1"/>
          <w:color w:val="auto"/>
        </w:rPr>
        <w:t>ASC 606, Revenue from Contracts with Customers</w:t>
      </w:r>
      <w:r>
        <w:rPr>
          <w:rFonts w:ascii="Arial" w:cs="Arial" w:eastAsia="Arial" w:hAnsi="Arial"/>
          <w:sz w:val="16"/>
          <w:szCs w:val="16"/>
          <w:color w:val="auto"/>
        </w:rPr>
        <w:t>, when the collaborative arrangement participant is a customer in the context of a unit of account. In those situations, all the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80"/>
        <w:spacing w:after="0" w:line="235" w:lineRule="auto"/>
        <w:rPr>
          <w:sz w:val="20"/>
          <w:szCs w:val="20"/>
          <w:color w:val="auto"/>
        </w:rPr>
      </w:pPr>
      <w:r>
        <w:rPr>
          <w:rFonts w:ascii="Arial" w:cs="Arial" w:eastAsia="Arial" w:hAnsi="Arial"/>
          <w:sz w:val="18"/>
          <w:szCs w:val="18"/>
          <w:color w:val="auto"/>
        </w:rPr>
        <w:t>guidance in ASC 606 should be applied, including recognition, measurement, presentation and disclosure requirements;</w:t>
      </w:r>
    </w:p>
    <w:p>
      <w:pPr>
        <w:spacing w:after="0" w:line="162" w:lineRule="exact"/>
        <w:rPr>
          <w:sz w:val="20"/>
          <w:szCs w:val="20"/>
          <w:color w:val="auto"/>
        </w:rPr>
      </w:pPr>
    </w:p>
    <w:p>
      <w:pPr>
        <w:jc w:val="both"/>
        <w:ind w:left="1300" w:right="560" w:hanging="325"/>
        <w:spacing w:after="0" w:line="23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Adds unit-of-account guidance to </w:t>
      </w:r>
      <w:r>
        <w:rPr>
          <w:rFonts w:ascii="Arial" w:cs="Arial" w:eastAsia="Arial" w:hAnsi="Arial"/>
          <w:sz w:val="17"/>
          <w:szCs w:val="17"/>
          <w:i w:val="1"/>
          <w:iCs w:val="1"/>
          <w:color w:val="auto"/>
        </w:rPr>
        <w:t>ASC 808, Collaborative Arrangements</w:t>
      </w:r>
      <w:r>
        <w:rPr>
          <w:rFonts w:ascii="Arial" w:cs="Arial" w:eastAsia="Arial" w:hAnsi="Arial"/>
          <w:sz w:val="17"/>
          <w:szCs w:val="17"/>
          <w:color w:val="auto"/>
        </w:rPr>
        <w:t>, to align with the guidance in ASC 606 (that is, a distinct good or service) when an entity is assessing whether the collaborative arrangement or a part of the arrangement is within the scope of ASC 606; and</w:t>
      </w:r>
    </w:p>
    <w:p>
      <w:pPr>
        <w:spacing w:after="0" w:line="161" w:lineRule="exact"/>
        <w:rPr>
          <w:rFonts w:ascii="Arial" w:cs="Arial" w:eastAsia="Arial" w:hAnsi="Arial"/>
          <w:sz w:val="17"/>
          <w:szCs w:val="17"/>
          <w:color w:val="auto"/>
        </w:rPr>
      </w:pPr>
    </w:p>
    <w:p>
      <w:pPr>
        <w:ind w:left="1300" w:right="360" w:hanging="325"/>
        <w:spacing w:after="0" w:line="22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w:t>
      </w:r>
    </w:p>
    <w:p>
      <w:pPr>
        <w:spacing w:after="0" w:line="163"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This standard will be effective for the Company on January 1, 2020; however, early adoption is permitted. A retrospective transition approach is required for either all contracts or only for contracts that are not completed at the date of initial application of ASC 606, with a cumulative adjustment to opening retained earnings. The Company is currently evaluating the potential impact that this standard may have on its consolidated financial position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1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 xml:space="preserve">In August 2018, the FASB issued </w:t>
      </w:r>
      <w:r>
        <w:rPr>
          <w:rFonts w:ascii="Arial" w:cs="Arial" w:eastAsia="Arial" w:hAnsi="Arial"/>
          <w:sz w:val="17"/>
          <w:szCs w:val="17"/>
          <w:i w:val="1"/>
          <w:iCs w:val="1"/>
          <w:color w:val="auto"/>
        </w:rPr>
        <w:t>ASU No. 2018-15, Intangibles-Goodwill and Other-Internal-Use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Customer’s Accounting for Implementation Costs Incurred in a Cloud Computing Arrangement That Is a Service Contract</w:t>
      </w:r>
      <w:r>
        <w:rPr>
          <w:rFonts w:ascii="Arial" w:cs="Arial" w:eastAsia="Arial" w:hAnsi="Arial"/>
          <w:sz w:val="17"/>
          <w:szCs w:val="17"/>
          <w:color w:val="auto"/>
        </w:rPr>
        <w:t>, which clarifies the accounting for implementation costs in cloud computing arrangements. This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effective for the Company on January 1, 2020, however, early adoption is permitted. The Company currently is evaluating the impact the adoption may have on its consolidated financial position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items in the prior year’s consolidated financial statements have been reclassified to conform to the current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and investments, available-for-sale, consisted of the following at March 31, 2019 and</w:t>
      </w:r>
    </w:p>
    <w:p>
      <w:pPr>
        <w:spacing w:after="0"/>
        <w:rPr>
          <w:sz w:val="20"/>
          <w:szCs w:val="20"/>
          <w:color w:val="auto"/>
        </w:rPr>
      </w:pPr>
      <w:r>
        <w:rPr>
          <w:rFonts w:ascii="Arial" w:cs="Arial" w:eastAsia="Arial" w:hAnsi="Arial"/>
          <w:sz w:val="18"/>
          <w:szCs w:val="18"/>
          <w:color w:val="auto"/>
        </w:rPr>
        <w:t>December 31, 2018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March 31, 2019</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5"/>
                <w:szCs w:val="15"/>
                <w:color w:val="auto"/>
              </w:rPr>
            </w:pPr>
          </w:p>
        </w:tc>
        <w:tc>
          <w:tcPr>
            <w:tcW w:w="86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1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Gain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8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79,391</w:t>
            </w:r>
          </w:p>
        </w:tc>
        <w:tc>
          <w:tcPr>
            <w:tcW w:w="22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79,391</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Borders>
              <w:bottom w:val="single" w:sz="8" w:color="CCEEFF"/>
            </w:tcBorders>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8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336,359</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129</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336,465</w:t>
            </w:r>
          </w:p>
        </w:tc>
        <w:tc>
          <w:tcPr>
            <w:tcW w:w="0" w:type="dxa"/>
            <w:vAlign w:val="bottom"/>
          </w:tcPr>
          <w:p>
            <w:pPr>
              <w:spacing w:after="0"/>
              <w:rPr>
                <w:sz w:val="1"/>
                <w:szCs w:val="1"/>
                <w:color w:val="auto"/>
              </w:rPr>
            </w:pPr>
          </w:p>
        </w:tc>
      </w:tr>
      <w:tr>
        <w:trPr>
          <w:trHeight w:val="25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415,750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415,856</w:t>
            </w:r>
          </w:p>
        </w:tc>
        <w:tc>
          <w:tcPr>
            <w:tcW w:w="0" w:type="dxa"/>
            <w:vAlign w:val="bottom"/>
          </w:tcPr>
          <w:p>
            <w:pPr>
              <w:spacing w:after="0"/>
              <w:rPr>
                <w:sz w:val="1"/>
                <w:szCs w:val="1"/>
                <w:color w:val="auto"/>
              </w:rPr>
            </w:pPr>
          </w:p>
        </w:tc>
      </w:tr>
      <w:tr>
        <w:trPr>
          <w:trHeight w:val="382"/>
        </w:trPr>
        <w:tc>
          <w:tcPr>
            <w:tcW w:w="31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8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gridSpan w:val="2"/>
          </w:tcPr>
          <w:p>
            <w:pPr>
              <w:jc w:val="center"/>
              <w:ind w:right="36"/>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center"/>
              <w:ind w:right="37"/>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1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Gain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8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68,064</w:t>
            </w:r>
          </w:p>
        </w:tc>
        <w:tc>
          <w:tcPr>
            <w:tcW w:w="22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68,064</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426,112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(164)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425,948</w:t>
            </w:r>
          </w:p>
        </w:tc>
        <w:tc>
          <w:tcPr>
            <w:tcW w:w="0" w:type="dxa"/>
            <w:vAlign w:val="bottom"/>
          </w:tcPr>
          <w:p>
            <w:pPr>
              <w:spacing w:after="0"/>
              <w:rPr>
                <w:sz w:val="1"/>
                <w:szCs w:val="1"/>
                <w:color w:val="auto"/>
              </w:rPr>
            </w:pPr>
          </w:p>
        </w:tc>
      </w:tr>
      <w:tr>
        <w:trPr>
          <w:trHeight w:val="169"/>
        </w:trPr>
        <w:tc>
          <w:tcPr>
            <w:tcW w:w="31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tcBorders>
            <w:gridSpan w:val="2"/>
            <w:shd w:val="clear" w:color="auto" w:fill="CCEEFF"/>
          </w:tcPr>
          <w:p>
            <w:pPr>
              <w:jc w:val="right"/>
              <w:ind w:right="120"/>
              <w:spacing w:after="0" w:line="170"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494,176</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(164)</w:t>
            </w: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gridSpan w:val="2"/>
            <w:shd w:val="clear" w:color="auto" w:fill="CCEEFF"/>
          </w:tcPr>
          <w:p>
            <w:pPr>
              <w:jc w:val="right"/>
              <w:ind w:right="100"/>
              <w:spacing w:after="0" w:line="170"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494,012</w:t>
            </w:r>
          </w:p>
        </w:tc>
        <w:tc>
          <w:tcPr>
            <w:tcW w:w="0" w:type="dxa"/>
            <w:vAlign w:val="bottom"/>
          </w:tcPr>
          <w:p>
            <w:pPr>
              <w:spacing w:after="0"/>
              <w:rPr>
                <w:sz w:val="1"/>
                <w:szCs w:val="1"/>
                <w:color w:val="auto"/>
              </w:rPr>
            </w:pPr>
          </w:p>
        </w:tc>
      </w:tr>
      <w:tr>
        <w:trPr>
          <w:trHeight w:val="27"/>
        </w:trPr>
        <w:tc>
          <w:tcPr>
            <w:tcW w:w="3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6"/>
          <w:szCs w:val="16"/>
          <w:color w:val="auto"/>
        </w:rPr>
        <w:t>At March 31, 2019 and December 31, 2018, the Company held 15 and 54 debt securities, respectively, that were in an unrealized loss position. The aggregate fair value of debt securities in an unrealized loss position at March 31, 2019 and December 31, 2018 was $94.5 million and $397.5 million, respectively. There were no individual securities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that were in a significant unrealized loss position as of March 31, 2019 and December 31, 2018. As of March 31, 2019, there were three securities in a total aggregate fair value of $14.0 million were in an unrealized loss position for more than twelve months. The Company has the intent and ability to hold such securities until recovery, and there was no material change in the credit risk of these investments. As a result, the Company determined it did not hold any investments with an other-than-temporary impairment as of March 31, 2019.</w:t>
      </w:r>
    </w:p>
    <w:p>
      <w:pPr>
        <w:spacing w:after="0" w:line="122"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No available-for-sale securities held as of March 31, 2019 or December 31, 2018 had remaining maturities greater than one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following table summarizes our cash equivalents and marketable securities measured at fair value on a recurring basis as of March 31, 2019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Active</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Observable</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3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3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79,391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79,391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336,465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336,465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415,856</w:t>
            </w: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415,856</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4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0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following table summarizes our cash equivalents and marketable securities measured at fair value on a recurring basis as of December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Active</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Observable</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3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68,064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68,064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425,948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425,948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gridSpan w:val="2"/>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494,012</w:t>
            </w: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494,012</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4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500"/>
              <w:spacing w:after="0" w:line="17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At March 31, 2019 and December 31, 2018, $5.2 million and $5.4 million, respectively, of the Company’s cash is restricted by a bank related to security deposits for the lease agreements for the Company’s current and former corporate headquarters.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on these security deposits, see Note 11, </w:t>
      </w:r>
      <w:r>
        <w:rPr>
          <w:rFonts w:ascii="Arial" w:cs="Arial" w:eastAsia="Arial" w:hAnsi="Arial"/>
          <w:sz w:val="18"/>
          <w:szCs w:val="18"/>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2" w:right="13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78"/>
        </w:trPr>
        <w:tc>
          <w:tcPr>
            <w:tcW w:w="5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r>
      <w:tr>
        <w:trPr>
          <w:trHeight w:val="169"/>
        </w:trPr>
        <w:tc>
          <w:tcPr>
            <w:tcW w:w="51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Lab equipment</w:t>
            </w:r>
          </w:p>
        </w:tc>
        <w:tc>
          <w:tcPr>
            <w:tcW w:w="108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79"/>
              </w:rPr>
              <w:t>5</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6,742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6,232</w:t>
            </w:r>
          </w:p>
        </w:tc>
        <w:tc>
          <w:tcPr>
            <w:tcW w:w="140" w:type="dxa"/>
            <w:vAlign w:val="bottom"/>
            <w:shd w:val="clear" w:color="auto" w:fill="CCEEFF"/>
          </w:tcPr>
          <w:p>
            <w:pPr>
              <w:spacing w:after="0"/>
              <w:rPr>
                <w:sz w:val="14"/>
                <w:szCs w:val="14"/>
                <w:color w:val="auto"/>
              </w:rPr>
            </w:pP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Furniture and fixtures</w:t>
            </w:r>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2,455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2,369</w:t>
            </w:r>
          </w:p>
        </w:tc>
        <w:tc>
          <w:tcPr>
            <w:tcW w:w="140" w:type="dxa"/>
            <w:vAlign w:val="bottom"/>
          </w:tcPr>
          <w:p>
            <w:pPr>
              <w:spacing w:after="0"/>
              <w:rPr>
                <w:sz w:val="15"/>
                <w:szCs w:val="15"/>
                <w:color w:val="auto"/>
              </w:rPr>
            </w:pPr>
          </w:p>
        </w:tc>
      </w:tr>
      <w:tr>
        <w:trPr>
          <w:trHeight w:val="176"/>
        </w:trPr>
        <w:tc>
          <w:tcPr>
            <w:tcW w:w="5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Computer equipment</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spacing w:after="0"/>
              <w:rPr>
                <w:sz w:val="15"/>
                <w:szCs w:val="15"/>
                <w:color w:val="auto"/>
              </w:rPr>
            </w:pP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Leasehold improvements</w:t>
            </w:r>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89"/>
              </w:rPr>
              <w:t>Term of lease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26,660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26,640</w:t>
            </w:r>
          </w:p>
        </w:tc>
        <w:tc>
          <w:tcPr>
            <w:tcW w:w="140" w:type="dxa"/>
            <w:vAlign w:val="bottom"/>
          </w:tcPr>
          <w:p>
            <w:pPr>
              <w:spacing w:after="0"/>
              <w:rPr>
                <w:sz w:val="15"/>
                <w:szCs w:val="15"/>
                <w:color w:val="auto"/>
              </w:rPr>
            </w:pPr>
          </w:p>
        </w:tc>
      </w:tr>
      <w:tr>
        <w:trPr>
          <w:trHeight w:val="176"/>
        </w:trPr>
        <w:tc>
          <w:tcPr>
            <w:tcW w:w="5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Software</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5"/>
                <w:szCs w:val="15"/>
                <w:color w:val="auto"/>
              </w:rPr>
            </w:pPr>
          </w:p>
        </w:tc>
      </w:tr>
      <w:tr>
        <w:trPr>
          <w:trHeight w:val="176"/>
        </w:trPr>
        <w:tc>
          <w:tcPr>
            <w:tcW w:w="51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Construction-in-progress</w:t>
            </w:r>
          </w:p>
        </w:tc>
        <w:tc>
          <w:tcPr>
            <w:tcW w:w="10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2,542</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956</w:t>
            </w:r>
          </w:p>
        </w:tc>
        <w:tc>
          <w:tcPr>
            <w:tcW w:w="140" w:type="dxa"/>
            <w:vAlign w:val="bottom"/>
            <w:tcBorders>
              <w:bottom w:val="single" w:sz="8" w:color="CCEEFF"/>
            </w:tcBorders>
          </w:tcPr>
          <w:p>
            <w:pPr>
              <w:spacing w:after="0"/>
              <w:rPr>
                <w:sz w:val="15"/>
                <w:szCs w:val="15"/>
                <w:color w:val="auto"/>
              </w:rPr>
            </w:pPr>
          </w:p>
        </w:tc>
      </w:tr>
      <w:tr>
        <w:trPr>
          <w:trHeight w:val="169"/>
        </w:trPr>
        <w:tc>
          <w:tcPr>
            <w:tcW w:w="5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40,361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38,282</w:t>
            </w:r>
          </w:p>
        </w:tc>
        <w:tc>
          <w:tcPr>
            <w:tcW w:w="140" w:type="dxa"/>
            <w:vAlign w:val="bottom"/>
            <w:shd w:val="clear" w:color="auto" w:fill="CCEEFF"/>
          </w:tcPr>
          <w:p>
            <w:pPr>
              <w:spacing w:after="0"/>
              <w:rPr>
                <w:sz w:val="14"/>
                <w:szCs w:val="14"/>
                <w:color w:val="auto"/>
              </w:rPr>
            </w:pPr>
          </w:p>
        </w:tc>
      </w:tr>
      <w:tr>
        <w:trPr>
          <w:trHeight w:val="176"/>
        </w:trPr>
        <w:tc>
          <w:tcPr>
            <w:tcW w:w="51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accumulated depreciation and amortization</w:t>
            </w:r>
          </w:p>
        </w:tc>
        <w:tc>
          <w:tcPr>
            <w:tcW w:w="10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(9,746)</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(8,655)</w:t>
            </w:r>
          </w:p>
        </w:tc>
        <w:tc>
          <w:tcPr>
            <w:tcW w:w="140" w:type="dxa"/>
            <w:vAlign w:val="bottom"/>
            <w:tcBorders>
              <w:bottom w:val="single" w:sz="8" w:color="CCEEFF"/>
            </w:tcBorders>
          </w:tcPr>
          <w:p>
            <w:pPr>
              <w:spacing w:after="0"/>
              <w:rPr>
                <w:sz w:val="15"/>
                <w:szCs w:val="15"/>
                <w:color w:val="auto"/>
              </w:rPr>
            </w:pPr>
          </w:p>
        </w:tc>
      </w:tr>
      <w:tr>
        <w:trPr>
          <w:trHeight w:val="176"/>
        </w:trPr>
        <w:tc>
          <w:tcPr>
            <w:tcW w:w="51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30,615</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29,627</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Property, plant and equipment are recorded at historical cost, net of accumulated depreciation. For the three months ended March 31, 2019, depreciation expense totaled $1.2 million, compared to $0.8 million in the prior year comparative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69"/>
        </w:trPr>
        <w:tc>
          <w:tcPr>
            <w:tcW w:w="4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External research and development</w:t>
            </w:r>
          </w:p>
        </w:tc>
        <w:tc>
          <w:tcPr>
            <w:tcW w:w="2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36,641</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36,213</w:t>
            </w:r>
          </w:p>
        </w:tc>
        <w:tc>
          <w:tcPr>
            <w:tcW w:w="100" w:type="dxa"/>
            <w:vAlign w:val="bottom"/>
            <w:shd w:val="clear" w:color="auto" w:fill="CCEEFF"/>
          </w:tcPr>
          <w:p>
            <w:pPr>
              <w:spacing w:after="0"/>
              <w:rPr>
                <w:sz w:val="14"/>
                <w:szCs w:val="14"/>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8"/>
                <w:szCs w:val="18"/>
                <w:color w:val="auto"/>
              </w:rPr>
              <w:t>Employee compensation</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4,545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8,071</w:t>
            </w:r>
          </w:p>
        </w:tc>
        <w:tc>
          <w:tcPr>
            <w:tcW w:w="100" w:type="dxa"/>
            <w:vAlign w:val="bottom"/>
          </w:tcPr>
          <w:p>
            <w:pPr>
              <w:spacing w:after="0"/>
              <w:rPr>
                <w:sz w:val="16"/>
                <w:szCs w:val="16"/>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Accrued professional fees</w:t>
            </w:r>
          </w:p>
        </w:tc>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5,758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4,423</w:t>
            </w:r>
          </w:p>
        </w:tc>
        <w:tc>
          <w:tcPr>
            <w:tcW w:w="100" w:type="dxa"/>
            <w:vAlign w:val="bottom"/>
            <w:shd w:val="clear" w:color="auto" w:fill="CCEEFF"/>
          </w:tcPr>
          <w:p>
            <w:pPr>
              <w:spacing w:after="0"/>
              <w:rPr>
                <w:sz w:val="15"/>
                <w:szCs w:val="15"/>
                <w:color w:val="auto"/>
              </w:rPr>
            </w:pPr>
          </w:p>
        </w:tc>
      </w:tr>
      <w:tr>
        <w:trPr>
          <w:trHeight w:val="176"/>
        </w:trPr>
        <w:tc>
          <w:tcPr>
            <w:tcW w:w="4680" w:type="dxa"/>
            <w:vAlign w:val="bottom"/>
          </w:tcPr>
          <w:p>
            <w:pPr>
              <w:spacing w:after="0" w:line="176" w:lineRule="exact"/>
              <w:rPr>
                <w:sz w:val="20"/>
                <w:szCs w:val="20"/>
                <w:color w:val="auto"/>
              </w:rPr>
            </w:pPr>
            <w:r>
              <w:rPr>
                <w:rFonts w:ascii="Arial" w:cs="Arial" w:eastAsia="Arial" w:hAnsi="Arial"/>
                <w:sz w:val="18"/>
                <w:szCs w:val="18"/>
                <w:color w:val="auto"/>
              </w:rPr>
              <w:t>Property and equipment costs</w:t>
            </w: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1,338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912</w:t>
            </w:r>
          </w:p>
        </w:tc>
        <w:tc>
          <w:tcPr>
            <w:tcW w:w="100" w:type="dxa"/>
            <w:vAlign w:val="bottom"/>
          </w:tcPr>
          <w:p>
            <w:pPr>
              <w:spacing w:after="0"/>
              <w:rPr>
                <w:sz w:val="15"/>
                <w:szCs w:val="15"/>
                <w:color w:val="auto"/>
              </w:rPr>
            </w:pPr>
          </w:p>
        </w:tc>
      </w:tr>
      <w:tr>
        <w:trPr>
          <w:trHeight w:val="176"/>
        </w:trPr>
        <w:tc>
          <w:tcPr>
            <w:tcW w:w="4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2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2,544</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5"/>
                <w:szCs w:val="15"/>
                <w:color w:val="auto"/>
              </w:rPr>
            </w:pPr>
          </w:p>
        </w:tc>
      </w:tr>
      <w:tr>
        <w:trPr>
          <w:trHeight w:val="244"/>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50,826</w:t>
            </w:r>
          </w:p>
        </w:tc>
        <w:tc>
          <w:tcPr>
            <w:tcW w:w="20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51,711</w:t>
            </w:r>
          </w:p>
        </w:tc>
        <w:tc>
          <w:tcPr>
            <w:tcW w:w="100" w:type="dxa"/>
            <w:vAlign w:val="bottom"/>
          </w:tcPr>
          <w:p>
            <w:pPr>
              <w:spacing w:after="0"/>
              <w:rPr>
                <w:sz w:val="21"/>
                <w:szCs w:val="2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18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On June 1, 2018, the Company entered into a Collaboration and License Agreement (the CStone agreement) with CStone pursuant to which the Company granted CStone exclusive rights to develop and commercialize the Company’s drug candidates BLU-554, avapritinib and BLU-667, including back-up forms and certain other forms thereof, in Mainland China, Hong Kong, Macau and Taiwan (each, a CStone region and collectively, the CStone territory), either as a monotherapy or as part of a combination therapy. The Company will retain exclusive rights to the licensed products outside the CStone territory.</w:t>
      </w:r>
    </w:p>
    <w:p>
      <w:pPr>
        <w:spacing w:after="0" w:line="15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 received an upfront cash payment of $40.0 million, and subject to the terms of the CStone agreement, will be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BLU-554 as a combination therapy in the CStone territory that will be shared by the Company and CStone.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Pursuant to the terms of the CStone agreement, CStone will be responsible for conducting all development and commercialization activities in the CStone territory related to the licensed products, and the Company and CStone plan to conduct a proof-of-concept clinical trial in China evaluating BLU-554 in combination with CS1001, a clinical stage anti-programmed death ligand-1 immunotherapy being developed by CStone, as a first-line therapy for the treatment of patients with hepatocellular carcinoma.</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68"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 Accordingly, the Company recorded a reduction of expenses of $0.8 million for the three months ended March 31, 2019.</w:t>
      </w:r>
    </w:p>
    <w:p>
      <w:pPr>
        <w:spacing w:after="0" w:line="16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65"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61" w:lineRule="exact"/>
        <w:rPr>
          <w:sz w:val="20"/>
          <w:szCs w:val="20"/>
          <w:color w:val="auto"/>
        </w:rPr>
      </w:pPr>
    </w:p>
    <w:p>
      <w:pPr>
        <w:jc w:val="both"/>
        <w:ind w:right="400" w:firstLine="648"/>
        <w:spacing w:after="0" w:line="224"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63"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There was no adjustment in the transaction price as of March 31, 2019. Because the performance obligations have been satisfied, any addition to the transaction price would be immediately recognized as revenue.</w:t>
      </w:r>
    </w:p>
    <w:p>
      <w:pPr>
        <w:spacing w:after="0" w:line="162"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The Company satisfied the performance obligations upon delivery of the licenses, initial know-how transfers and product trademark and recognized the upfront payment of $40.0 million as revenue during the second quarter of 2018, and there was no revenue deferred as a contract liability associated with the CStone agreement as of December 31, 2018 and March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March 2016, the Company entered into a collaboration and license agreement (as amended, Roche agreement) with Roche for the discovery, development and commercialization of up to five small molecule therapeutics targeting kinases believed to be important in cancer immunotherapy, as single products or possibly in combination with other therapeutics. The parties are currently conducting activities for up to five programs under the collaboration, including up to two collaboration programs leveraging the Company’s novel target discovery engine and proprietary compound library to select potential targets.</w:t>
      </w:r>
    </w:p>
    <w:p>
      <w:pPr>
        <w:spacing w:after="0" w:line="162"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6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right="220" w:firstLine="648"/>
        <w:spacing w:after="0" w:line="241" w:lineRule="auto"/>
        <w:rPr>
          <w:sz w:val="20"/>
          <w:szCs w:val="20"/>
          <w:color w:val="auto"/>
        </w:rPr>
      </w:pPr>
      <w:r>
        <w:rPr>
          <w:rFonts w:ascii="Arial" w:cs="Arial" w:eastAsia="Arial" w:hAnsi="Arial"/>
          <w:sz w:val="16"/>
          <w:szCs w:val="16"/>
          <w:color w:val="auto"/>
        </w:rPr>
        <w:t>The Company received an upfront cash payment of $45.0 million in March 2016 upon execution of the Roche agreement, and subject to the terms of the Roche agreement, the Company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collaboration programs for which the parties will work together to select targets (pre-option exercise milestones). In June 2018, the Company achieved and received a $10.0 million research milestone payment.</w:t>
      </w:r>
    </w:p>
    <w:p>
      <w:pPr>
        <w:spacing w:after="0" w:line="162"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1"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3"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products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3"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63"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agreement, which consists of: (1) the non-exclusive license; (2) the research and development activities through Phase 1; and (3) regulatory responsibilities under Phase 1 clinical trials.</w:t>
      </w:r>
    </w:p>
    <w:p>
      <w:pPr>
        <w:spacing w:after="0" w:line="163"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Under the Roche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In June 2018, the Company achieved and received a $10.0 million research milestone payment related to the Roche agreement, and it became probable that a significant reversal of cumulative revenue would not occur for the $10.0 million research milestone achieved. At such time, the associated consideration was added to the estimated transaction price and allocated to the existing performance obligation.</w:t>
      </w:r>
    </w:p>
    <w:p>
      <w:pPr>
        <w:spacing w:after="0" w:line="163" w:lineRule="exact"/>
        <w:rPr>
          <w:sz w:val="20"/>
          <w:szCs w:val="20"/>
          <w:color w:val="auto"/>
        </w:rPr>
      </w:pPr>
    </w:p>
    <w:p>
      <w:pPr>
        <w:ind w:right="180" w:firstLine="648"/>
        <w:spacing w:after="0" w:line="225" w:lineRule="auto"/>
        <w:rPr>
          <w:sz w:val="20"/>
          <w:szCs w:val="20"/>
          <w:color w:val="auto"/>
        </w:rPr>
      </w:pPr>
      <w:r>
        <w:rPr>
          <w:rFonts w:ascii="Arial" w:cs="Arial" w:eastAsia="Arial" w:hAnsi="Arial"/>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162" w:lineRule="exact"/>
        <w:rPr>
          <w:sz w:val="20"/>
          <w:szCs w:val="20"/>
          <w:color w:val="auto"/>
        </w:rPr>
      </w:pPr>
    </w:p>
    <w:p>
      <w:pPr>
        <w:ind w:right="180" w:firstLine="648"/>
        <w:spacing w:after="0" w:line="212" w:lineRule="auto"/>
        <w:rPr>
          <w:sz w:val="20"/>
          <w:szCs w:val="20"/>
          <w:color w:val="auto"/>
        </w:rPr>
      </w:pPr>
      <w:r>
        <w:rPr>
          <w:rFonts w:ascii="Arial" w:cs="Arial" w:eastAsia="Arial" w:hAnsi="Arial"/>
          <w:sz w:val="18"/>
          <w:szCs w:val="18"/>
          <w:color w:val="auto"/>
        </w:rPr>
        <w:t>During the three months ended March 31, 2019, there has been no significant changes in the costs expected to be incurred in the future to satisfy the performance obligation, and the Company recognized revenue of $0.7 million under the Roche collaboration, of which $1.0 million was recognized as a result of the change in the contract liability balances as of December 31, 2018. As of March 31, 2019, the Company had revenue deferred as a contract liability related to the Roche agreement of $45.4 million, of which $4.2 million was included in current liabilities, and the research and development services related to the performance obligation are expected to be performed over a remaining period of approximately six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2019, the number of shares reserved for issuance under the 2015 Plan was increased by 1,761,481 shares. In addition, the total number of shares reserved for issuance is subject to adjustment in the event of a stock split, stock dividend or other change in our capitalization. At March 31, 2019, there were 2,244,841 shares available for future grant under the 2015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2019:</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Weighted-Average</w:t>
            </w:r>
          </w:p>
        </w:tc>
      </w:tr>
      <w:tr>
        <w:trPr>
          <w:trHeight w:val="269"/>
        </w:trPr>
        <w:tc>
          <w:tcPr>
            <w:tcW w:w="6640" w:type="dxa"/>
            <w:vAlign w:val="bottom"/>
          </w:tcPr>
          <w:p>
            <w:pPr>
              <w:spacing w:after="0"/>
              <w:rPr>
                <w:sz w:val="23"/>
                <w:szCs w:val="23"/>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3"/>
                <w:szCs w:val="23"/>
                <w:color w:val="auto"/>
              </w:rPr>
            </w:pPr>
          </w:p>
        </w:tc>
        <w:tc>
          <w:tcPr>
            <w:tcW w:w="1240" w:type="dxa"/>
            <w:vAlign w:val="bottom"/>
          </w:tcPr>
          <w:p>
            <w:pPr>
              <w:jc w:val="right"/>
              <w:ind w:right="94"/>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4,557,800</w:t>
            </w: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w:t>
            </w: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1,061,306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85.05</w:t>
            </w:r>
          </w:p>
        </w:tc>
      </w:tr>
      <w:tr>
        <w:trPr>
          <w:trHeight w:val="230"/>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(134,439)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r>
      <w:tr>
        <w:trPr>
          <w:trHeight w:val="176"/>
        </w:trPr>
        <w:tc>
          <w:tcPr>
            <w:tcW w:w="6640" w:type="dxa"/>
            <w:vAlign w:val="bottom"/>
          </w:tcPr>
          <w:p>
            <w:pPr>
              <w:ind w:left="220"/>
              <w:spacing w:after="0" w:line="176" w:lineRule="exact"/>
              <w:rPr>
                <w:sz w:val="20"/>
                <w:szCs w:val="20"/>
                <w:color w:val="auto"/>
              </w:rPr>
            </w:pPr>
            <w:r>
              <w:rPr>
                <w:rFonts w:ascii="Arial" w:cs="Arial" w:eastAsia="Arial" w:hAnsi="Arial"/>
                <w:sz w:val="18"/>
                <w:szCs w:val="18"/>
                <w:color w:val="auto"/>
              </w:rPr>
              <w:t>Canceled</w:t>
            </w:r>
          </w:p>
        </w:tc>
        <w:tc>
          <w:tcPr>
            <w:tcW w:w="10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(23,785)</w:t>
            </w:r>
          </w:p>
        </w:tc>
        <w:tc>
          <w:tcPr>
            <w:tcW w:w="100" w:type="dxa"/>
            <w:vAlign w:val="bottom"/>
          </w:tcPr>
          <w:p>
            <w:pPr>
              <w:spacing w:after="0"/>
              <w:rPr>
                <w:sz w:val="15"/>
                <w:szCs w:val="15"/>
                <w:color w:val="auto"/>
              </w:rPr>
            </w:pPr>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63.18</w:t>
            </w:r>
          </w:p>
        </w:tc>
      </w:tr>
      <w:tr>
        <w:trPr>
          <w:trHeight w:val="190"/>
        </w:trPr>
        <w:tc>
          <w:tcPr>
            <w:tcW w:w="66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at March 31, 2019</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5,460,882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53.13</w:t>
            </w: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Exercisable at March 31,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2,199,374</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r>
    </w:tbl>
    <w:p>
      <w:pPr>
        <w:spacing w:after="0" w:line="188" w:lineRule="exact"/>
        <w:rPr>
          <w:sz w:val="20"/>
          <w:szCs w:val="20"/>
          <w:color w:val="auto"/>
        </w:rPr>
      </w:pPr>
    </w:p>
    <w:p>
      <w:pPr>
        <w:ind w:right="460" w:firstLine="648"/>
        <w:spacing w:after="0" w:line="289" w:lineRule="auto"/>
        <w:rPr>
          <w:sz w:val="20"/>
          <w:szCs w:val="20"/>
          <w:color w:val="auto"/>
        </w:rPr>
      </w:pPr>
      <w:r>
        <w:rPr>
          <w:rFonts w:ascii="Arial" w:cs="Arial" w:eastAsia="Arial" w:hAnsi="Arial"/>
          <w:sz w:val="16"/>
          <w:szCs w:val="16"/>
          <w:color w:val="auto"/>
        </w:rPr>
        <w:t>At March 31, 2019, the total unrecognized compensation expense related to unvested stock option awards was $135.3 million, which is expected to be recognized over a weighted-average period of approximately 3.0 years.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restricted stock units activity for the three months ended March 31,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r>
      <w:tr>
        <w:trPr>
          <w:trHeight w:val="243"/>
        </w:trPr>
        <w:tc>
          <w:tcPr>
            <w:tcW w:w="6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64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at 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36,868</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r>
      <w:tr>
        <w:trPr>
          <w:trHeight w:val="243"/>
        </w:trPr>
        <w:tc>
          <w:tcPr>
            <w:tcW w:w="6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256,124</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85.40</w:t>
            </w:r>
          </w:p>
        </w:tc>
      </w:tr>
      <w:tr>
        <w:trPr>
          <w:trHeight w:val="243"/>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w:t>
            </w:r>
          </w:p>
        </w:tc>
      </w:tr>
      <w:tr>
        <w:trPr>
          <w:trHeight w:val="22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at March 31,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291,992</w:t>
            </w:r>
          </w:p>
        </w:tc>
        <w:tc>
          <w:tcPr>
            <w:tcW w:w="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w:t>
            </w:r>
          </w:p>
        </w:tc>
      </w:tr>
      <w:tr>
        <w:trPr>
          <w:trHeight w:val="27"/>
        </w:trPr>
        <w:tc>
          <w:tcPr>
            <w:tcW w:w="64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256" w:lineRule="exact"/>
        <w:rPr>
          <w:sz w:val="20"/>
          <w:szCs w:val="20"/>
          <w:color w:val="auto"/>
        </w:rPr>
      </w:pPr>
    </w:p>
    <w:p>
      <w:pPr>
        <w:ind w:right="420" w:firstLine="648"/>
        <w:spacing w:after="0" w:line="289" w:lineRule="auto"/>
        <w:rPr>
          <w:sz w:val="20"/>
          <w:szCs w:val="20"/>
          <w:color w:val="auto"/>
        </w:rPr>
      </w:pPr>
      <w:r>
        <w:rPr>
          <w:rFonts w:ascii="Arial" w:cs="Arial" w:eastAsia="Arial" w:hAnsi="Arial"/>
          <w:sz w:val="16"/>
          <w:szCs w:val="16"/>
          <w:color w:val="auto"/>
        </w:rPr>
        <w:t>At March 31, 2019, the total unrecognized compensation expense related to unvested restricted stock units was $23.4 million, which is expected to be recognize over a weighted-average period of approximately 3.9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2019, the number of shares reserved for issuance under the 2015 ESPP was increased by 440,370 shares. No shares were issued under the 2015 ESPP during the three months ended March 31, 2019 and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The Company recognized stock-based compensation expense totaling $10.3 million and $5.5 million for the three months ended March 31, 2019 and 2018, respectively. Stock-based compensation expense by award type included within the unaudited condensed consolidated statements of operations and comprehensive loss was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r>
      <w:tr>
        <w:trPr>
          <w:trHeight w:val="174"/>
        </w:trPr>
        <w:tc>
          <w:tcPr>
            <w:tcW w:w="36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r>
      <w:tr>
        <w:trPr>
          <w:trHeight w:val="183"/>
        </w:trPr>
        <w:tc>
          <w:tcPr>
            <w:tcW w:w="3680" w:type="dxa"/>
            <w:vAlign w:val="bottom"/>
            <w:tcBorders>
              <w:bottom w:val="single" w:sz="8" w:color="CCEEFF"/>
            </w:tcBorders>
          </w:tcPr>
          <w:p>
            <w:pPr>
              <w:spacing w:after="0"/>
              <w:rPr>
                <w:sz w:val="15"/>
                <w:szCs w:val="15"/>
                <w:color w:val="auto"/>
              </w:rPr>
            </w:pPr>
          </w:p>
        </w:tc>
        <w:tc>
          <w:tcPr>
            <w:tcW w:w="3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r>
      <w:tr>
        <w:trPr>
          <w:trHeight w:val="169"/>
        </w:trPr>
        <w:tc>
          <w:tcPr>
            <w:tcW w:w="36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 options</w:t>
            </w:r>
          </w:p>
        </w:tc>
        <w:tc>
          <w:tcPr>
            <w:tcW w:w="32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9,579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90"/>
              <w:spacing w:after="0" w:line="170"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5,491</w:t>
            </w:r>
          </w:p>
        </w:tc>
      </w:tr>
      <w:tr>
        <w:trPr>
          <w:trHeight w:val="189"/>
        </w:trPr>
        <w:tc>
          <w:tcPr>
            <w:tcW w:w="3680" w:type="dxa"/>
            <w:vAlign w:val="bottom"/>
          </w:tcPr>
          <w:p>
            <w:pPr>
              <w:spacing w:after="0" w:line="189" w:lineRule="exact"/>
              <w:rPr>
                <w:sz w:val="20"/>
                <w:szCs w:val="20"/>
                <w:color w:val="auto"/>
              </w:rPr>
            </w:pPr>
            <w:r>
              <w:rPr>
                <w:rFonts w:ascii="Arial" w:cs="Arial" w:eastAsia="Arial" w:hAnsi="Arial"/>
                <w:sz w:val="18"/>
                <w:szCs w:val="18"/>
                <w:color w:val="auto"/>
              </w:rPr>
              <w:t>Restricted stock units</w:t>
            </w:r>
          </w:p>
        </w:tc>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3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Employee stock purchase plan</w:t>
            </w:r>
          </w:p>
        </w:tc>
        <w:tc>
          <w:tcPr>
            <w:tcW w:w="32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3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10,295</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5,549</w:t>
            </w:r>
          </w:p>
        </w:tc>
      </w:tr>
      <w:tr>
        <w:trPr>
          <w:trHeight w:val="635"/>
        </w:trPr>
        <w:tc>
          <w:tcPr>
            <w:tcW w:w="3680" w:type="dxa"/>
            <w:vAlign w:val="bottom"/>
          </w:tcPr>
          <w:p>
            <w:pPr>
              <w:spacing w:after="0"/>
              <w:rPr>
                <w:sz w:val="24"/>
                <w:szCs w:val="24"/>
                <w:color w:val="auto"/>
              </w:rPr>
            </w:pPr>
          </w:p>
        </w:tc>
        <w:tc>
          <w:tcPr>
            <w:tcW w:w="3280" w:type="dxa"/>
            <w:vAlign w:val="bottom"/>
          </w:tcPr>
          <w:p>
            <w:pPr>
              <w:jc w:val="right"/>
              <w:ind w:right="2250"/>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102"/>
        </w:trPr>
        <w:tc>
          <w:tcPr>
            <w:tcW w:w="36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6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classification within the unaudited condensed consolidated statements of operations and comprehensive loss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6"/>
              </w:rPr>
              <w:t>Three Months Ended</w:t>
            </w:r>
          </w:p>
        </w:tc>
      </w:tr>
      <w:tr>
        <w:trPr>
          <w:trHeight w:val="215"/>
        </w:trPr>
        <w:tc>
          <w:tcPr>
            <w:tcW w:w="5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8"/>
                <w:szCs w:val="18"/>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2018</w:t>
            </w:r>
          </w:p>
        </w:tc>
      </w:tr>
      <w:tr>
        <w:trPr>
          <w:trHeight w:val="26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r>
      <w:tr>
        <w:trPr>
          <w:trHeight w:val="284"/>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w:t>
            </w:r>
          </w:p>
        </w:tc>
      </w:tr>
      <w:tr>
        <w:trPr>
          <w:trHeight w:val="25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r>
      <w:tr>
        <w:trPr>
          <w:trHeight w:val="27"/>
        </w:trPr>
        <w:tc>
          <w:tcPr>
            <w:tcW w:w="51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89"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w:t>
      </w:r>
      <w:r>
        <w:rPr>
          <w:rFonts w:ascii="MS PGothic" w:cs="MS PGothic" w:eastAsia="MS PGothic" w:hAnsi="MS PGothic"/>
          <w:sz w:val="18"/>
          <w:szCs w:val="18"/>
          <w:color w:val="auto"/>
        </w:rPr>
        <w:t>‑</w:t>
      </w:r>
      <w:r>
        <w:rPr>
          <w:rFonts w:ascii="Arial" w:cs="Arial" w:eastAsia="Arial" w:hAnsi="Arial"/>
          <w:sz w:val="18"/>
          <w:szCs w:val="18"/>
          <w:color w:val="auto"/>
        </w:rPr>
        <w:t>dilutive; therefore, basic and diluted net loss per share were the same for all periods presented as a result of the Company’s net loss.</w:t>
      </w:r>
    </w:p>
    <w:p>
      <w:pPr>
        <w:spacing w:after="0" w:line="165" w:lineRule="exact"/>
        <w:rPr>
          <w:sz w:val="20"/>
          <w:szCs w:val="20"/>
          <w:color w:val="auto"/>
        </w:rPr>
      </w:pPr>
    </w:p>
    <w:p>
      <w:pPr>
        <w:ind w:right="280" w:firstLine="648"/>
        <w:spacing w:after="0" w:line="203" w:lineRule="exact"/>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w:t>
      </w:r>
      <w:r>
        <w:rPr>
          <w:rFonts w:ascii="MS PGothic" w:cs="MS PGothic" w:eastAsia="MS PGothic" w:hAnsi="MS PGothic"/>
          <w:sz w:val="18"/>
          <w:szCs w:val="18"/>
          <w:color w:val="auto"/>
        </w:rPr>
        <w:t>‑</w:t>
      </w:r>
      <w:r>
        <w:rPr>
          <w:rFonts w:ascii="Arial" w:cs="Arial" w:eastAsia="Arial" w:hAnsi="Arial"/>
          <w:sz w:val="18"/>
          <w:szCs w:val="18"/>
          <w:color w:val="auto"/>
        </w:rPr>
        <w:t>dilutive effect.</w:t>
      </w:r>
    </w:p>
    <w:p>
      <w:pPr>
        <w:spacing w:after="0" w:line="194"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-3175</wp:posOffset>
            </wp:positionV>
            <wp:extent cx="1157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r>
      <w:tr>
        <w:trPr>
          <w:trHeight w:val="169"/>
        </w:trPr>
        <w:tc>
          <w:tcPr>
            <w:tcW w:w="72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 options</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5,460,882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4,119,870</w:t>
            </w:r>
          </w:p>
        </w:tc>
      </w:tr>
      <w:tr>
        <w:trPr>
          <w:trHeight w:val="176"/>
        </w:trPr>
        <w:tc>
          <w:tcPr>
            <w:tcW w:w="7240" w:type="dxa"/>
            <w:vAlign w:val="bottom"/>
          </w:tcPr>
          <w:p>
            <w:pPr>
              <w:spacing w:after="0" w:line="176" w:lineRule="exact"/>
              <w:rPr>
                <w:sz w:val="20"/>
                <w:szCs w:val="20"/>
                <w:color w:val="auto"/>
              </w:rPr>
            </w:pPr>
            <w:r>
              <w:rPr>
                <w:rFonts w:ascii="Arial" w:cs="Arial" w:eastAsia="Arial" w:hAnsi="Arial"/>
                <w:sz w:val="18"/>
                <w:szCs w:val="18"/>
                <w:color w:val="auto"/>
              </w:rPr>
              <w:t>Restricted stock units</w:t>
            </w: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291,992</w:t>
            </w: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7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ESPP shares</w:t>
            </w: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10,275</w:t>
            </w:r>
          </w:p>
        </w:tc>
        <w:tc>
          <w:tcPr>
            <w:tcW w:w="2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5,722</w:t>
            </w:r>
          </w:p>
        </w:tc>
      </w:tr>
      <w:tr>
        <w:trPr>
          <w:trHeight w:val="176"/>
        </w:trPr>
        <w:tc>
          <w:tcPr>
            <w:tcW w:w="724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5,763,149</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4,125,592</w:t>
            </w:r>
          </w:p>
        </w:tc>
      </w:tr>
    </w:tbl>
    <w:p>
      <w:pPr>
        <w:spacing w:after="0" w:line="188" w:lineRule="exact"/>
        <w:rPr>
          <w:sz w:val="20"/>
          <w:szCs w:val="20"/>
          <w:color w:val="auto"/>
        </w:rPr>
      </w:pPr>
    </w:p>
    <w:p>
      <w:pPr>
        <w:ind w:right="600" w:firstLine="648"/>
        <w:spacing w:after="0" w:line="258" w:lineRule="auto"/>
        <w:rPr>
          <w:sz w:val="20"/>
          <w:szCs w:val="20"/>
          <w:color w:val="auto"/>
        </w:rPr>
      </w:pPr>
      <w:r>
        <w:rPr>
          <w:rFonts w:ascii="Arial" w:cs="Arial" w:eastAsia="Arial" w:hAnsi="Arial"/>
          <w:sz w:val="17"/>
          <w:szCs w:val="17"/>
          <w:color w:val="auto"/>
        </w:rPr>
        <w:t>The weighted average number of common shares used in net loss per share on a basic and diluted basis were 44,096,806 and 43,700,226 for the three months ended March 31,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Sidney Street</w:t>
      </w:r>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at 38 Sidney Street in Cambridge, Massachusetts, which the Company gained control over on June 15, 2015, and occupancy commenced in October 2015. The initial term of the lease agreement will expire on October 31, 2022, unless terminated sooner. The Company has an option to extend the lease for five additional years. The lease has a total commitment of $17.8 million over the initial seven-year term. The Company has agreed to pay an initial annual base rent of approximately $2.3 million, which rises periodically until it reaches approximately $2.8 million. The lease provided the Company with an allowance for leasehold improvements of $4.3 million. Prior to adoption of ASC 842, the Company recorded rent expense on a straight-line basis through the end of the lease term and the associated deferred rent on the consolidated balance sheet. The Company also recorded the leasehold improvement incentives as a reduction to rent expense ratably over the lease term, and the balance from the leasehold improvement incentives was included in lease incentive obligations on the consolidated balance sheet as of December 31, 2018. The lease agreement required the Company to pay a security deposit of $1.3 million, of which $0.2 million was released in February 2018 and February 2019, respectively. The remaining $0.9 million is recorded in restricted cash on the Company’s condensed consolidated balance sheet as of March 31,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 month term of the sublease agreement. During the 32 month term, the Company will be responsible for total rental payments of $6.9 million and an additional $0.7 million in total payments related to the Company’s profit on the sublease income which are payable by the Company to the landlord. As of March 31, 2019, the minimum sublease rental commitment by the sublessee was $5.0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45 Sidney Street</w:t>
      </w:r>
    </w:p>
    <w:p>
      <w:pPr>
        <w:spacing w:after="0" w:line="185"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6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During the initial term of the lease agreement, the Company has agreed to pay an initial annual base rent of approximately $7.7 million, which increases annually until it reaches approximately $10.6 million in the last year of the initial term. The lease provided the Company with a tenant improvement allowance of approximately $14.2 million for improvements to be made to the premises. Prior to adoption of ASC 842, the Company recorded rent expense on a straight-line basis through the end of the lease term and the associated deferred rent on the consolidated balance sheet. The Company also recorded the leasehold improvement incentives as a reduction to rent expense ratably over the lease term, and the balance from the leasehold improvement incentives was included in lease incentive obligations on the consolidated balance sheet as of December 31, 2018. The lease agreement required the Company to pay a security deposit of $3.5 million, which is recorded in restricted cash on the Company’s condensed consolidated balance sheet as of March 31, 2019.</w:t>
      </w:r>
    </w:p>
    <w:p>
      <w:pPr>
        <w:spacing w:after="0" w:line="168"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On September 19, 2018, the Company entered into an amendment to the lease agreement for its office and laboratory space located at 45 Sidney Street in Cambridge, Massachusetts to expand the rentable square footage from approximately 99,833 square feet to approximately 139,216 square feet. The initial term of the lease with respect to the expansion premises commenced on March 1, 2019 and will expire on November 30, 2029, unless terminated sooner. Pursuant to the lease amendment, the date on which the Company will become responsible for paying rent with respect to the expansion space will be the earlier of (i) the date upon which the Company first occupies the expansion premises for business purposes or (ii) July 1, 2019. The Company currently anticipates the rent commencement date for the expansion premises will be July 1, 2019.</w:t>
      </w:r>
    </w:p>
    <w:p>
      <w:pPr>
        <w:spacing w:after="0" w:line="16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The Company has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the Company with a tenant improvement allowance of approximately $3.2 million for improvements to be made to the expansion premises. The lease amendment required the Company to pay an additional security deposit of $0.8 million to the landlord for the expansion premises, which is recorded in restricted cash on the Company’s condensed consolidated balance sheet as of March 31, 2019.</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for the three months ended March 31, 2019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spacing w:after="0"/>
              <w:rPr>
                <w:sz w:val="20"/>
                <w:szCs w:val="20"/>
                <w:color w:val="auto"/>
              </w:rPr>
            </w:pPr>
            <w:r>
              <w:rPr>
                <w:rFonts w:ascii="Arial" w:cs="Arial" w:eastAsia="Arial" w:hAnsi="Arial"/>
                <w:sz w:val="18"/>
                <w:szCs w:val="18"/>
                <w:color w:val="auto"/>
              </w:rPr>
              <w:t>Operating leases:</w:t>
            </w:r>
          </w:p>
        </w:tc>
        <w:tc>
          <w:tcPr>
            <w:tcW w:w="31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2"/>
        </w:trPr>
        <w:tc>
          <w:tcPr>
            <w:tcW w:w="4420" w:type="dxa"/>
            <w:vAlign w:val="bottom"/>
            <w:tcBorders>
              <w:bottom w:val="single" w:sz="8" w:color="auto"/>
            </w:tcBorders>
            <w:vMerge w:val="continue"/>
          </w:tcPr>
          <w:p>
            <w:pPr>
              <w:spacing w:after="0"/>
              <w:rPr>
                <w:sz w:val="14"/>
                <w:szCs w:val="14"/>
                <w:color w:val="auto"/>
              </w:rPr>
            </w:pPr>
          </w:p>
        </w:tc>
        <w:tc>
          <w:tcPr>
            <w:tcW w:w="3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69"/>
        </w:trPr>
        <w:tc>
          <w:tcPr>
            <w:tcW w:w="44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Lease cost</w:t>
            </w:r>
          </w:p>
        </w:tc>
        <w:tc>
          <w:tcPr>
            <w:tcW w:w="3340" w:type="dxa"/>
            <w:vAlign w:val="bottom"/>
            <w:gridSpan w:val="2"/>
            <w:shd w:val="clear" w:color="auto" w:fill="CCEEFF"/>
          </w:tcPr>
          <w:p>
            <w:pPr>
              <w:jc w:val="right"/>
              <w:ind w:right="8"/>
              <w:spacing w:after="0" w:line="170"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176"/>
        </w:trPr>
        <w:tc>
          <w:tcPr>
            <w:tcW w:w="44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Sublease income</w:t>
            </w:r>
          </w:p>
        </w:tc>
        <w:tc>
          <w:tcPr>
            <w:tcW w:w="3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176"/>
        </w:trPr>
        <w:tc>
          <w:tcPr>
            <w:tcW w:w="442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Net lease cost</w:t>
            </w:r>
          </w:p>
        </w:tc>
        <w:tc>
          <w:tcPr>
            <w:tcW w:w="3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2018, rent expense under ASC 840, net of sublease income, was $2.2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cash flow information related to leases for the three months ended March 31, 2019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2"/>
        </w:trPr>
        <w:tc>
          <w:tcPr>
            <w:tcW w:w="6360" w:type="dxa"/>
            <w:vAlign w:val="bottom"/>
            <w:vMerge w:val="restart"/>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March 31, 2019</w:t>
            </w:r>
          </w:p>
        </w:tc>
        <w:tc>
          <w:tcPr>
            <w:tcW w:w="0" w:type="dxa"/>
            <w:vAlign w:val="bottom"/>
          </w:tcPr>
          <w:p>
            <w:pPr>
              <w:spacing w:after="0"/>
              <w:rPr>
                <w:sz w:val="1"/>
                <w:szCs w:val="1"/>
                <w:color w:val="auto"/>
              </w:rPr>
            </w:pPr>
          </w:p>
        </w:tc>
      </w:tr>
      <w:tr>
        <w:trPr>
          <w:trHeight w:val="169"/>
        </w:trPr>
        <w:tc>
          <w:tcPr>
            <w:tcW w:w="63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Operating cash flows from operating leases</w:t>
            </w:r>
          </w:p>
        </w:tc>
        <w:tc>
          <w:tcPr>
            <w:tcW w:w="13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351"/>
        </w:trPr>
        <w:tc>
          <w:tcPr>
            <w:tcW w:w="636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leases</w:t>
            </w:r>
          </w:p>
        </w:tc>
        <w:tc>
          <w:tcPr>
            <w:tcW w:w="13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23,300</w:t>
            </w:r>
          </w:p>
        </w:tc>
        <w:tc>
          <w:tcPr>
            <w:tcW w:w="0" w:type="dxa"/>
            <w:vAlign w:val="bottom"/>
          </w:tcPr>
          <w:p>
            <w:pPr>
              <w:spacing w:after="0"/>
              <w:rPr>
                <w:sz w:val="1"/>
                <w:szCs w:val="1"/>
                <w:color w:val="auto"/>
              </w:rPr>
            </w:pPr>
          </w:p>
        </w:tc>
      </w:tr>
      <w:tr>
        <w:trPr>
          <w:trHeight w:val="324"/>
        </w:trPr>
        <w:tc>
          <w:tcPr>
            <w:tcW w:w="9060" w:type="dxa"/>
            <w:vAlign w:val="bottom"/>
            <w:gridSpan w:val="5"/>
          </w:tcPr>
          <w:p>
            <w:pPr>
              <w:ind w:left="660"/>
              <w:spacing w:after="0"/>
              <w:rPr>
                <w:sz w:val="20"/>
                <w:szCs w:val="20"/>
                <w:color w:val="auto"/>
              </w:rPr>
            </w:pPr>
            <w:r>
              <w:rPr>
                <w:rFonts w:ascii="Arial" w:cs="Arial" w:eastAsia="Arial" w:hAnsi="Arial"/>
                <w:sz w:val="18"/>
                <w:szCs w:val="18"/>
                <w:color w:val="auto"/>
                <w:w w:val="94"/>
              </w:rPr>
              <w:t>The weighted average remaining lease term and weighted average discount rate of the operating leases are as</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follows: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w w:val="91"/>
              </w:rPr>
              <w:t>Operating leases</w:t>
            </w:r>
          </w:p>
        </w:tc>
        <w:tc>
          <w:tcPr>
            <w:tcW w:w="0" w:type="dxa"/>
            <w:vAlign w:val="bottom"/>
          </w:tcPr>
          <w:p>
            <w:pPr>
              <w:spacing w:after="0"/>
              <w:rPr>
                <w:sz w:val="1"/>
                <w:szCs w:val="1"/>
                <w:color w:val="auto"/>
              </w:rPr>
            </w:pPr>
          </w:p>
        </w:tc>
      </w:tr>
      <w:tr>
        <w:trPr>
          <w:trHeight w:val="169"/>
        </w:trPr>
        <w:tc>
          <w:tcPr>
            <w:tcW w:w="63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Weighted Average Remaining Lease Term</w:t>
            </w:r>
          </w:p>
        </w:tc>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43"/>
        </w:trPr>
        <w:tc>
          <w:tcPr>
            <w:tcW w:w="63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non-cancellable leases as of March 31, 2019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3 months ended March 31,2019)</w:t>
            </w:r>
          </w:p>
        </w:tc>
        <w:tc>
          <w:tcPr>
            <w:tcW w:w="2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r>
      <w:tr>
        <w:trPr>
          <w:trHeight w:val="176"/>
        </w:trPr>
        <w:tc>
          <w:tcPr>
            <w:tcW w:w="594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14,341</w:t>
            </w:r>
          </w:p>
        </w:tc>
      </w:tr>
      <w:tr>
        <w:trPr>
          <w:trHeight w:val="176"/>
        </w:trPr>
        <w:tc>
          <w:tcPr>
            <w:tcW w:w="5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2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14,764</w:t>
            </w:r>
          </w:p>
        </w:tc>
      </w:tr>
      <w:tr>
        <w:trPr>
          <w:trHeight w:val="176"/>
        </w:trPr>
        <w:tc>
          <w:tcPr>
            <w:tcW w:w="5940" w:type="dxa"/>
            <w:vAlign w:val="bottom"/>
          </w:tcPr>
          <w:p>
            <w:pPr>
              <w:spacing w:after="0" w:line="176" w:lineRule="exact"/>
              <w:rPr>
                <w:sz w:val="20"/>
                <w:szCs w:val="20"/>
                <w:color w:val="auto"/>
              </w:rPr>
            </w:pPr>
            <w:r>
              <w:rPr>
                <w:rFonts w:ascii="Arial" w:cs="Arial" w:eastAsia="Arial" w:hAnsi="Arial"/>
                <w:sz w:val="18"/>
                <w:szCs w:val="18"/>
                <w:color w:val="auto"/>
              </w:rPr>
              <w:t>2022</w:t>
            </w: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14,719</w:t>
            </w:r>
          </w:p>
        </w:tc>
      </w:tr>
      <w:tr>
        <w:trPr>
          <w:trHeight w:val="176"/>
        </w:trPr>
        <w:tc>
          <w:tcPr>
            <w:tcW w:w="5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2023</w:t>
            </w:r>
          </w:p>
        </w:tc>
        <w:tc>
          <w:tcPr>
            <w:tcW w:w="2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12,746</w:t>
            </w:r>
          </w:p>
        </w:tc>
      </w:tr>
      <w:tr>
        <w:trPr>
          <w:trHeight w:val="176"/>
        </w:trPr>
        <w:tc>
          <w:tcPr>
            <w:tcW w:w="59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2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83,471</w:t>
            </w:r>
          </w:p>
        </w:tc>
      </w:tr>
      <w:tr>
        <w:trPr>
          <w:trHeight w:val="169"/>
        </w:trPr>
        <w:tc>
          <w:tcPr>
            <w:tcW w:w="5940" w:type="dxa"/>
            <w:vAlign w:val="bottom"/>
            <w:shd w:val="clear" w:color="auto" w:fill="CCEEFF"/>
          </w:tcPr>
          <w:p>
            <w:pPr>
              <w:ind w:left="180"/>
              <w:spacing w:after="0" w:line="170" w:lineRule="exact"/>
              <w:rPr>
                <w:sz w:val="20"/>
                <w:szCs w:val="20"/>
                <w:color w:val="auto"/>
              </w:rPr>
            </w:pPr>
            <w:r>
              <w:rPr>
                <w:rFonts w:ascii="Arial" w:cs="Arial" w:eastAsia="Arial" w:hAnsi="Arial"/>
                <w:sz w:val="18"/>
                <w:szCs w:val="18"/>
                <w:color w:val="auto"/>
              </w:rPr>
              <w:t>Total future minimum lease payments (1)</w:t>
            </w:r>
          </w:p>
        </w:tc>
        <w:tc>
          <w:tcPr>
            <w:tcW w:w="2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149,668</w:t>
            </w:r>
          </w:p>
        </w:tc>
      </w:tr>
      <w:tr>
        <w:trPr>
          <w:trHeight w:val="176"/>
        </w:trPr>
        <w:tc>
          <w:tcPr>
            <w:tcW w:w="59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Less imputed interest</w:t>
            </w:r>
          </w:p>
        </w:tc>
        <w:tc>
          <w:tcPr>
            <w:tcW w:w="2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(50,068)</w:t>
            </w:r>
          </w:p>
        </w:tc>
      </w:tr>
      <w:tr>
        <w:trPr>
          <w:trHeight w:val="176"/>
        </w:trPr>
        <w:tc>
          <w:tcPr>
            <w:tcW w:w="59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2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99,600</w:t>
            </w:r>
          </w:p>
        </w:tc>
      </w:tr>
    </w:tbl>
    <w:p>
      <w:pPr>
        <w:spacing w:after="0" w:line="143" w:lineRule="exact"/>
        <w:rPr>
          <w:sz w:val="20"/>
          <w:szCs w:val="20"/>
          <w:color w:val="auto"/>
        </w:rPr>
      </w:pPr>
    </w:p>
    <w:p>
      <w:pPr>
        <w:ind w:left="660" w:right="280" w:hanging="333"/>
        <w:spacing w:after="0" w:line="224"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Minimum lease payments have not been reduced by minimum sublease rentals of $4.6 million due in the future under the Company’s non-cancelable sublease for the office and laboratory space located at 38 Sidney Street, Cambridge, Massachusetts. The minimum lease payments above do not include any related common area maintenance charges or real estate taxes.</w:t>
      </w:r>
    </w:p>
    <w:p>
      <w:pPr>
        <w:spacing w:after="0" w:line="242"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Under the prior lease guidance minimum rental commitments under non-cancelable leases for each of the next five years and total thereafter as of December 31, 2018,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w:t>
            </w:r>
          </w:p>
        </w:tc>
      </w:tr>
      <w:tr>
        <w:trPr>
          <w:trHeight w:val="176"/>
        </w:trPr>
        <w:tc>
          <w:tcPr>
            <w:tcW w:w="538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14,341</w:t>
            </w:r>
          </w:p>
        </w:tc>
      </w:tr>
      <w:tr>
        <w:trPr>
          <w:trHeight w:val="176"/>
        </w:trPr>
        <w:tc>
          <w:tcPr>
            <w:tcW w:w="5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2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14,764</w:t>
            </w:r>
          </w:p>
        </w:tc>
      </w:tr>
      <w:tr>
        <w:trPr>
          <w:trHeight w:val="176"/>
        </w:trPr>
        <w:tc>
          <w:tcPr>
            <w:tcW w:w="5380" w:type="dxa"/>
            <w:vAlign w:val="bottom"/>
          </w:tcPr>
          <w:p>
            <w:pPr>
              <w:spacing w:after="0" w:line="176" w:lineRule="exact"/>
              <w:rPr>
                <w:sz w:val="20"/>
                <w:szCs w:val="20"/>
                <w:color w:val="auto"/>
              </w:rPr>
            </w:pPr>
            <w:r>
              <w:rPr>
                <w:rFonts w:ascii="Arial" w:cs="Arial" w:eastAsia="Arial" w:hAnsi="Arial"/>
                <w:sz w:val="18"/>
                <w:szCs w:val="18"/>
                <w:color w:val="auto"/>
              </w:rPr>
              <w:t>2022</w:t>
            </w:r>
          </w:p>
        </w:tc>
        <w:tc>
          <w:tcPr>
            <w:tcW w:w="2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14,719</w:t>
            </w:r>
          </w:p>
        </w:tc>
      </w:tr>
      <w:tr>
        <w:trPr>
          <w:trHeight w:val="176"/>
        </w:trPr>
        <w:tc>
          <w:tcPr>
            <w:tcW w:w="5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12,746</w:t>
            </w:r>
          </w:p>
        </w:tc>
      </w:tr>
      <w:tr>
        <w:trPr>
          <w:trHeight w:val="176"/>
        </w:trPr>
        <w:tc>
          <w:tcPr>
            <w:tcW w:w="53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26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83,471</w:t>
            </w:r>
          </w:p>
        </w:tc>
      </w:tr>
      <w:tr>
        <w:trPr>
          <w:trHeight w:val="176"/>
        </w:trPr>
        <w:tc>
          <w:tcPr>
            <w:tcW w:w="5380" w:type="dxa"/>
            <w:vAlign w:val="bottom"/>
            <w:tcBorders>
              <w:bottom w:val="single" w:sz="8" w:color="CCEEFF"/>
            </w:tcBorders>
            <w:shd w:val="clear" w:color="auto" w:fill="CCEEFF"/>
          </w:tcPr>
          <w:p>
            <w:pPr>
              <w:ind w:left="180"/>
              <w:spacing w:after="0" w:line="170" w:lineRule="exact"/>
              <w:rPr>
                <w:sz w:val="20"/>
                <w:szCs w:val="20"/>
                <w:color w:val="auto"/>
              </w:rPr>
            </w:pPr>
            <w:r>
              <w:rPr>
                <w:rFonts w:ascii="Arial" w:cs="Arial" w:eastAsia="Arial" w:hAnsi="Arial"/>
                <w:sz w:val="18"/>
                <w:szCs w:val="18"/>
                <w:color w:val="auto"/>
              </w:rPr>
              <w:t>Total minimum lease payments (1)</w:t>
            </w:r>
          </w:p>
        </w:tc>
        <w:tc>
          <w:tcPr>
            <w:tcW w:w="2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152,288</w:t>
            </w:r>
          </w:p>
        </w:tc>
      </w:tr>
    </w:tbl>
    <w:p>
      <w:pPr>
        <w:spacing w:after="0" w:line="143" w:lineRule="exact"/>
        <w:rPr>
          <w:sz w:val="20"/>
          <w:szCs w:val="20"/>
          <w:color w:val="auto"/>
        </w:rPr>
      </w:pPr>
    </w:p>
    <w:p>
      <w:pPr>
        <w:ind w:left="660" w:right="280" w:hanging="333"/>
        <w:spacing w:after="0" w:line="224"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Minimum lease payments have not been reduced by minimum sublease rentals of $5.3 million due in the future under the Company’s non-cancelable sublease for the office and laboratory space located at 38 Sidney Street, Cambridge, Massachusetts. The minimum lease payments above do not include any related common area maintenance charges or real estate taxes.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 xml:space="preserve">The Company has no other commitments other than the minimum lease payments commitment as disclosed in Note 11,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02" w:lineRule="exact"/>
        <w:rPr>
          <w:sz w:val="20"/>
          <w:szCs w:val="20"/>
          <w:color w:val="auto"/>
        </w:rPr>
      </w:pPr>
    </w:p>
    <w:p>
      <w:pPr>
        <w:ind w:right="19" w:firstLine="783"/>
        <w:spacing w:after="0" w:line="228" w:lineRule="auto"/>
        <w:rPr>
          <w:sz w:val="20"/>
          <w:szCs w:val="20"/>
          <w:color w:val="auto"/>
        </w:rPr>
      </w:pPr>
      <w:r>
        <w:rPr>
          <w:rFonts w:ascii="Arial" w:cs="Arial" w:eastAsia="Arial" w:hAnsi="Arial"/>
          <w:sz w:val="18"/>
          <w:szCs w:val="18"/>
          <w:color w:val="auto"/>
        </w:rPr>
        <w:t>On April 2, 2019, the Company closed an underwritten public offering of 4,662,162 shares of its common stock at a price to the public of $74.00 per share, including 608,108 shares of common stock sold by the Company pursuant to the exercise in full by the underwriters of their option to purchase additional shares in connection with the offering. The Company received estimated net proceeds of $327.2 million, after deducting underwriting discounts and commissions and estimated offering expenses payable by the Company.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unaudited consolidated financial statements and related notes thereto and management’s discussion and analysis of financial condition and results of operations included in our Annual Report on Form 10-K for the year ended December 31, 2018, filed with the Securities and Exchange Commission, or the SEC, on February 26, 2019.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Our most advanced drug candidates are avapritinib, BLU-667, BLU-554 and BLU-782.</w:t>
      </w:r>
    </w:p>
    <w:p>
      <w:pPr>
        <w:spacing w:after="0" w:line="165"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Our lead drug candidate, avapritinib, is an orally available, potent and highly selective inhibitor that targets KIT and PDGFRA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and SM is a rare disorder that causes an overproduction of mast cells and the accumulation of mast cells in the bone marrow and other organs, which can lead to a wide range of debilitating symptoms and organ dysfunction and failure.</w:t>
      </w:r>
    </w:p>
    <w:p>
      <w:pPr>
        <w:spacing w:after="0" w:line="16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are currently evaluating avapritinib for the treatment of GIST in an ongoing Phase 1 clinical trial in advanced GIST, which we refer to as our NAVIGATOR trial, and an ongoing global, randomized Phase 3 clinical trial comparing avapritinib to regorafenib in third-line GIST, which we refer to as our VOYAGER trial. We have completed enrollment of the NAVIGATOR trial, and we expect to complete enrollment of the VOYAGER trial in the second half of 2019. In November 2018, we reported updated data from the NAVIGATOR trial at the Connective Tissue Oncology Society Annual Meeting, and in January 2019, we reported top-line data from the NAVIGATOR trial. We plan to present additional data from the NAVIGATOR trial on June 1, 2019 at the 2019 American Society of Clinical Oncology, or ASCO, Annual Meeting. We plan to initiate a Phase 3 precision medicine trial in second-line GIST in the second half of 2019, which we refer to as our COMPASS-2L trial. In addition, we plan to submit a new drug application, or NDA, to the U.S. Food and Drug Administration, or FDA, for avapritinib for the treatment of PDGFRA Exon 18 mutant GIST and fourth-line GIST in the second quarter of 2019, and if approved, we plan to submit a supplemental NDA to the FDA for the treatment of third-line GIST in 2020. We plan to submit a marketing authorization application to the European Medicines Agency for avapritinib for the treatment of PDGFRa D842V mutant GIST and fourth-line GIST in the third quarter of 2019.</w:t>
      </w:r>
    </w:p>
    <w:p>
      <w:pPr>
        <w:spacing w:after="0" w:line="166"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addition, we are currently evaluating avapritinib for the treatment of SM in an ongoing Phase 1 clinical trial in advanced SM, which we refer to as our EXPLORER trial, an ongoing registration enabling Phase 2 clinical trial in advanced SM, which we refer to as our PATHFINDER trial, and an ongoing registration enabling Phase 2 clinical trial in indolent and smoldering SM, which we refer to as our PIONEER trial. In December 2018, we reported updated data from the EXPLORER trial at the 60</w:t>
      </w:r>
      <w:r>
        <w:rPr>
          <w:rFonts w:ascii="Arial" w:cs="Arial" w:eastAsia="Arial" w:hAnsi="Arial"/>
          <w:sz w:val="8"/>
          <w:szCs w:val="8"/>
          <w:color w:val="auto"/>
        </w:rPr>
        <w:t>th</w:t>
      </w:r>
      <w:r>
        <w:rPr>
          <w:rFonts w:ascii="Arial" w:cs="Arial" w:eastAsia="Arial" w:hAnsi="Arial"/>
          <w:sz w:val="17"/>
          <w:szCs w:val="17"/>
          <w:color w:val="auto"/>
        </w:rPr>
        <w:t xml:space="preserve"> American Society of Hematology Annual Meeting and Exposition, and we plan to present updated data from the EXPLORER trial in advanced SM at the 24</w:t>
      </w:r>
      <w:r>
        <w:rPr>
          <w:rFonts w:ascii="Arial" w:cs="Arial" w:eastAsia="Arial" w:hAnsi="Arial"/>
          <w:sz w:val="8"/>
          <w:szCs w:val="8"/>
          <w:color w:val="auto"/>
        </w:rPr>
        <w:t>th</w:t>
      </w:r>
      <w:r>
        <w:rPr>
          <w:rFonts w:ascii="Arial" w:cs="Arial" w:eastAsia="Arial" w:hAnsi="Arial"/>
          <w:sz w:val="17"/>
          <w:szCs w:val="17"/>
          <w:color w:val="auto"/>
        </w:rPr>
        <w:t xml:space="preserve"> Congress of the European Hematology Association in mid-June 2019. We expect to complete the dose-finding portion of the PIONEER trial and plan to present initial data from the PIONEER trial in indolent and smoldering SM in the second half of 2019. We expect to complete enrollment of the PATHFINDER trial in the second half of 2019. We plan to submit an NDA to the FDA for avapritinib for the treatment of advanced SM in the first quarter of 2020, subject to continued discussions with the FDA under 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9"/>
        <w:spacing w:after="0" w:line="236" w:lineRule="auto"/>
        <w:rPr>
          <w:sz w:val="20"/>
          <w:szCs w:val="20"/>
          <w:color w:val="auto"/>
        </w:rPr>
      </w:pPr>
      <w:r>
        <w:rPr>
          <w:rFonts w:ascii="Arial" w:cs="Arial" w:eastAsia="Arial" w:hAnsi="Arial"/>
          <w:sz w:val="16"/>
          <w:szCs w:val="16"/>
          <w:color w:val="auto"/>
        </w:rPr>
        <w:t>breakthrough therapy program to determine whether the clinical data from the ongoing Phase 1 EXPLORER trial and the initial clinical data from the ongoing Phase 2 PATHFINDER trial will support an NDA submission. The FDA has granted orphan drug designation to avapritinib for the treatment of GIST and the treatment of mastocytosis, and the European Commission has granted orphan medicinal product designation to avapritinib for the treatment of GIST and the treatment of mastocytosis. The FDA has granted fast track designation to avapritinib for (i) the treatment of patients with unresectable or metastatic GIST that progressed following treatment with imatinib and a second TKI and (ii) the treatment of patients with unresectable or metastatic GIST with the PDGFRA D842V mutation regardless of prior therapy. In addition, the FDA has granted breakthrough therapy designation to avapritinib for the treatment of patients with unresectable or metastatic GIST harboring the PDGFRA D842V mutation and to avapritinib for the treatment of advanced SM, including the subtypes of aggressive SM, SM with an associated hematologic neoplasm and mast cell leukemia.</w:t>
      </w:r>
    </w:p>
    <w:p>
      <w:pPr>
        <w:spacing w:after="0" w:line="163" w:lineRule="exact"/>
        <w:rPr>
          <w:sz w:val="20"/>
          <w:szCs w:val="20"/>
          <w:color w:val="auto"/>
        </w:rPr>
      </w:pPr>
    </w:p>
    <w:p>
      <w:pPr>
        <w:ind w:right="19" w:firstLine="648"/>
        <w:spacing w:after="0"/>
        <w:rPr>
          <w:sz w:val="20"/>
          <w:szCs w:val="20"/>
          <w:color w:val="auto"/>
        </w:rPr>
      </w:pPr>
      <w:r>
        <w:rPr>
          <w:rFonts w:ascii="Arial" w:cs="Arial" w:eastAsia="Arial" w:hAnsi="Arial"/>
          <w:sz w:val="16"/>
          <w:szCs w:val="16"/>
          <w:color w:val="auto"/>
        </w:rPr>
        <w:t xml:space="preserve">BLU-667 is an orally available, potent and highly selective inhibitor that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or PTC, and our research suggests that RET may drive disease in subsets of patients with colon cancer, breast cancer and other cancers. We are currently evaluating BLU-667 in an ongoing Phase 1 clinical trial in patients with RET-altered NSCLC, MTC and other advanced solid tumors, which we refer to as our ARROW trial. In March 2019, we reported updated top-line data from the ongoing ARROW trial in RET-fusion NSCLC and RET-mutant MTC. We plan to present updated RET-fusion NSCLC data on June 3, 2019 at the 2019 ASCO Annual Meeting, and we plan to present updated RET-mutant data on June 1, 2019 at the 2019 ASCO Annual Meeting. In March 2019, we announced the enrollment target was reached and patient screening was closed for the registration-enabling ARROW trial cohort for patients with RET-fusion NSCLC previously treated with platinum-based chemotherapy, and we recently reached the enrollment target for the registration-enabling ARROW trial cohort for patients with RET-mutant MTC previously treated with an approved multi-kinase inhibitor. We plan to submit an NDA to the FDA for BLU-667 for the treatment of patients with RET-fusion NSCLC previously treated with platinum-based chemotherapy in the first quarter of 2020, and we plan to submit an NDA to the FDA for BLU-667 for the treatment of patients with RET-mutant MTC previously treated with an approved multi-kinase inhibitor in the first half of 2020. In addition, in September 2018, we presented two clinical cases demonstrating proof-of-concept for BLU-667 in combination with osimertinib (Tagrisso®) in treatment-resistant, EGFR-mutant NSCLC at the International Association for the Study of Lung Cancer 19th World Conference on Lung Cancer and published online in </w:t>
      </w:r>
      <w:r>
        <w:rPr>
          <w:rFonts w:ascii="Arial" w:cs="Arial" w:eastAsia="Arial" w:hAnsi="Arial"/>
          <w:sz w:val="16"/>
          <w:szCs w:val="16"/>
          <w:i w:val="1"/>
          <w:iCs w:val="1"/>
          <w:color w:val="auto"/>
        </w:rPr>
        <w:t>Cancer Discovery</w:t>
      </w:r>
      <w:r>
        <w:rPr>
          <w:rFonts w:ascii="Arial" w:cs="Arial" w:eastAsia="Arial" w:hAnsi="Arial"/>
          <w:sz w:val="16"/>
          <w:szCs w:val="16"/>
          <w:color w:val="auto"/>
        </w:rPr>
        <w:t>. In the second half of 2019, we plan to initiate a Phase 3 clinical trial evaluating BLU-667 in first-line RET-fusion NSCLC and plan to initiate a Phase 2 clinical trial evaluating BLU-667 in combination with osimertinib in treatment-resistant, EGFR-mutant NSCLC harboring an acquired RET fusion. The FDA has granted orphan drug designation to BLU-667 for the treatment of RET-rearranged NSCLC, JAK1/2-positive NSCLC or TRKC-positive NSCLC, and the FDA has granted breakthrough therapy designation to BLU-667 for the treatment of patients with RET-fusion positive NSCLC that has progressed following platinum-based chemotherapy and to BLU-667 for the treatment of patients with RET mutation-positive MTC that requires systemic treatment and for which there are no acceptable alternative treatments.</w:t>
      </w:r>
    </w:p>
    <w:p>
      <w:pPr>
        <w:spacing w:after="0" w:line="181" w:lineRule="exact"/>
        <w:rPr>
          <w:sz w:val="20"/>
          <w:szCs w:val="20"/>
          <w:color w:val="auto"/>
        </w:rPr>
      </w:pPr>
    </w:p>
    <w:p>
      <w:pPr>
        <w:ind w:right="99" w:firstLine="648"/>
        <w:spacing w:after="0" w:line="236" w:lineRule="auto"/>
        <w:rPr>
          <w:sz w:val="20"/>
          <w:szCs w:val="20"/>
          <w:color w:val="auto"/>
        </w:rPr>
      </w:pPr>
      <w:r>
        <w:rPr>
          <w:rFonts w:ascii="Arial" w:cs="Arial" w:eastAsia="Arial" w:hAnsi="Arial"/>
          <w:sz w:val="16"/>
          <w:szCs w:val="16"/>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In addition, under our collaboration with CStone Pharmaceuticals, or CStone, the China National Medicinal Products Administration approved an initial new drug application for our ongoing Phase 1 trial of BLU-554 in advanced HCC in the first quarter of 2019, and we dosed the first patient in China in May 2019. We and CStone also plan to initiate a proof-of-concept clinical trial in the second half of 2019 in the CStone territory evaluating BLU-554 in combination with CS1001, a clinical stage anti-programmed death ligand-1 immunotherapy being developed by CStone, as a first-line therapy for the treatment of patients with HCC. The FDA has granted orphan drug designation to BLU-554 for the treatment of HCC.</w:t>
      </w:r>
    </w:p>
    <w:p>
      <w:pPr>
        <w:spacing w:after="0" w:line="168"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BLU-782 is an orally available, potent and highly selective inhibitor that targets mutant activin-like kinase 2, or ALK2. We are developing BLU-782 for the treatment of fibrodysplasia ossificans progressiva, or FOP, a rare, severely disabling genetic disease caused by mutations in the ALK2 gene, ACVR1. FOP is characterized by progressive heterotopic ossification, which is the abnormal transformation of muscle, ligaments and tendons into bone. Heterotopic ossification may be spontaneous or associated with painful episodic disease flare-ups that are usually precipitated by soft tissue injury. As the disease progresses, extra-skeletal bone increasingly restricts joints, resulting in severe disability and</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9"/>
        <w:spacing w:after="0" w:line="212" w:lineRule="auto"/>
        <w:rPr>
          <w:sz w:val="20"/>
          <w:szCs w:val="20"/>
          <w:color w:val="auto"/>
        </w:rPr>
      </w:pPr>
      <w:r>
        <w:rPr>
          <w:rFonts w:ascii="Arial" w:cs="Arial" w:eastAsia="Arial" w:hAnsi="Arial"/>
          <w:sz w:val="18"/>
          <w:szCs w:val="18"/>
          <w:color w:val="auto"/>
        </w:rPr>
        <w:t>loss of mobility, compromised respiratory function and increased risk of early death. Currently, there are no approved therapies for FOP. In October 2018, we presented foundational pre-clinical data for our FOP program at the 2018 American Society for Bone and Mineral Research Annual Meeting, and we initiated a Phase 1 clinical trial in healthy volunteers in the first quarter of 2019. Based on the progress of the ongoing Phase 1 clinical trial of BLU-782 in healthy volunteers and input from clinical experts, we plan to initiate a Phase 2 clinical trial of BLU-782 in patients with FOP in the fourth quarter of 2019. The FDA has granted fast track designation to BLU-782 for the prevention of heterotopic ossification in patients with FOP.</w:t>
      </w:r>
    </w:p>
    <w:p>
      <w:pPr>
        <w:spacing w:after="0" w:line="165" w:lineRule="exact"/>
        <w:rPr>
          <w:sz w:val="20"/>
          <w:szCs w:val="20"/>
          <w:color w:val="auto"/>
        </w:rPr>
      </w:pPr>
    </w:p>
    <w:p>
      <w:pPr>
        <w:ind w:right="59" w:firstLine="648"/>
        <w:spacing w:after="0" w:line="232" w:lineRule="auto"/>
        <w:rPr>
          <w:sz w:val="20"/>
          <w:szCs w:val="20"/>
          <w:color w:val="auto"/>
        </w:rPr>
      </w:pPr>
      <w:r>
        <w:rPr>
          <w:rFonts w:ascii="Arial" w:cs="Arial" w:eastAsia="Arial" w:hAnsi="Arial"/>
          <w:sz w:val="17"/>
          <w:szCs w:val="17"/>
          <w:color w:val="auto"/>
        </w:rPr>
        <w:t>We also plan to continue to leverage our discovery platform to systematically and reproducibly identify kinases that are drivers of diseases in genomically defined patient populations and craft drug candidates that potently and selectively target these kinases. We currently have four wholly-owned discovery programs for undisclosed kinase targets, and we anticipate nominating at least one additional wholly-owned discovery program in 2019.</w:t>
      </w:r>
    </w:p>
    <w:p>
      <w:pPr>
        <w:spacing w:after="0" w:line="163" w:lineRule="exact"/>
        <w:rPr>
          <w:sz w:val="20"/>
          <w:szCs w:val="20"/>
          <w:color w:val="auto"/>
        </w:rPr>
      </w:pPr>
    </w:p>
    <w:p>
      <w:pPr>
        <w:ind w:right="19" w:firstLine="648"/>
        <w:spacing w:after="0" w:line="209" w:lineRule="auto"/>
        <w:rPr>
          <w:sz w:val="20"/>
          <w:szCs w:val="20"/>
          <w:color w:val="auto"/>
        </w:rPr>
      </w:pPr>
      <w:r>
        <w:rPr>
          <w:rFonts w:ascii="Arial" w:cs="Arial" w:eastAsia="Arial" w:hAnsi="Arial"/>
          <w:sz w:val="18"/>
          <w:szCs w:val="18"/>
          <w:color w:val="auto"/>
        </w:rPr>
        <w:t>We entered into collaborations with F. Hoffmann La Roche Ltd and Hoffmann La Roche Inc., which we collectively refer to as Roche, and CStone in March 2016 and June 2018, respectively. Under our collaboration agreement with Roche, we are seeking to discover, develop and commercialize up to five small molecule therapeutics targeting kinases believed to be important in cancer immunotherapy, as single products or possibly in combination with other therapeutics. Under our collaboration agreement with CStone, we are seeking to develop and commercialize BLU-554, avapritinib and BLU-667, including back-up forms and certain other forms, in Mainland China, Hong Kong, Macau and Taiwan, or the CStone territory, either as a monotherapy or as part of a combination therapy.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69" w:lineRule="exact"/>
        <w:rPr>
          <w:sz w:val="20"/>
          <w:szCs w:val="20"/>
          <w:color w:val="auto"/>
        </w:rPr>
      </w:pPr>
    </w:p>
    <w:p>
      <w:pPr>
        <w:ind w:right="319" w:firstLine="648"/>
        <w:spacing w:after="0" w:line="219" w:lineRule="auto"/>
        <w:rPr>
          <w:sz w:val="20"/>
          <w:szCs w:val="20"/>
          <w:color w:val="auto"/>
        </w:rPr>
      </w:pPr>
      <w:r>
        <w:rPr>
          <w:rFonts w:ascii="Arial" w:cs="Arial" w:eastAsia="Arial" w:hAnsi="Arial"/>
          <w:sz w:val="18"/>
          <w:szCs w:val="18"/>
          <w:color w:val="auto"/>
        </w:rPr>
        <w:t>We currently have worldwide development and commercialization rights to avapritinib, BLU-667 and BLU-554 other than the rights licensed to CStone in the CStone territory. We currently have worldwide development and commercialization rights to BLU-782 and all of our discovery programs other than the discovery-stage programs under collaboration with Roche.</w:t>
      </w:r>
    </w:p>
    <w:p>
      <w:pPr>
        <w:spacing w:after="0" w:line="163" w:lineRule="exact"/>
        <w:rPr>
          <w:sz w:val="20"/>
          <w:szCs w:val="20"/>
          <w:color w:val="auto"/>
        </w:rPr>
      </w:pPr>
    </w:p>
    <w:p>
      <w:pPr>
        <w:ind w:right="119" w:firstLine="648"/>
        <w:spacing w:after="0" w:line="181" w:lineRule="exact"/>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stock, collaborations and a debt financing. Through March 31, 2019, we have received an aggregate of $1.1 billion from such transactions, including $887.4 million in aggregate gross proceeds from the sale of common stock in our May 2015 initial public offering, or IPO, and December 2016, April 2017 and December 2017 follow</w:t>
      </w:r>
      <w:r>
        <w:rPr>
          <w:rFonts w:ascii="MS PGothic" w:cs="MS PGothic" w:eastAsia="MS PGothic" w:hAnsi="MS PGothic"/>
          <w:sz w:val="16"/>
          <w:szCs w:val="16"/>
          <w:color w:val="auto"/>
        </w:rPr>
        <w:t>‑</w:t>
      </w:r>
      <w:r>
        <w:rPr>
          <w:rFonts w:ascii="Arial" w:cs="Arial" w:eastAsia="Arial" w:hAnsi="Arial"/>
          <w:sz w:val="16"/>
          <w:szCs w:val="16"/>
          <w:color w:val="auto"/>
        </w:rPr>
        <w:t>on public offerings, $115.1 million in gross proceeds from the issuance of convertible preferred stock, $18.8 million of upfront and milestone payments under our former collaboration with Alexion Pharma Holding, or Alexion, $55.0 million in upfront and milestone payments under our existing collaboration with Roche, a $40.0 million upfront payment under our existing collaboration with CStone, and $10.0 million in gross proceeds from the debt financing. In addition, we received aggregate gross proceeds of approximately $345.0 million from our April 2019 follow-on public offering.</w:t>
      </w:r>
    </w:p>
    <w:p>
      <w:pPr>
        <w:spacing w:after="0" w:line="168" w:lineRule="exact"/>
        <w:rPr>
          <w:sz w:val="20"/>
          <w:szCs w:val="20"/>
          <w:color w:val="auto"/>
        </w:rPr>
      </w:pPr>
    </w:p>
    <w:p>
      <w:pPr>
        <w:ind w:right="39" w:firstLine="648"/>
        <w:spacing w:after="0" w:line="229" w:lineRule="auto"/>
        <w:rPr>
          <w:sz w:val="20"/>
          <w:szCs w:val="20"/>
          <w:color w:val="auto"/>
        </w:rPr>
      </w:pPr>
      <w:r>
        <w:rPr>
          <w:rFonts w:ascii="Arial" w:cs="Arial" w:eastAsia="Arial" w:hAnsi="Arial"/>
          <w:sz w:val="17"/>
          <w:szCs w:val="17"/>
          <w:color w:val="auto"/>
        </w:rPr>
        <w:t>Since inception, we have incurred significant operating losses. Our net losses were $87.4 million for the three months ended March 31, 2019 and $236.6 million, $148.1 million and $72.5 million for the years ended December 31, 2018, 2017 and 2016, respectively. As of March 31, 2019, we had an accumulated deficit of $685.0 million. We expect to continue to incur significant expenses and operating losses over the next several years. We anticipate that our expenses will increase significantly in connection with our ongoing activities, particularly as we:</w:t>
      </w:r>
    </w:p>
    <w:p>
      <w:pPr>
        <w:spacing w:after="0" w:line="161" w:lineRule="exact"/>
        <w:rPr>
          <w:sz w:val="20"/>
          <w:szCs w:val="20"/>
          <w:color w:val="auto"/>
        </w:rPr>
      </w:pPr>
    </w:p>
    <w:p>
      <w:pPr>
        <w:ind w:left="1300" w:right="99" w:hanging="325"/>
        <w:spacing w:after="0" w:line="258"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 to advance and initiate clinical development activities for our lead drug candidate, avapritinib, as well as our other most advanced drug candidates, BLU-667, BLU-554 and BLU-782;</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marketing approvals for our drug candidates that successfully complete clinical trials;</w:t>
      </w:r>
    </w:p>
    <w:p>
      <w:pPr>
        <w:spacing w:after="0" w:line="184" w:lineRule="exact"/>
        <w:rPr>
          <w:rFonts w:ascii="Arial" w:cs="Arial" w:eastAsia="Arial" w:hAnsi="Arial"/>
          <w:sz w:val="18"/>
          <w:szCs w:val="18"/>
          <w:color w:val="auto"/>
        </w:rPr>
      </w:pPr>
    </w:p>
    <w:p>
      <w:pPr>
        <w:ind w:left="1300" w:right="219" w:hanging="325"/>
        <w:spacing w:after="0" w:line="23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medicines for which we may obtain marketing approval;</w:t>
      </w:r>
    </w:p>
    <w:p>
      <w:pPr>
        <w:spacing w:after="0" w:line="161" w:lineRule="exact"/>
        <w:rPr>
          <w:rFonts w:ascii="Arial" w:cs="Arial" w:eastAsia="Arial" w:hAnsi="Arial"/>
          <w:sz w:val="18"/>
          <w:szCs w:val="18"/>
          <w:color w:val="auto"/>
        </w:rPr>
      </w:pPr>
    </w:p>
    <w:p>
      <w:pPr>
        <w:ind w:left="1300" w:right="179" w:hanging="325"/>
        <w:spacing w:after="0" w:line="23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for any potential commercialization;</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184" w:lineRule="exact"/>
        <w:rPr>
          <w:rFonts w:ascii="Arial" w:cs="Arial" w:eastAsia="Arial" w:hAnsi="Arial"/>
          <w:sz w:val="18"/>
          <w:szCs w:val="18"/>
          <w:color w:val="auto"/>
        </w:rPr>
      </w:pPr>
    </w:p>
    <w:p>
      <w:pPr>
        <w:ind w:left="1300" w:right="79" w:hanging="325"/>
        <w:spacing w:after="0" w:line="23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current or future drug candidates;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or in-license other drug candidates or technologies;</w:t>
      </w:r>
    </w:p>
    <w:p>
      <w:pPr>
        <w:spacing w:after="0" w:line="184" w:lineRule="exact"/>
        <w:rPr>
          <w:rFonts w:ascii="Arial" w:cs="Arial" w:eastAsia="Arial" w:hAnsi="Arial"/>
          <w:sz w:val="18"/>
          <w:szCs w:val="18"/>
          <w:color w:val="auto"/>
        </w:rPr>
      </w:pPr>
    </w:p>
    <w:p>
      <w:pPr>
        <w:ind w:left="1300" w:right="779" w:hanging="325"/>
        <w:spacing w:after="0" w:line="23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99" w:firstLine="648"/>
        <w:spacing w:after="0" w:line="222" w:lineRule="auto"/>
        <w:rPr>
          <w:sz w:val="20"/>
          <w:szCs w:val="20"/>
          <w:color w:val="auto"/>
        </w:rPr>
      </w:pPr>
      <w:r>
        <w:rPr>
          <w:rFonts w:ascii="Arial" w:cs="Arial" w:eastAsia="Arial" w:hAnsi="Arial"/>
          <w:sz w:val="17"/>
          <w:szCs w:val="17"/>
          <w:color w:val="auto"/>
        </w:rPr>
        <w:t>To date, we have not generated any revenue from drug sales. Our revenue consists of collaboration revenue under our collaborations with Roche and CStone, including amounts that are recognized related to upfront payments, milestone payments and amounts due to us for research and development services. In the future, revenue may include revenues related to the supply of our drug candidates or products to CStone for development and commercialization activities in the CStone territory and additional milestone payments and royalties on any net product sales under our collaborations with Roche and CStone. We do not expect to generate any revenue from the sale of avapritinib until 2020, assuming we are able to file for regulatory approval for avapritinib in the United States in the second quarter of 2019 and receive marketing approval by 2020. We expect that any revenue we generate will fluctuate from quarter to quarter as a result of the timing and amount of product sales, if any, license fees, research and development services and related reimbursements, payments for manufacturing services, and milestone and other payments.</w:t>
      </w:r>
    </w:p>
    <w:p>
      <w:pPr>
        <w:spacing w:after="0" w:line="164" w:lineRule="exact"/>
        <w:rPr>
          <w:sz w:val="20"/>
          <w:szCs w:val="20"/>
          <w:color w:val="auto"/>
        </w:rPr>
      </w:pPr>
    </w:p>
    <w:p>
      <w:pPr>
        <w:ind w:right="59" w:firstLine="648"/>
        <w:spacing w:after="0" w:line="224" w:lineRule="auto"/>
        <w:rPr>
          <w:sz w:val="20"/>
          <w:szCs w:val="20"/>
          <w:color w:val="auto"/>
        </w:rPr>
      </w:pPr>
      <w:r>
        <w:rPr>
          <w:rFonts w:ascii="Arial" w:cs="Arial" w:eastAsia="Arial" w:hAnsi="Arial"/>
          <w:sz w:val="18"/>
          <w:szCs w:val="18"/>
          <w:color w:val="auto"/>
        </w:rPr>
        <w:t>In the future, subject to obtaining marketing approval for one or more of our drug candidates, we expect to generate revenue from a combination of product sales, royalties on product sales and cost reimbursements, as well as upfront, milestone and royalty payments, if any, under any current or future collaborations.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9" w:firstLine="648"/>
        <w:spacing w:after="0" w:line="258"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47" w:lineRule="exact"/>
        <w:rPr>
          <w:sz w:val="20"/>
          <w:szCs w:val="20"/>
          <w:color w:val="auto"/>
        </w:rPr>
      </w:pPr>
    </w:p>
    <w:p>
      <w:pPr>
        <w:ind w:left="1300" w:hanging="325"/>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196" w:lineRule="exact"/>
        <w:rPr>
          <w:rFonts w:ascii="Arial" w:cs="Arial" w:eastAsia="Arial" w:hAnsi="Arial"/>
          <w:sz w:val="17"/>
          <w:szCs w:val="17"/>
          <w:color w:val="auto"/>
        </w:rPr>
      </w:pPr>
    </w:p>
    <w:p>
      <w:pPr>
        <w:ind w:left="1300" w:right="79" w:hanging="325"/>
        <w:spacing w:after="0" w:line="235"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Arial" w:cs="Arial" w:eastAsia="Arial" w:hAnsi="Arial"/>
          <w:sz w:val="18"/>
          <w:szCs w:val="18"/>
          <w:color w:val="auto"/>
        </w:rPr>
      </w:pPr>
    </w:p>
    <w:p>
      <w:pPr>
        <w:ind w:left="1300" w:right="479" w:hanging="325"/>
        <w:spacing w:after="0" w:line="235"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40" w:hanging="325"/>
        <w:spacing w:after="0" w:line="235"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61" w:lineRule="exact"/>
        <w:rPr>
          <w:rFonts w:ascii="Arial" w:cs="Arial" w:eastAsia="Arial" w:hAnsi="Arial"/>
          <w:sz w:val="18"/>
          <w:szCs w:val="18"/>
          <w:color w:val="auto"/>
        </w:rPr>
      </w:pPr>
    </w:p>
    <w:p>
      <w:pPr>
        <w:ind w:left="1300" w:right="400" w:hanging="325"/>
        <w:spacing w:after="0" w:line="22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1300" w:right="106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61"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commercializing the drug candidates, if and when approved, whether alone or in collaboration with others;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180" w:firstLine="648"/>
        <w:spacing w:after="0" w:line="223"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8"/>
          <w:szCs w:val="18"/>
          <w:color w:val="auto"/>
        </w:rPr>
        <w:t>The following table summarizes our external research and development expenses by program for the three months ended March 31, 2019 and 2018. Other development and pre</w:t>
      </w:r>
      <w:r>
        <w:rPr>
          <w:rFonts w:ascii="MS PGothic" w:cs="MS PGothic" w:eastAsia="MS PGothic" w:hAnsi="MS PGothic"/>
          <w:sz w:val="18"/>
          <w:szCs w:val="18"/>
          <w:color w:val="auto"/>
        </w:rPr>
        <w:t>‑</w:t>
      </w:r>
      <w:r>
        <w:rPr>
          <w:rFonts w:ascii="Arial" w:cs="Arial" w:eastAsia="Arial" w:hAnsi="Arial"/>
          <w:sz w:val="18"/>
          <w:szCs w:val="18"/>
          <w:color w:val="auto"/>
        </w:rPr>
        <w:t>development candidate expenses, unallocated expenses and internal research and development expenses have been classified separately.</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bottom w:val="single" w:sz="8" w:color="auto"/>
            </w:tcBorders>
          </w:tcPr>
          <w:p>
            <w:pPr>
              <w:jc w:val="right"/>
              <w:ind w:right="7"/>
              <w:spacing w:after="0" w:line="129"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80" w:type="dxa"/>
            <w:vAlign w:val="bottom"/>
            <w:gridSpan w:val="3"/>
          </w:tcPr>
          <w:p>
            <w:pPr>
              <w:jc w:val="right"/>
              <w:ind w:right="625"/>
              <w:spacing w:after="0" w:line="129"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Avapritinib external expenses</w:t>
            </w:r>
          </w:p>
        </w:tc>
        <w:tc>
          <w:tcPr>
            <w:tcW w:w="1120" w:type="dxa"/>
            <w:vAlign w:val="bottom"/>
            <w:gridSpan w:val="2"/>
            <w:shd w:val="clear" w:color="auto" w:fill="CCEEFF"/>
          </w:tcPr>
          <w:p>
            <w:pPr>
              <w:jc w:val="right"/>
              <w:ind w:right="907"/>
              <w:spacing w:after="0" w:line="17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24,677</w:t>
            </w:r>
          </w:p>
        </w:tc>
        <w:tc>
          <w:tcPr>
            <w:tcW w:w="1360" w:type="dxa"/>
            <w:vAlign w:val="bottom"/>
            <w:gridSpan w:val="2"/>
            <w:shd w:val="clear" w:color="auto" w:fill="CCEEFF"/>
          </w:tcPr>
          <w:p>
            <w:pPr>
              <w:jc w:val="right"/>
              <w:ind w:right="885"/>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17,783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line="176" w:lineRule="exact"/>
              <w:rPr>
                <w:sz w:val="20"/>
                <w:szCs w:val="20"/>
                <w:color w:val="auto"/>
              </w:rPr>
            </w:pPr>
            <w:r>
              <w:rPr>
                <w:rFonts w:ascii="Arial" w:cs="Arial" w:eastAsia="Arial" w:hAnsi="Arial"/>
                <w:sz w:val="18"/>
                <w:szCs w:val="18"/>
                <w:color w:val="auto"/>
              </w:rPr>
              <w:t>BLU-554 external expenses</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1,262</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4,794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BLU-667 external expenses</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16,059</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5,585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line="176" w:lineRule="exact"/>
              <w:rPr>
                <w:sz w:val="20"/>
                <w:szCs w:val="20"/>
                <w:color w:val="auto"/>
              </w:rPr>
            </w:pPr>
            <w:r>
              <w:rPr>
                <w:rFonts w:ascii="Arial" w:cs="Arial" w:eastAsia="Arial" w:hAnsi="Arial"/>
                <w:sz w:val="18"/>
                <w:szCs w:val="18"/>
                <w:color w:val="auto"/>
              </w:rPr>
              <w:t>BLU-782 external expenses</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2,666</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1,899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4"/>
              </w:rPr>
              <w:t>Other development and pre-development candidate expenses and</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13,528</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expenses</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7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Internal research and development expenses</w:t>
            </w:r>
          </w:p>
        </w:tc>
        <w:tc>
          <w:tcPr>
            <w:tcW w:w="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8"/>
              </w:rPr>
              <w:t>16,058</w:t>
            </w:r>
          </w:p>
        </w:tc>
        <w:tc>
          <w:tcPr>
            <w:tcW w:w="3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10,161</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07"/>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74,250</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8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49,954</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drug product and drug substance manufacturing expenses for current and future clinical trials. In addition, we expect that our research and development expenses will increase in future periods as we incur additional costs in connection with research and development activities under our collaboration with Roche, development activities under our collaboration with CStone and development activities for companion diagnostic tests for current and future drug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commercial, business development, information technology, legal and human resources functions. Other significant costs include facility costs not otherwise included in research and development expenses, pre-commercial development activities, legal fees relating to intellectual property and corporate matters and fees for accounting and consulting services.</w:t>
      </w:r>
    </w:p>
    <w:p>
      <w:pPr>
        <w:spacing w:after="0" w:line="161"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income earned on cash equivalents and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280" w:firstLine="648"/>
        <w:spacing w:after="0" w:line="232" w:lineRule="auto"/>
        <w:rPr>
          <w:sz w:val="20"/>
          <w:szCs w:val="20"/>
          <w:color w:val="auto"/>
        </w:rPr>
      </w:pPr>
      <w:r>
        <w:rPr>
          <w:rFonts w:ascii="Arial" w:cs="Arial" w:eastAsia="Arial" w:hAnsi="Arial"/>
          <w:sz w:val="17"/>
          <w:szCs w:val="17"/>
          <w:color w:val="auto"/>
        </w:rPr>
        <w:t>For the three months ended March 31, 2018, interest expense consisted primarily of interest expense on amounts outstanding under the loan and security agreement that we entered into with Silicon Valley Bank in May 2013 and amortization of debt discount. We repaid the loan in full in November 2018. For the three months ended March 31, 2019, interest expense consisted primarily of interest expense related to an insignificant finance lease.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Our critical accounting policies are those policies that require the most significant judgments and estimates in the preparation of our financial statements. Management has determined that our most critical accounting policies are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those relating to revenue recognition, accrued research and development expenses, available-for-sale investments, leases and stock-based compensation.</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2018. Other than as described below, there have been no significant changes to our critical accounting policies since December 31, 2018.</w:t>
      </w:r>
    </w:p>
    <w:p>
      <w:pPr>
        <w:spacing w:after="0" w:line="163"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 xml:space="preserve">On January 1, 2019, we adopted </w:t>
      </w:r>
      <w:r>
        <w:rPr>
          <w:rFonts w:ascii="Arial" w:cs="Arial" w:eastAsia="Arial" w:hAnsi="Arial"/>
          <w:sz w:val="16"/>
          <w:szCs w:val="16"/>
          <w:i w:val="1"/>
          <w:iCs w:val="1"/>
          <w:color w:val="auto"/>
        </w:rPr>
        <w:t>ASU No. 2016-02, Leases (Topic 84)</w:t>
      </w:r>
      <w:r>
        <w:rPr>
          <w:rFonts w:ascii="Arial" w:cs="Arial" w:eastAsia="Arial" w:hAnsi="Arial"/>
          <w:sz w:val="16"/>
          <w:szCs w:val="16"/>
          <w:color w:val="auto"/>
        </w:rPr>
        <w:t>, or ASC 842, which requires the recognition of the right-of-use assets and related operating and finance lease liabilities on the balance sheet. We adopted ASC 842 using a modified retrospective approach for all leases existing at January 1, 2019. The adoption of ASC 842 had a substantial impact on our condensed consolidated balance sheet and no impact to our condensed consolidated statements of operations. Upon adoption of ASC 842, we recognized an adjustment of $54.2 million and $74.1 million to operating lease right-of-use assets and the related lease liabilities, respectively. The operating lease liabilities are based on the present value of the remaining minimum lease payments discounted using our secured incremental borrowing rate at the effective date of January 1, 2019.</w:t>
      </w:r>
    </w:p>
    <w:p>
      <w:pPr>
        <w:spacing w:after="0" w:line="163"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For contracts entered into on or after the effective date,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159"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61"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63"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real estate leases and other operating leases, we use its secured incremental borrowing rate. For finance leases, we use the rate implicit in the lease or its secured incremental borrowing rate if the implicit lease rate cannot be determined.</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47"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Lease expense for operating leases consists of the lease payments plus any initial direct costs, primarily brokerage commissions,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Lease expense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We made an accounting policy election to not recognize leases with an initial term of 12 months or less within our condensed consolidated balance sheets and to recognize those lease payments on a straight-line basis in our condensed consolidated statements of income over the lease term.</w:t>
      </w:r>
    </w:p>
    <w:p>
      <w:pPr>
        <w:spacing w:after="0" w:line="15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2019 and 2018</w:t>
      </w:r>
    </w:p>
    <w:p>
      <w:pPr>
        <w:spacing w:after="0" w:line="185"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March 31, 2019 and 2018, together with the changes in those items in dollars and as a percentage: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2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5"/>
          </w:tcPr>
          <w:p>
            <w:pPr>
              <w:jc w:val="center"/>
              <w:ind w:right="31"/>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(224)</w:t>
            </w: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74,250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49,954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24,296</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16,553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9,911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6,642</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67</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90,803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59,865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30,938</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5"/>
                <w:szCs w:val="15"/>
                <w:color w:val="auto"/>
              </w:rPr>
            </w:pPr>
          </w:p>
        </w:tc>
        <w:tc>
          <w:tcPr>
            <w:tcW w:w="82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69"/>
        </w:trPr>
        <w:tc>
          <w:tcPr>
            <w:tcW w:w="36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other income</w:t>
            </w:r>
          </w:p>
        </w:tc>
        <w:tc>
          <w:tcPr>
            <w:tcW w:w="14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2,666</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2,362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304</w:t>
            </w: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w w:val="88"/>
              </w:rPr>
              <w:t>(87,407)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w w:val="91"/>
              </w:rPr>
              <w:t>(56,549)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(30,858)</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Collaboration revenue decreased by $0.2 million from $1.0 million for the three months ended March 31, 2018 to $0.7 million for the three months ended March 31, 2019. Collaboration revenue for the three months ended March 31, 2019 and 2018 was related to the Roche agreement. We entered into the CStone agreement on June 1, 2018 and did not record collaboration revenue under the CStone agreement for the three months ended March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Research and development expense increased by $24.3 million from $50.0 million for the three months ended March 31, 2018 to $74.3 million for the three ended March 31, 2019. The increase in research and development expense was primarily related to the following:</w:t>
      </w:r>
    </w:p>
    <w:p>
      <w:pPr>
        <w:spacing w:after="0" w:line="163" w:lineRule="exact"/>
        <w:rPr>
          <w:sz w:val="20"/>
          <w:szCs w:val="20"/>
          <w:color w:val="auto"/>
        </w:rPr>
      </w:pPr>
    </w:p>
    <w:p>
      <w:pPr>
        <w:ind w:left="1300" w:right="46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$7.2 million in increased expenses for external clinical activities related to avapritinib, BLU-667 and BLU-782;</w:t>
      </w:r>
    </w:p>
    <w:p>
      <w:pPr>
        <w:spacing w:after="0" w:line="161"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$7.0 million in increased expenses associated with clinical and commercial manufacturing activities;</w:t>
      </w:r>
    </w:p>
    <w:p>
      <w:pPr>
        <w:spacing w:after="0" w:line="161" w:lineRule="exact"/>
        <w:rPr>
          <w:rFonts w:ascii="Arial" w:cs="Arial" w:eastAsia="Arial" w:hAnsi="Arial"/>
          <w:sz w:val="18"/>
          <w:szCs w:val="18"/>
          <w:color w:val="auto"/>
        </w:rPr>
      </w:pPr>
    </w:p>
    <w:p>
      <w:pPr>
        <w:ind w:left="1300" w:right="400" w:hanging="325"/>
        <w:spacing w:after="0" w:line="22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$6.6 million in increased personnel expense, primarily due to an increase in headcount, which was driven by growth in the clinical and manufacturing organizations, and an increase of $2.8 million in stock-based compensation expense; and</w:t>
      </w:r>
    </w:p>
    <w:p>
      <w:pPr>
        <w:spacing w:after="0" w:line="163"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$3.3 million in increased expenses associated with continuing to build our discovery platform and advance our discovery pipeline.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400" w:firstLine="648"/>
        <w:spacing w:after="0" w:line="224" w:lineRule="auto"/>
        <w:rPr>
          <w:sz w:val="20"/>
          <w:szCs w:val="20"/>
          <w:color w:val="auto"/>
        </w:rPr>
      </w:pPr>
      <w:r>
        <w:rPr>
          <w:rFonts w:ascii="Arial" w:cs="Arial" w:eastAsia="Arial" w:hAnsi="Arial"/>
          <w:sz w:val="18"/>
          <w:szCs w:val="18"/>
          <w:color w:val="auto"/>
        </w:rPr>
        <w:t>General and administrative expense increased by $6.6 million from $9.9 million for the three months ended March 31, 2018 to $16.6 million for the three months ended March 31, 2019. The increase in general and administrative expense was primarily related to the following:</w:t>
      </w:r>
    </w:p>
    <w:p>
      <w:pPr>
        <w:spacing w:after="0" w:line="163" w:lineRule="exact"/>
        <w:rPr>
          <w:sz w:val="20"/>
          <w:szCs w:val="20"/>
          <w:color w:val="auto"/>
        </w:rPr>
      </w:pPr>
    </w:p>
    <w:p>
      <w:pPr>
        <w:ind w:left="1300" w:right="180" w:hanging="325"/>
        <w:spacing w:after="0" w:line="22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$3.9 million in increased personnel expenses, primarily due to an increase in general and administrative headcount to support the overall growth of our business, and an increase of $2.0 million in stock-based compensation expense;</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approximately $2.2 million in increased professional fees including commercial planning activities; 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net, increased by $0.3 million from $2.4 million for the three months ended March 31, 2018 to</w:t>
      </w:r>
    </w:p>
    <w:p>
      <w:pPr>
        <w:spacing w:after="0" w:line="229" w:lineRule="auto"/>
        <w:rPr>
          <w:sz w:val="20"/>
          <w:szCs w:val="20"/>
          <w:color w:val="auto"/>
        </w:rPr>
      </w:pPr>
      <w:r>
        <w:rPr>
          <w:rFonts w:ascii="Arial" w:cs="Arial" w:eastAsia="Arial" w:hAnsi="Arial"/>
          <w:sz w:val="16"/>
          <w:szCs w:val="16"/>
          <w:color w:val="auto"/>
        </w:rPr>
        <w:t>$2.7 million for the three months ended March 31, 2019. The increase was primarily related to higher average investment</w:t>
      </w:r>
    </w:p>
    <w:p>
      <w:pPr>
        <w:spacing w:after="0"/>
        <w:rPr>
          <w:sz w:val="20"/>
          <w:szCs w:val="20"/>
          <w:color w:val="auto"/>
        </w:rPr>
      </w:pPr>
      <w:r>
        <w:rPr>
          <w:rFonts w:ascii="Arial" w:cs="Arial" w:eastAsia="Arial" w:hAnsi="Arial"/>
          <w:sz w:val="18"/>
          <w:szCs w:val="18"/>
          <w:color w:val="auto"/>
        </w:rPr>
        <w:t>balances and a higher rate of return on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80" w:firstLine="648"/>
        <w:spacing w:after="0" w:line="219" w:lineRule="auto"/>
        <w:rPr>
          <w:sz w:val="20"/>
          <w:szCs w:val="20"/>
          <w:color w:val="auto"/>
        </w:rPr>
      </w:pPr>
      <w:r>
        <w:rPr>
          <w:rFonts w:ascii="Arial" w:cs="Arial" w:eastAsia="Arial" w:hAnsi="Arial"/>
          <w:sz w:val="18"/>
          <w:szCs w:val="18"/>
          <w:color w:val="auto"/>
        </w:rPr>
        <w:t>Interest expense for the three months ended March 31, 2018 was less than $0.1 million and was primarily related to interest under our loan and security agreement with Silicon Valley Bank, which we repaid in full in November 2018. Interest expense for the three months ended March 31, 2019 was less than $0.1 million and was primarily related to interest expense for an insignificant finance lease.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and a debt financing. Through March 31, 2019, we have received an aggregate of $1.1 billion from such transactions, including $887.4 million in aggregate gross proceeds from the sale of common stock in our May 2015 initial public offering, or IPO, and December 2016, April 2017 and December 2017 follow</w:t>
      </w:r>
      <w:r>
        <w:rPr>
          <w:rFonts w:ascii="MS PGothic" w:cs="MS PGothic" w:eastAsia="MS PGothic" w:hAnsi="MS PGothic"/>
          <w:sz w:val="18"/>
          <w:szCs w:val="18"/>
          <w:color w:val="auto"/>
        </w:rPr>
        <w:t>‑</w:t>
      </w:r>
      <w:r>
        <w:rPr>
          <w:rFonts w:ascii="Arial" w:cs="Arial" w:eastAsia="Arial" w:hAnsi="Arial"/>
          <w:sz w:val="18"/>
          <w:szCs w:val="18"/>
          <w:color w:val="auto"/>
        </w:rPr>
        <w:t>on public offerings, $115.1 million in gross proceeds from the issuance of convertible preferred stock, $18.8 million of upfront and milestone payments from Alexion, $55.0 million in upfront and milestone payments from Roche, a $40.0 million upfront payment under our existing collaboration with CStone and $10.0 million in gross proceeds from debt financing. In addition, we received aggregate gross proceeds of approximately $345.0 million from our April 2019 follow-on public offering.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we had cash, cash equivalents and investments of $415.9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our cash flows for the three months ended March 31, 2019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5400" w:type="dxa"/>
            <w:vAlign w:val="bottom"/>
            <w:tcBorders>
              <w:bottom w:val="single" w:sz="8" w:color="CCEEFF"/>
            </w:tcBorders>
            <w:vMerge w:val="continue"/>
          </w:tcPr>
          <w:p>
            <w:pPr>
              <w:spacing w:after="0"/>
              <w:rPr>
                <w:sz w:val="11"/>
                <w:szCs w:val="11"/>
                <w:color w:val="auto"/>
              </w:rPr>
            </w:pPr>
          </w:p>
        </w:tc>
        <w:tc>
          <w:tcPr>
            <w:tcW w:w="16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8"/>
              <w:spacing w:after="0" w:line="129"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16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(80,188)</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(49,563)</w:t>
            </w:r>
          </w:p>
        </w:tc>
        <w:tc>
          <w:tcPr>
            <w:tcW w:w="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8"/>
                <w:szCs w:val="18"/>
                <w:color w:val="auto"/>
              </w:rPr>
              <w:t>Net cash provided by (used in) investing activities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89,314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w w:val="90"/>
              </w:rPr>
              <w:t>(219,128)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provided by financing activities</w:t>
            </w:r>
          </w:p>
        </w:tc>
        <w:tc>
          <w:tcPr>
            <w:tcW w:w="16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3,062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line="170" w:lineRule="exact"/>
              <w:rPr>
                <w:sz w:val="20"/>
                <w:szCs w:val="20"/>
                <w:color w:val="auto"/>
              </w:rPr>
            </w:pPr>
            <w:r>
              <w:rPr>
                <w:rFonts w:ascii="Arial" w:cs="Arial" w:eastAsia="Arial" w:hAnsi="Arial"/>
                <w:sz w:val="18"/>
                <w:szCs w:val="18"/>
                <w:color w:val="auto"/>
              </w:rPr>
              <w:t>Net increase (decrease) in cash and cash equivalents</w:t>
            </w:r>
          </w:p>
        </w:tc>
        <w:tc>
          <w:tcPr>
            <w:tcW w:w="16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11,137</w:t>
            </w:r>
          </w:p>
        </w:tc>
        <w:tc>
          <w:tcPr>
            <w:tcW w:w="3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0"/>
              </w:rPr>
              <w:t>(265,629)</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For the three months ended March 31, 2019,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2018, the $30.6 million increase in net cash used in operating was primarily due to the increased net loss during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this period of $30.9 million, which was driven by increased payroll and payroll-related expenses and spending on pre-clinical, clinical and pre-commercial activities.</w:t>
      </w:r>
    </w:p>
    <w:p>
      <w:pPr>
        <w:spacing w:after="0" w:line="108"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i w:val="1"/>
          <w:iCs w:val="1"/>
          <w:color w:val="auto"/>
        </w:rPr>
        <w:t xml:space="preserve">Net Cash Provided by (Used in) Investing Activities. </w:t>
      </w:r>
      <w:r>
        <w:rPr>
          <w:rFonts w:ascii="Arial" w:cs="Arial" w:eastAsia="Arial" w:hAnsi="Arial"/>
          <w:sz w:val="18"/>
          <w:szCs w:val="18"/>
          <w:color w:val="auto"/>
        </w:rPr>
        <w:t>For the three months ended March 31, 2019,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2018, the $308.4 million increase in net cash provided by investing activities was primarily due to an increase in maturities of investments offset by purchases of investments.</w:t>
      </w:r>
    </w:p>
    <w:p>
      <w:pPr>
        <w:spacing w:after="0" w:line="163"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three months ended March 31, 2019,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2018, the $1.1 million decrease in net cash provided by financing activities was primarily due to less proceeds received from stock option exercises.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In May 2013, we entered into a loan and security agreement with Silicon Valley Bank. Under the terms of the loan and security agreement, we borrowed $5.0 million. Loan advances under the loan and security agreement accrue interest at a fixed rate of 2.0% above the prime rate. In November 2014, we amended the loan and security agreement and borrowed an additional $5.0 million. Each loan advance included an interest-only payment period, and we were required to pay a fee of 4% of the total loan advances at the end of the term of the loan. There were no financial covenants associated with the loan and security agreement. We repaid the loan in full in November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As of March 31, 2019, we had cash, cash equivalents and investments of $415.9 million. Based on our current plans, we believe that our existing cash, cash equivalents and investments, including the $327.2 million of estimated net proceeds from our April 2019 follow-on public offering but excluding any potential option fees and milestone payments under our existing collaborations with Roche and CStone, will be sufficient to enable us to fund our operating expenses and capital expenditure requirements into the middle of 2021. Our future capital requirements will depend on many factors, including:</w:t>
      </w:r>
    </w:p>
    <w:p>
      <w:pPr>
        <w:spacing w:after="0" w:line="159" w:lineRule="exact"/>
        <w:rPr>
          <w:sz w:val="20"/>
          <w:szCs w:val="20"/>
          <w:color w:val="auto"/>
        </w:rPr>
      </w:pPr>
    </w:p>
    <w:p>
      <w:pPr>
        <w:ind w:left="1300" w:right="260"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1"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207" w:lineRule="exact"/>
        <w:rPr>
          <w:rFonts w:ascii="Arial" w:cs="Arial" w:eastAsia="Arial" w:hAnsi="Arial"/>
          <w:sz w:val="16"/>
          <w:szCs w:val="16"/>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72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ability to establish and maintain collaborations on favorable terms, if at all;</w:t>
      </w:r>
    </w:p>
    <w:p>
      <w:pPr>
        <w:spacing w:after="0" w:line="161" w:lineRule="exact"/>
        <w:rPr>
          <w:rFonts w:ascii="Arial" w:cs="Arial" w:eastAsia="Arial" w:hAnsi="Arial"/>
          <w:sz w:val="18"/>
          <w:szCs w:val="18"/>
          <w:color w:val="auto"/>
        </w:rPr>
      </w:pPr>
    </w:p>
    <w:p>
      <w:pPr>
        <w:ind w:left="1300" w:hanging="325"/>
        <w:spacing w:after="0" w:line="22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to us under our collaboration agreements with Roche and CStone or any collaboration agreements that we may enter into in the future;</w:t>
      </w:r>
    </w:p>
    <w:p>
      <w:pPr>
        <w:spacing w:after="0" w:line="163"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184" w:lineRule="exact"/>
        <w:rPr>
          <w:rFonts w:ascii="Arial" w:cs="Arial" w:eastAsia="Arial" w:hAnsi="Arial"/>
          <w:sz w:val="18"/>
          <w:szCs w:val="18"/>
          <w:color w:val="auto"/>
        </w:rPr>
      </w:pPr>
    </w:p>
    <w:p>
      <w:pPr>
        <w:ind w:left="1300" w:right="38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current or future companion diagnostic test collaborations for companion diagnostic tests;</w:t>
      </w:r>
    </w:p>
    <w:p>
      <w:pPr>
        <w:spacing w:after="0" w:line="161"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w:t>
      </w:r>
    </w:p>
    <w:p>
      <w:pPr>
        <w:spacing w:after="0" w:line="185"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Identifying potential drug candidates and conducting pre-clinical development and testing and clinical trials is a time-consuming, expensive and uncertain process that takes years to complete, and we may never generate the necessary data or results required to obtain marketing approval and achieve drug sales. In addition, our drug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5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other than potential funds to be earned under our collaborations with Roche and CStone.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As of March 31, 2019, there have been no material changes to our contractual obligations and commitments from those described under “Management’s Discussion and Analysis of Financial Condition and Results of Operations” included in the Annual Report on Form 10-K for the year ended December 31, 2018.</w:t>
      </w:r>
    </w:p>
    <w:p>
      <w:pPr>
        <w:spacing w:after="0" w:line="15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right="220" w:firstLine="648"/>
        <w:spacing w:after="0" w:line="289" w:lineRule="auto"/>
        <w:rPr>
          <w:sz w:val="20"/>
          <w:szCs w:val="20"/>
          <w:color w:val="auto"/>
        </w:rPr>
      </w:pPr>
      <w:r>
        <w:rPr>
          <w:rFonts w:ascii="Arial" w:cs="Arial" w:eastAsia="Arial" w:hAnsi="Arial"/>
          <w:sz w:val="16"/>
          <w:szCs w:val="16"/>
          <w:color w:val="auto"/>
        </w:rPr>
        <w:t>As of March 31, 2019, and December 31, 2018, we had cash, cash equivalents and investments of $415.9 million and $494.0 million, respectively, consisting primarily of money market funds and investments in U.S. treasury obligations.</w:t>
      </w:r>
    </w:p>
    <w:p>
      <w:pPr>
        <w:spacing w:after="0" w:line="84"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34"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March 31, 2019 and December 31, 2018, we had minimal or no liabilities denominated in foreign currencies.</w:t>
      </w:r>
    </w:p>
    <w:p>
      <w:pPr>
        <w:spacing w:after="0" w:line="122"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months ended March 31, 2019 and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8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8"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2019. Based upon such evaluation, our Chief Executive Officer and Chief Financial Officer have concluded that, as of March 31, 2019, our disclosure controls and procedures were effective at the reasonable assurance level.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4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We are a precision therapy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are a precision therapy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and preparing for additional planned clinical trials for our most advanced drug candidates, avapritinib, BLU-667, BLU-554 and BLU-782.</w:t>
      </w:r>
    </w:p>
    <w:p>
      <w:pPr>
        <w:spacing w:after="0" w:line="165"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inception, we have focused substantially all of our efforts and financial resources on organizing and staffing</w:t>
      </w:r>
    </w:p>
    <w:p>
      <w:pPr>
        <w:spacing w:after="0" w:line="224" w:lineRule="auto"/>
        <w:rPr>
          <w:sz w:val="20"/>
          <w:szCs w:val="20"/>
          <w:color w:val="auto"/>
        </w:rPr>
      </w:pPr>
      <w:r>
        <w:rPr>
          <w:rFonts w:ascii="Arial" w:cs="Arial" w:eastAsia="Arial" w:hAnsi="Arial"/>
          <w:sz w:val="17"/>
          <w:szCs w:val="17"/>
          <w:color w:val="auto"/>
        </w:rPr>
        <w:t>our company, business planning, raising capital, establishing our intellectual property, building our discovery platform,</w:t>
      </w:r>
    </w:p>
    <w:p>
      <w:pPr>
        <w:spacing w:after="0" w:line="216" w:lineRule="auto"/>
        <w:rPr>
          <w:sz w:val="20"/>
          <w:szCs w:val="20"/>
          <w:color w:val="auto"/>
        </w:rPr>
      </w:pPr>
      <w:r>
        <w:rPr>
          <w:rFonts w:ascii="Arial" w:cs="Arial" w:eastAsia="Arial" w:hAnsi="Arial"/>
          <w:sz w:val="17"/>
          <w:szCs w:val="17"/>
          <w:color w:val="auto"/>
        </w:rPr>
        <w:t>including our proprietary compound library and new target discovery engine, identifying kinase drug targets and potential</w:t>
      </w:r>
    </w:p>
    <w:p>
      <w:pPr>
        <w:spacing w:after="0" w:line="215" w:lineRule="auto"/>
        <w:rPr>
          <w:sz w:val="20"/>
          <w:szCs w:val="20"/>
          <w:color w:val="auto"/>
        </w:rPr>
      </w:pPr>
      <w:r>
        <w:rPr>
          <w:rFonts w:ascii="Arial" w:cs="Arial" w:eastAsia="Arial" w:hAnsi="Arial"/>
          <w:sz w:val="17"/>
          <w:szCs w:val="17"/>
          <w:color w:val="auto"/>
        </w:rPr>
        <w:t>drug candidates, producing drug substance and drug product material for use in pre-clinical studies and clinical trials,</w:t>
      </w:r>
    </w:p>
    <w:p>
      <w:pPr>
        <w:spacing w:after="0" w:line="216" w:lineRule="auto"/>
        <w:rPr>
          <w:sz w:val="20"/>
          <w:szCs w:val="20"/>
          <w:color w:val="auto"/>
        </w:rPr>
      </w:pPr>
      <w:r>
        <w:rPr>
          <w:rFonts w:ascii="Arial" w:cs="Arial" w:eastAsia="Arial" w:hAnsi="Arial"/>
          <w:sz w:val="17"/>
          <w:szCs w:val="17"/>
          <w:color w:val="auto"/>
        </w:rPr>
        <w:t>conducting pre-clinical studies and commencing clinical development and pre-commercial activities. To date, we have</w:t>
      </w:r>
    </w:p>
    <w:p>
      <w:pPr>
        <w:spacing w:after="0" w:line="216" w:lineRule="auto"/>
        <w:rPr>
          <w:sz w:val="20"/>
          <w:szCs w:val="20"/>
          <w:color w:val="auto"/>
        </w:rPr>
      </w:pPr>
      <w:r>
        <w:rPr>
          <w:rFonts w:ascii="Arial" w:cs="Arial" w:eastAsia="Arial" w:hAnsi="Arial"/>
          <w:sz w:val="17"/>
          <w:szCs w:val="17"/>
          <w:color w:val="auto"/>
        </w:rPr>
        <w:t>financed our operations primarily through public offerings of our common stock, private placements of our convertible</w:t>
      </w:r>
    </w:p>
    <w:p>
      <w:pPr>
        <w:spacing w:after="0" w:line="229" w:lineRule="auto"/>
        <w:rPr>
          <w:sz w:val="20"/>
          <w:szCs w:val="20"/>
          <w:color w:val="auto"/>
        </w:rPr>
      </w:pPr>
      <w:r>
        <w:rPr>
          <w:rFonts w:ascii="Arial" w:cs="Arial" w:eastAsia="Arial" w:hAnsi="Arial"/>
          <w:sz w:val="16"/>
          <w:szCs w:val="16"/>
          <w:color w:val="auto"/>
        </w:rPr>
        <w:t>preferred stock, collaborations and a debt financing. Through March 31, 2019, we have received an aggregate of $1.1 billion</w:t>
      </w:r>
    </w:p>
    <w:p>
      <w:pPr>
        <w:spacing w:after="0" w:line="215" w:lineRule="auto"/>
        <w:rPr>
          <w:sz w:val="20"/>
          <w:szCs w:val="20"/>
          <w:color w:val="auto"/>
        </w:rPr>
      </w:pPr>
      <w:r>
        <w:rPr>
          <w:rFonts w:ascii="Arial" w:cs="Arial" w:eastAsia="Arial" w:hAnsi="Arial"/>
          <w:sz w:val="17"/>
          <w:szCs w:val="17"/>
          <w:color w:val="auto"/>
        </w:rPr>
        <w:t>from such transactions, including $887.4 million in aggregate gross proceeds from the sale of common stock in our May</w:t>
      </w:r>
    </w:p>
    <w:p>
      <w:pPr>
        <w:spacing w:after="0" w:line="176" w:lineRule="exact"/>
        <w:rPr>
          <w:sz w:val="20"/>
          <w:szCs w:val="20"/>
          <w:color w:val="auto"/>
        </w:rPr>
      </w:pPr>
      <w:r>
        <w:rPr>
          <w:rFonts w:ascii="Arial" w:cs="Arial" w:eastAsia="Arial" w:hAnsi="Arial"/>
          <w:sz w:val="18"/>
          <w:szCs w:val="18"/>
          <w:color w:val="auto"/>
        </w:rPr>
        <w:t>2015 initial public offering, or IPO, and December 2016, April 2017 and December 2017 follow</w:t>
      </w:r>
      <w:r>
        <w:rPr>
          <w:rFonts w:ascii="MS PGothic" w:cs="MS PGothic" w:eastAsia="MS PGothic" w:hAnsi="MS PGothic"/>
          <w:sz w:val="18"/>
          <w:szCs w:val="18"/>
          <w:color w:val="auto"/>
        </w:rPr>
        <w:t>‑</w:t>
      </w:r>
      <w:r>
        <w:rPr>
          <w:rFonts w:ascii="Arial" w:cs="Arial" w:eastAsia="Arial" w:hAnsi="Arial"/>
          <w:sz w:val="18"/>
          <w:szCs w:val="18"/>
          <w:color w:val="auto"/>
        </w:rPr>
        <w:t>on public offerings,</w:t>
      </w:r>
    </w:p>
    <w:p>
      <w:pPr>
        <w:spacing w:after="0" w:line="215" w:lineRule="auto"/>
        <w:rPr>
          <w:sz w:val="20"/>
          <w:szCs w:val="20"/>
          <w:color w:val="auto"/>
        </w:rPr>
      </w:pPr>
      <w:r>
        <w:rPr>
          <w:rFonts w:ascii="Arial" w:cs="Arial" w:eastAsia="Arial" w:hAnsi="Arial"/>
          <w:sz w:val="17"/>
          <w:szCs w:val="17"/>
          <w:color w:val="auto"/>
        </w:rPr>
        <w:t>$115.1 million in gross proceeds from the issuance of convertible preferred stock, $18.8 million of upfront and milestone</w:t>
      </w:r>
    </w:p>
    <w:p>
      <w:pPr>
        <w:spacing w:after="0" w:line="216" w:lineRule="auto"/>
        <w:rPr>
          <w:sz w:val="20"/>
          <w:szCs w:val="20"/>
          <w:color w:val="auto"/>
        </w:rPr>
      </w:pPr>
      <w:r>
        <w:rPr>
          <w:rFonts w:ascii="Arial" w:cs="Arial" w:eastAsia="Arial" w:hAnsi="Arial"/>
          <w:sz w:val="17"/>
          <w:szCs w:val="17"/>
          <w:color w:val="auto"/>
        </w:rPr>
        <w:t>payments under our former collaboration with Alexion Pharma Holding, or Alexion, $55.0 million in upfront and milestone</w:t>
      </w:r>
    </w:p>
    <w:p>
      <w:pPr>
        <w:spacing w:after="0" w:line="229" w:lineRule="auto"/>
        <w:rPr>
          <w:sz w:val="20"/>
          <w:szCs w:val="20"/>
          <w:color w:val="auto"/>
        </w:rPr>
      </w:pPr>
      <w:r>
        <w:rPr>
          <w:rFonts w:ascii="Arial" w:cs="Arial" w:eastAsia="Arial" w:hAnsi="Arial"/>
          <w:sz w:val="16"/>
          <w:szCs w:val="16"/>
          <w:color w:val="auto"/>
        </w:rPr>
        <w:t>payments under our existing collaboration with Roche, a $40.0 million upfront payment under our existing collaboration with</w:t>
      </w:r>
    </w:p>
    <w:p>
      <w:pPr>
        <w:spacing w:after="0" w:line="229" w:lineRule="auto"/>
        <w:rPr>
          <w:sz w:val="20"/>
          <w:szCs w:val="20"/>
          <w:color w:val="auto"/>
        </w:rPr>
      </w:pPr>
      <w:r>
        <w:rPr>
          <w:rFonts w:ascii="Arial" w:cs="Arial" w:eastAsia="Arial" w:hAnsi="Arial"/>
          <w:sz w:val="16"/>
          <w:szCs w:val="16"/>
          <w:color w:val="auto"/>
        </w:rPr>
        <w:t>CStone, and $10.0 million in gross proceeds from the debt financing. In addition, we received aggregate gross proceeds of</w:t>
      </w:r>
    </w:p>
    <w:p>
      <w:pPr>
        <w:spacing w:after="0"/>
        <w:rPr>
          <w:sz w:val="20"/>
          <w:szCs w:val="20"/>
          <w:color w:val="auto"/>
        </w:rPr>
      </w:pPr>
      <w:r>
        <w:rPr>
          <w:rFonts w:ascii="Arial" w:cs="Arial" w:eastAsia="Arial" w:hAnsi="Arial"/>
          <w:sz w:val="18"/>
          <w:szCs w:val="18"/>
          <w:color w:val="auto"/>
        </w:rPr>
        <w:t>approximately $345.0 million from our April 2019 follow-on public offering.</w:t>
      </w:r>
    </w:p>
    <w:p>
      <w:pPr>
        <w:spacing w:after="0" w:line="169"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Since inception, we have incurred significant operating losses. Our net losses were $87.4 million for the three months ended March 31, 2019 and $236.6 million, $148.1 million and $72.5 million for the years ended December 31, 2018, 2017 and 2016, respectively. As of March 31, 2019, we had an accumulated deficit of $685.0 million. Substantially all of our operating losses have resulted from costs incurred in connection with our research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1" w:lineRule="exact"/>
        <w:rPr>
          <w:sz w:val="20"/>
          <w:szCs w:val="20"/>
          <w:color w:val="auto"/>
        </w:rPr>
      </w:pPr>
      <w:r>
        <w:rPr>
          <w:rFonts w:ascii="Arial" w:cs="Arial" w:eastAsia="Arial" w:hAnsi="Arial"/>
          <w:sz w:val="16"/>
          <w:szCs w:val="16"/>
          <w:color w:val="auto"/>
        </w:rPr>
        <w:t>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66"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To date, we have not generated any revenue from our most advanced drug candidates, avapritinib, BLU-667, BLU-554 and BLU-782. We do not expect to generate significant revenue unless and until we obtain marketing approval of, and begin to sell, avapritinib, BLU-667, BLU-554 or one of our other drug candidates. We do not expect to generate any revenue from the sale of avapritinib until 2020, assuming we are able to file for regulatory approval for avapritinib in the United States in the second quarter of 2019 and receive marketing approval by 2020. Our ability to generate revenue depends on a number of factors, including, but not limited to, our ability to:</w:t>
      </w:r>
    </w:p>
    <w:p>
      <w:pPr>
        <w:spacing w:after="0" w:line="165"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third-party payors.</w:t>
      </w:r>
    </w:p>
    <w:p>
      <w:pPr>
        <w:spacing w:after="0" w:line="208"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development of pharmaceuticals is capital</w:t>
      </w:r>
      <w:r>
        <w:rPr>
          <w:rFonts w:ascii="MS PGothic" w:cs="MS PGothic" w:eastAsia="MS PGothic" w:hAnsi="MS PGothic"/>
          <w:sz w:val="17"/>
          <w:szCs w:val="17"/>
          <w:color w:val="auto"/>
        </w:rPr>
        <w:t>‑</w:t>
      </w:r>
      <w:r>
        <w:rPr>
          <w:rFonts w:ascii="Arial" w:cs="Arial" w:eastAsia="Arial" w:hAnsi="Arial"/>
          <w:sz w:val="17"/>
          <w:szCs w:val="17"/>
          <w:color w:val="auto"/>
        </w:rPr>
        <w:t>intensive. We are currently advancing our most advanced drug candidates, avapritinib, BLU-667, BLU-554 and BLU-782,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manufacturing and distribution are not the responsibility of Roche, CStone or other collaborators. We may also need to raise additional funds sooner if we choose to pursue additional indications or geographies for our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As of March 31, 2019, we had cash, cash equivalents and investments of $415.9 million. Based on our current plans, we believe that our existing cash, cash equivalents and investments, including the $327.2 million of estimated net proceeds from our April 2019 follow-on public offering but excluding any potential option fees and milestone payments under our existing collaborations with Roche and CStone, will be sufficient to enable us to fund our operating expenses and capital expenditure requirements into the middle of 2021. Our future capital requirements will depend on and could increase significantly as a result of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1300" w:right="100" w:hanging="325"/>
        <w:spacing w:after="0" w:line="22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or CStone or any collaboration agreements that we may enter into in the future;</w:t>
      </w:r>
    </w:p>
    <w:p>
      <w:pPr>
        <w:spacing w:after="0" w:line="163"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140" w:lineRule="exact"/>
        <w:rPr>
          <w:rFonts w:ascii="Arial" w:cs="Arial" w:eastAsia="Arial" w:hAnsi="Arial"/>
          <w:sz w:val="16"/>
          <w:szCs w:val="16"/>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Accordingly, we will need to continue to rely on additional financing to achieve our business objectives.</w:t>
      </w:r>
    </w:p>
    <w:p>
      <w:pPr>
        <w:spacing w:after="0" w:line="162"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6"/>
          <w:szCs w:val="16"/>
          <w:color w:val="auto"/>
        </w:rPr>
        <w:t>Any additional fundraising efforts may divert our management from their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Roche and CStone,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9"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b w:val="1"/>
          <w:bCs w:val="1"/>
          <w:i w:val="1"/>
          <w:iCs w:val="1"/>
          <w:color w:val="auto"/>
        </w:rPr>
        <w:t>We are very early in our development efforts with only four drug candidates in clinical development: avapritinib, BLU-667, BLU-554 and BLU-782. All of our other drug candidates are currently in pre-clinical or earlier stages of development. If we are unable to advance our other drug candidates to clinical development,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45"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color w:val="auto"/>
        </w:rPr>
        <w:t>We are very early in our development efforts with only four drug candidates in clinical development: avapritinib, BLU-667, BLU-554 and BLU-782. All of our other drug candidates are currently in pre-clinical or earlier stages of development. We have invested substantially all of our efforts and financial resources in the identification and pre-clinical development of kinase inhibitors, including the development of our drug candidates avapritinib, BLU-667, BLU-554 and BLU-782. Our ability to generate drug revenues, if ever, will depend heavily on the successful development and eventual commercialization of our drug candidates, which may never occur. We currently generate no revenues from sales of any drugs, and we do not expect to generate any revenue from the sale of avapritinib until 2020, assuming we are able to file for regulatory approval for avapritinib in the United States in the second quarter of 2019 and receive marketing approval by 2020</w:t>
      </w:r>
    </w:p>
    <w:p>
      <w:pPr>
        <w:spacing w:after="0" w:line="4" w:lineRule="exact"/>
        <w:rPr>
          <w:sz w:val="20"/>
          <w:szCs w:val="20"/>
          <w:color w:val="auto"/>
        </w:rPr>
      </w:pPr>
    </w:p>
    <w:p>
      <w:pPr>
        <w:ind w:right="20" w:firstLine="3"/>
        <w:spacing w:after="0" w:line="212" w:lineRule="auto"/>
        <w:tabs>
          <w:tab w:leader="none" w:pos="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color w:val="auto"/>
        </w:rPr>
        <w:t>and rapidly confirm mechanistic and clinical proof-of-concept,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PDGFRA D842V mutation, BLU-554 in order to identify HCC patients with FGFR4 pathway activation and BLU-667 in order to identify NSCLC patients with RET fusions. Companion diagnostic tests are subject to regulation as medical devices and must themselves be approved for marketing by the FDA or certain other foreign regulatory agencies before we may commercialize our drug candidates. The success of our most advanced drug candidates and other drug candidates will depend on several factors, including the following:</w:t>
      </w:r>
    </w:p>
    <w:p>
      <w:pPr>
        <w:spacing w:after="0" w:line="165" w:lineRule="exact"/>
        <w:rPr>
          <w:sz w:val="20"/>
          <w:szCs w:val="20"/>
          <w:color w:val="auto"/>
        </w:rPr>
      </w:pPr>
    </w:p>
    <w:p>
      <w:pPr>
        <w:ind w:left="1300" w:right="74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clinical trials for avapritinib, BLU-667, BLU-554 and BLU-782;</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196" w:lineRule="exact"/>
        <w:rPr>
          <w:rFonts w:ascii="Arial" w:cs="Arial" w:eastAsia="Arial" w:hAnsi="Arial"/>
          <w:sz w:val="17"/>
          <w:szCs w:val="17"/>
          <w:color w:val="auto"/>
        </w:rPr>
      </w:pPr>
    </w:p>
    <w:p>
      <w:pPr>
        <w:ind w:left="1300" w:right="7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development of any companion diagnostic tests for use with our current or future drug candidates;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161" w:lineRule="exact"/>
        <w:rPr>
          <w:rFonts w:ascii="Arial" w:cs="Arial" w:eastAsia="Arial" w:hAnsi="Arial"/>
          <w:sz w:val="18"/>
          <w:szCs w:val="18"/>
          <w:color w:val="auto"/>
        </w:rPr>
      </w:pPr>
    </w:p>
    <w:p>
      <w:pPr>
        <w:ind w:left="1300" w:right="9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300" w:right="2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we will be able to develop any drugs of commercial value.</w:t>
      </w:r>
    </w:p>
    <w:p>
      <w:pPr>
        <w:spacing w:after="0" w:line="185"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drug candidates avapritinib, BLU-667, BLU-554 and BLU-782 are in clinical development, and all of our other drug candidates are in pre-clinical development.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clinical trials and future clinical trials may not be successful.</w:t>
      </w:r>
    </w:p>
    <w:p>
      <w:pPr>
        <w:spacing w:after="0" w:line="149"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avapritinib, BLU-667, BLU-554, BLU-782 and our other drug candidates. We do not know whether any of our clinical trials for our drug candidates will be completed on schedule, if at all.</w:t>
      </w:r>
    </w:p>
    <w:p>
      <w:pPr>
        <w:spacing w:after="0" w:line="13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49" w:lineRule="exact"/>
        <w:rPr>
          <w:sz w:val="20"/>
          <w:szCs w:val="20"/>
          <w:color w:val="auto"/>
        </w:rPr>
      </w:pPr>
    </w:p>
    <w:p>
      <w:pPr>
        <w:ind w:left="1300" w:right="620" w:hanging="325"/>
        <w:spacing w:after="0" w:line="25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00" w:right="240" w:hanging="325"/>
        <w:spacing w:after="0" w:line="259"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3" w:lineRule="exact"/>
        <w:rPr>
          <w:rFonts w:ascii="Arial" w:cs="Arial" w:eastAsia="Arial" w:hAnsi="Arial"/>
          <w:sz w:val="16"/>
          <w:szCs w:val="16"/>
          <w:color w:val="auto"/>
        </w:rPr>
      </w:pPr>
    </w:p>
    <w:p>
      <w:pPr>
        <w:ind w:left="1300" w:right="160" w:hanging="325"/>
        <w:spacing w:after="0" w:line="22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jc w:val="both"/>
        <w:ind w:left="1300" w:right="100" w:hanging="325"/>
        <w:spacing w:after="0" w:line="23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47" w:lineRule="exact"/>
        <w:rPr>
          <w:rFonts w:ascii="Arial" w:cs="Arial" w:eastAsia="Arial" w:hAnsi="Arial"/>
          <w:sz w:val="17"/>
          <w:szCs w:val="17"/>
          <w:color w:val="auto"/>
        </w:rPr>
      </w:pPr>
    </w:p>
    <w:p>
      <w:pPr>
        <w:jc w:val="both"/>
        <w:ind w:left="1300" w:right="180" w:hanging="325"/>
        <w:spacing w:after="0" w:line="259"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3" w:lineRule="exact"/>
        <w:rPr>
          <w:rFonts w:ascii="Arial" w:cs="Arial" w:eastAsia="Arial" w:hAnsi="Arial"/>
          <w:sz w:val="16"/>
          <w:szCs w:val="16"/>
          <w:color w:val="auto"/>
        </w:rPr>
      </w:pPr>
    </w:p>
    <w:p>
      <w:pPr>
        <w:ind w:left="1300" w:right="120" w:hanging="325"/>
        <w:spacing w:after="0" w:line="23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7" w:lineRule="exact"/>
        <w:rPr>
          <w:rFonts w:ascii="Arial" w:cs="Arial" w:eastAsia="Arial" w:hAnsi="Arial"/>
          <w:sz w:val="17"/>
          <w:szCs w:val="17"/>
          <w:color w:val="auto"/>
        </w:rPr>
      </w:pPr>
    </w:p>
    <w:p>
      <w:pPr>
        <w:jc w:val="both"/>
        <w:ind w:left="1300" w:right="560" w:hanging="325"/>
        <w:spacing w:after="0" w:line="259"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9" w:lineRule="exact"/>
        <w:rPr>
          <w:rFonts w:ascii="Arial" w:cs="Arial" w:eastAsia="Arial" w:hAnsi="Arial"/>
          <w:sz w:val="18"/>
          <w:szCs w:val="18"/>
          <w:color w:val="auto"/>
        </w:rPr>
      </w:pPr>
    </w:p>
    <w:p>
      <w:pPr>
        <w:ind w:left="1300" w:right="820" w:hanging="325"/>
        <w:spacing w:after="0" w:line="23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the FDA may change the requirements for approval even after it has reviewed and commented on the design for our clinical trials.</w:t>
      </w:r>
    </w:p>
    <w:p>
      <w:pPr>
        <w:spacing w:after="0" w:line="154"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2"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spacing w:after="0" w:line="219" w:lineRule="auto"/>
        <w:rPr>
          <w:sz w:val="20"/>
          <w:szCs w:val="20"/>
          <w:color w:val="auto"/>
        </w:rPr>
      </w:pPr>
      <w:r>
        <w:rPr>
          <w:rFonts w:ascii="Arial" w:cs="Arial" w:eastAsia="Arial" w:hAnsi="Arial"/>
          <w:sz w:val="18"/>
          <w:szCs w:val="18"/>
          <w:color w:val="auto"/>
        </w:rPr>
        <w:t>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49"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39" w:firstLine="648"/>
        <w:spacing w:after="0" w:line="212"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299"/>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could delay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third parties to develop a companion diagnostic test for avapritinib in order to identify GIST patients with the PDGFRA D842V mutation, BLU-554 in order to identify HCC patients with FGFR4 pathway activation and BLU-667 in order to identify NSCLC patients with RET fusions. We plan to engage a third party to develop a companion diagnostic test for use in our planned COMPASS-2L trial, and we may engage third parties to develop companion diagnostic tests for use in some of our other current or future clinical trials. However, third parties may not be successful in developing such companion diagnostic tests, furthering the difficulty in identifying patients for our clinical trials.</w:t>
      </w:r>
    </w:p>
    <w:p>
      <w:pPr>
        <w:spacing w:after="0" w:line="121" w:lineRule="exact"/>
        <w:rPr>
          <w:sz w:val="20"/>
          <w:szCs w:val="20"/>
          <w:color w:val="auto"/>
        </w:rPr>
      </w:pPr>
    </w:p>
    <w:p>
      <w:pPr>
        <w:ind w:right="179" w:firstLine="648"/>
        <w:spacing w:after="0" w:line="244" w:lineRule="auto"/>
        <w:rPr>
          <w:sz w:val="20"/>
          <w:szCs w:val="20"/>
          <w:color w:val="auto"/>
        </w:rPr>
      </w:pPr>
      <w:r>
        <w:rPr>
          <w:rFonts w:ascii="Arial" w:cs="Arial" w:eastAsia="Arial" w:hAnsi="Arial"/>
          <w:sz w:val="16"/>
          <w:szCs w:val="16"/>
          <w:color w:val="auto"/>
        </w:rPr>
        <w:t>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7"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Our drug candidates and any related companion diagnostic tests, including the companion diagnostic tests that we are developing for avapritinib in order to identify GIST patients with the PDGFRA D842V mutation, BLU-554 in order to identify HCC patients with FGFR4 pathway activation and BLU-667 in order to identify NSCLC patients with RET fusions,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for avapritinib, BLU-667 and BLU-554.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3" w:lineRule="exact"/>
        <w:rPr>
          <w:sz w:val="20"/>
          <w:szCs w:val="20"/>
          <w:color w:val="auto"/>
        </w:rPr>
      </w:pPr>
    </w:p>
    <w:p>
      <w:pPr>
        <w:ind w:firstLine="648"/>
        <w:spacing w:after="0" w:line="181" w:lineRule="exact"/>
        <w:rPr>
          <w:sz w:val="20"/>
          <w:szCs w:val="20"/>
          <w:color w:val="auto"/>
        </w:rPr>
      </w:pPr>
      <w:r>
        <w:rPr>
          <w:rFonts w:ascii="Arial" w:cs="Arial" w:eastAsia="Arial" w:hAnsi="Arial"/>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Arial" w:cs="Arial" w:eastAsia="Arial" w:hAnsi="Arial"/>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9" w:lineRule="exact"/>
        <w:rPr>
          <w:sz w:val="20"/>
          <w:szCs w:val="20"/>
          <w:color w:val="auto"/>
        </w:rPr>
      </w:pPr>
    </w:p>
    <w:p>
      <w:pPr>
        <w:ind w:left="1300" w:right="18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1" w:lineRule="exact"/>
        <w:rPr>
          <w:rFonts w:ascii="Arial" w:cs="Arial" w:eastAsia="Arial" w:hAnsi="Arial"/>
          <w:sz w:val="18"/>
          <w:szCs w:val="18"/>
          <w:color w:val="auto"/>
        </w:rPr>
      </w:pPr>
    </w:p>
    <w:p>
      <w:pPr>
        <w:ind w:left="1300" w:right="320" w:hanging="325"/>
        <w:spacing w:after="0" w:line="22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63"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36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300" w:right="20" w:hanging="325"/>
        <w:spacing w:after="0" w:line="289"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124" w:lineRule="exact"/>
        <w:rPr>
          <w:rFonts w:ascii="Arial" w:cs="Arial" w:eastAsia="Arial" w:hAnsi="Arial"/>
          <w:sz w:val="16"/>
          <w:szCs w:val="16"/>
          <w:color w:val="auto"/>
        </w:rPr>
      </w:pPr>
    </w:p>
    <w:p>
      <w:pPr>
        <w:ind w:left="1300" w:right="160" w:hanging="325"/>
        <w:spacing w:after="0" w:line="22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63" w:lineRule="exact"/>
        <w:rPr>
          <w:rFonts w:ascii="Arial" w:cs="Arial" w:eastAsia="Arial" w:hAnsi="Arial"/>
          <w:sz w:val="18"/>
          <w:szCs w:val="18"/>
          <w:color w:val="auto"/>
        </w:rPr>
      </w:pPr>
    </w:p>
    <w:p>
      <w:pPr>
        <w:ind w:left="1300" w:right="760" w:hanging="325"/>
        <w:spacing w:after="0" w:line="25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6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approval and we or others identify undesirable side effects caused by such drug candidates (or any other similar drugs) after such approval, a number of potentially significant negative consequences could result, including:</w:t>
      </w:r>
    </w:p>
    <w:p>
      <w:pPr>
        <w:spacing w:after="0" w:line="162" w:lineRule="exact"/>
        <w:rPr>
          <w:sz w:val="20"/>
          <w:szCs w:val="20"/>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300" w:right="44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1" w:lineRule="exact"/>
        <w:rPr>
          <w:rFonts w:ascii="Arial" w:cs="Arial" w:eastAsia="Arial" w:hAnsi="Arial"/>
          <w:sz w:val="18"/>
          <w:szCs w:val="18"/>
          <w:color w:val="auto"/>
        </w:rPr>
      </w:pPr>
    </w:p>
    <w:p>
      <w:pPr>
        <w:ind w:left="1300" w:right="520" w:hanging="325"/>
        <w:spacing w:after="0" w:line="25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6" w:lineRule="exact"/>
        <w:rPr>
          <w:rFonts w:ascii="Arial" w:cs="Arial" w:eastAsia="Arial" w:hAnsi="Arial"/>
          <w:sz w:val="17"/>
          <w:szCs w:val="17"/>
          <w:color w:val="auto"/>
        </w:rPr>
      </w:pPr>
    </w:p>
    <w:p>
      <w:pPr>
        <w:jc w:val="both"/>
        <w:ind w:left="1300" w:right="200" w:hanging="325"/>
        <w:spacing w:after="0" w:line="259"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The FDA has granted breakthrough therapy designation to avapritinib for the treatment of patients with unresectable or metastatic GIST harboring the PDGFRA D842V mutation, and the FDA has granted breakthrough therapy designation to avapritinib for the treatment of advanced SM, including the subtypes of aggressive SM, SM with an associated hematologic neoplasm and mast cell leukemia. In addition, the FDA has granted breakthrough therapy designation to BLU-667 for the treatment of patients with RET-fusion positive NSCLC that has progressed following platinum-based chemotherapy and to BLU-667 for the treatment of patients with RET mutation-positive MTC that requires systemic treatment and for which there are no acceptable alternative treatments. We may also seek breakthrough therapy designation for some of our other drug candidates.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66"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20"/>
        <w:spacing w:after="0" w:line="258" w:lineRule="auto"/>
        <w:rPr>
          <w:sz w:val="20"/>
          <w:szCs w:val="20"/>
          <w:color w:val="auto"/>
        </w:rPr>
      </w:pPr>
      <w:r>
        <w:rPr>
          <w:rFonts w:ascii="Arial" w:cs="Arial" w:eastAsia="Arial" w:hAnsi="Arial"/>
          <w:sz w:val="17"/>
          <w:szCs w:val="17"/>
          <w:color w:val="auto"/>
        </w:rPr>
        <w:t>assure ultimate approval by the FDA. In addition, even if one or more of our drug candidates qualify as breakthrough therapies, the FDA may later decide that the drugs no longer meet the conditions for qualification.</w:t>
      </w:r>
    </w:p>
    <w:p>
      <w:pPr>
        <w:spacing w:after="0" w:line="147"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The FDA has granted fast track designation to avapritinib for (i) the treatment of patients with unresectable or metastatic GIST that progressed following treatment with imatinib and a second TKI and (ii) the treatment of patients with unresectable or metastatic GIST with the PDGFRA D842V mutation regardless of prior therapy, and the FDA has granted fast track designation to BLU-782 for the treatment of FOP. We may also seek fast track designation for some of our other drug candidates. If a drug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avapritinib for treatment of patients with unresectable or metastatic GIST that progressed following treatment with imatinib and a second tyrosine kinase inhibitor and for the treatment of patients with unresectable or metastatic GIST with the PDGFRA D842V mutation regardless of prior therapy, or even if we receive fast track designation for our other drug candidates, we may not experience a faster development process, review or approval. The FDA may withdraw fast track designation if it believes that the designation is no longer supported by data from our clinical development program.</w:t>
      </w:r>
    </w:p>
    <w:p>
      <w:pPr>
        <w:spacing w:after="0" w:line="166"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b w:val="1"/>
          <w:bCs w:val="1"/>
          <w:i w:val="1"/>
          <w:iCs w:val="1"/>
          <w:color w:val="auto"/>
        </w:rPr>
        <w:t>While we have received orphan drug designation for our most advanced drug candidates, avapritinib, BLU-667 and BLU-554,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 FDA has granted orphan drug designation to avapritinib for the treatment of GIST and the treatment of mastocytosis, to BLU</w:t>
      </w:r>
      <w:r>
        <w:rPr>
          <w:rFonts w:ascii="MS PGothic" w:cs="MS PGothic" w:eastAsia="MS PGothic" w:hAnsi="MS PGothic"/>
          <w:sz w:val="16"/>
          <w:szCs w:val="16"/>
          <w:color w:val="auto"/>
        </w:rPr>
        <w:t>‑</w:t>
      </w:r>
      <w:r>
        <w:rPr>
          <w:rFonts w:ascii="Arial" w:cs="Arial" w:eastAsia="Arial" w:hAnsi="Arial"/>
          <w:sz w:val="16"/>
          <w:szCs w:val="16"/>
          <w:color w:val="auto"/>
        </w:rPr>
        <w:t>554 for the treatment of HCC and to BLU-667 for the treatment of RET-rearranged NSCLC, JAK1/2-positive NSCLC or TRKC-positive NSCLC.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w:t>
      </w:r>
    </w:p>
    <w:p>
      <w:pPr>
        <w:spacing w:after="0" w:line="4" w:lineRule="exact"/>
        <w:rPr>
          <w:sz w:val="20"/>
          <w:szCs w:val="20"/>
          <w:color w:val="auto"/>
        </w:rPr>
      </w:pPr>
    </w:p>
    <w:p>
      <w:pPr>
        <w:ind w:right="240"/>
        <w:spacing w:after="0" w:line="185" w:lineRule="exact"/>
        <w:rPr>
          <w:sz w:val="20"/>
          <w:szCs w:val="20"/>
          <w:color w:val="auto"/>
        </w:rPr>
      </w:pPr>
      <w:r>
        <w:rPr>
          <w:rFonts w:ascii="Arial" w:cs="Arial" w:eastAsia="Arial" w:hAnsi="Arial"/>
          <w:sz w:val="18"/>
          <w:szCs w:val="18"/>
          <w:color w:val="auto"/>
        </w:rPr>
        <w:t>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w:t>
      </w:r>
    </w:p>
    <w:p>
      <w:pPr>
        <w:spacing w:after="0" w:line="164"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medicinal product designation after receiving the opinion of the EMA’s Committee for Orphan Medicinal Products on an orphan medicinal product designation application. Orphan medicinal product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6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avapritinib for the treatment of GIST and the treatment of mastocytosis,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BLU-667 for the treatment of RET-rearranged NSCLC, JAK1/2-positive NSCLC or TRKC-positive NSCLC, we may never receive such designations. Even if we receive orphan drug designation for any of our drug candidates, there is no guarantee that we will enjoy the benefits of those designations.</w:t>
      </w:r>
    </w:p>
    <w:p>
      <w:pPr>
        <w:spacing w:after="0" w:line="16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w:t>
      </w:r>
    </w:p>
    <w:p>
      <w:pPr>
        <w:spacing w:after="0" w:line="229" w:lineRule="auto"/>
        <w:rPr>
          <w:sz w:val="20"/>
          <w:szCs w:val="20"/>
          <w:color w:val="auto"/>
        </w:rPr>
      </w:pPr>
      <w:r>
        <w:rPr>
          <w:rFonts w:ascii="Arial" w:cs="Arial" w:eastAsia="Arial" w:hAnsi="Arial"/>
          <w:sz w:val="16"/>
          <w:szCs w:val="16"/>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Arial" w:cs="Arial" w:eastAsia="Arial" w:hAnsi="Arial"/>
          <w:sz w:val="18"/>
          <w:szCs w:val="18"/>
          <w:color w:val="auto"/>
        </w:rPr>
        <w:t>and other post</w:t>
      </w:r>
      <w:r>
        <w:rPr>
          <w:rFonts w:ascii="MS PGothic" w:cs="MS PGothic" w:eastAsia="MS PGothic" w:hAnsi="MS PGothic"/>
          <w:sz w:val="18"/>
          <w:szCs w:val="18"/>
          <w:color w:val="auto"/>
        </w:rPr>
        <w:t>‑</w:t>
      </w:r>
      <w:r>
        <w:rPr>
          <w:rFonts w:ascii="Arial" w:cs="Arial" w:eastAsia="Arial" w:hAnsi="Arial"/>
          <w:sz w:val="18"/>
          <w:szCs w:val="18"/>
          <w:color w:val="auto"/>
        </w:rPr>
        <w:t>marketing information and reports, registration, as well as continued compliance with current Good</w:t>
      </w:r>
    </w:p>
    <w:p>
      <w:pPr>
        <w:spacing w:after="0" w:line="204" w:lineRule="auto"/>
        <w:rPr>
          <w:sz w:val="20"/>
          <w:szCs w:val="20"/>
          <w:color w:val="auto"/>
        </w:rPr>
      </w:pPr>
      <w:r>
        <w:rPr>
          <w:rFonts w:ascii="Arial" w:cs="Arial" w:eastAsia="Arial" w:hAnsi="Arial"/>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Arial" w:cs="Arial" w:eastAsia="Arial" w:hAnsi="Arial"/>
          <w:sz w:val="17"/>
          <w:szCs w:val="17"/>
          <w:color w:val="auto"/>
        </w:rPr>
        <w:t>post</w:t>
      </w:r>
      <w:r>
        <w:rPr>
          <w:rFonts w:ascii="MS PGothic" w:cs="MS PGothic" w:eastAsia="MS PGothic" w:hAnsi="MS PGothic"/>
          <w:sz w:val="17"/>
          <w:szCs w:val="17"/>
          <w:color w:val="auto"/>
        </w:rPr>
        <w:t>‑</w:t>
      </w:r>
      <w:r>
        <w:rPr>
          <w:rFonts w:ascii="Arial" w:cs="Arial" w:eastAsia="Arial" w:hAnsi="Arial"/>
          <w:sz w:val="17"/>
          <w:szCs w:val="17"/>
          <w:color w:val="auto"/>
        </w:rPr>
        <w:t>approval. Any regulatory approvals that we receive for our drug candidates may also be subject to limitations on the</w:t>
      </w:r>
    </w:p>
    <w:p>
      <w:pPr>
        <w:spacing w:after="0" w:line="229" w:lineRule="auto"/>
        <w:rPr>
          <w:sz w:val="20"/>
          <w:szCs w:val="20"/>
          <w:color w:val="auto"/>
        </w:rPr>
      </w:pPr>
      <w:r>
        <w:rPr>
          <w:rFonts w:ascii="Arial" w:cs="Arial" w:eastAsia="Arial" w:hAnsi="Arial"/>
          <w:sz w:val="16"/>
          <w:szCs w:val="16"/>
          <w:color w:val="auto"/>
        </w:rPr>
        <w:t>approved indicated uses for which the drug may be marketed or to the conditions of approval, or contain requirements for</w:t>
      </w:r>
    </w:p>
    <w:p>
      <w:pPr>
        <w:spacing w:after="0" w:line="176" w:lineRule="exact"/>
        <w:rPr>
          <w:sz w:val="20"/>
          <w:szCs w:val="20"/>
          <w:color w:val="auto"/>
        </w:rPr>
      </w:pPr>
      <w:r>
        <w:rPr>
          <w:rFonts w:ascii="Arial" w:cs="Arial" w:eastAsia="Arial" w:hAnsi="Arial"/>
          <w:sz w:val="16"/>
          <w:szCs w:val="16"/>
          <w:color w:val="auto"/>
        </w:rPr>
        <w:t>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w:t>
      </w:r>
    </w:p>
    <w:p>
      <w:pPr>
        <w:spacing w:after="0" w:line="229" w:lineRule="auto"/>
        <w:rPr>
          <w:sz w:val="20"/>
          <w:szCs w:val="20"/>
          <w:color w:val="auto"/>
        </w:rPr>
      </w:pPr>
      <w:r>
        <w:rPr>
          <w:rFonts w:ascii="Arial" w:cs="Arial" w:eastAsia="Arial" w:hAnsi="Arial"/>
          <w:sz w:val="16"/>
          <w:szCs w:val="16"/>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Arial" w:cs="Arial" w:eastAsia="Arial" w:hAnsi="Arial"/>
          <w:sz w:val="17"/>
          <w:szCs w:val="17"/>
          <w:color w:val="auto"/>
        </w:rPr>
        <w:t>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w:t>
      </w:r>
    </w:p>
    <w:p>
      <w:pPr>
        <w:spacing w:after="0"/>
        <w:rPr>
          <w:sz w:val="20"/>
          <w:szCs w:val="20"/>
          <w:color w:val="auto"/>
        </w:rPr>
      </w:pPr>
      <w:r>
        <w:rPr>
          <w:rFonts w:ascii="Arial" w:cs="Arial" w:eastAsia="Arial" w:hAnsi="Arial"/>
          <w:sz w:val="18"/>
          <w:szCs w:val="18"/>
          <w:color w:val="auto"/>
        </w:rPr>
        <w:t>requirements, may result in, among other things:</w:t>
      </w:r>
    </w:p>
    <w:p>
      <w:pPr>
        <w:spacing w:after="0" w:line="169" w:lineRule="exact"/>
        <w:rPr>
          <w:sz w:val="20"/>
          <w:szCs w:val="20"/>
          <w:color w:val="auto"/>
        </w:rPr>
      </w:pPr>
    </w:p>
    <w:p>
      <w:pPr>
        <w:ind w:left="1300" w:right="400" w:hanging="325"/>
        <w:spacing w:after="0" w:line="23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19" w:lineRule="exact"/>
        <w:rPr>
          <w:sz w:val="20"/>
          <w:szCs w:val="20"/>
          <w:color w:val="auto"/>
        </w:rPr>
      </w:pPr>
    </w:p>
    <w:p>
      <w:pPr>
        <w:ind w:right="500" w:firstLine="648"/>
        <w:spacing w:after="0" w:line="259"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1"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8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The precise incidence and/or prevalence for GIST, SM, RET-altered NSCLC and MTC, HCC and FOP are unknown. Our projections of the number of people who have these diseases, the frequency of the genetic alterations targeted by our drug candidates and the subset of people with these diseases who have the potential to benefit from treatment with our drug candidates are based on estimates. We estimate that in the United States, France, Germany, Italy, Spain, the United Kingdom and Japan, or the Major Markets, there are approximately: 20,700 patients with SM, including 2,600 patients with advanced SM and 18,100 patients with ISM and SSM (regardless of severity of symptoms); 500 first-line patients with PDGFRA D842V mutant GIST (including resectable, metastatic and unresectable GIST); 7,500 second-line patients with GIST, including approximately 75%-80% of second-line patients with GIST who do not have a KIT V654A or T670I mutation; 7,400 third-line and later patients with GIST (regardless of alteration); 8,900 first- and second-line patients with RET-altered NSCLC; 1,300 patients with MTC (regardless of line of therapy or alteration); 25,900 first- and second-line patients with FGFR4-activated HCC; and 1,100 patients with FOP.</w:t>
      </w:r>
    </w:p>
    <w:p>
      <w:pPr>
        <w:spacing w:after="0" w:line="167"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The total addressable market opportunity for avapritinib for the treatment of patients with GIST and SM, BLU</w:t>
      </w:r>
      <w:r>
        <w:rPr>
          <w:rFonts w:ascii="MS PGothic" w:cs="MS PGothic" w:eastAsia="MS PGothic" w:hAnsi="MS PGothic"/>
          <w:sz w:val="16"/>
          <w:szCs w:val="16"/>
          <w:color w:val="auto"/>
        </w:rPr>
        <w:t>‑</w:t>
      </w:r>
      <w:r>
        <w:rPr>
          <w:rFonts w:ascii="Arial" w:cs="Arial" w:eastAsia="Arial" w:hAnsi="Arial"/>
          <w:sz w:val="16"/>
          <w:szCs w:val="16"/>
          <w:color w:val="auto"/>
        </w:rPr>
        <w:t>667 for the treatment of patients with RET-altered NSCLC and MTC, BLU</w:t>
      </w:r>
      <w:r>
        <w:rPr>
          <w:rFonts w:ascii="MS PGothic" w:cs="MS PGothic" w:eastAsia="MS PGothic" w:hAnsi="MS PGothic"/>
          <w:sz w:val="16"/>
          <w:szCs w:val="16"/>
          <w:color w:val="auto"/>
        </w:rPr>
        <w:t>‑</w:t>
      </w:r>
      <w:r>
        <w:rPr>
          <w:rFonts w:ascii="Arial" w:cs="Arial" w:eastAsia="Arial" w:hAnsi="Arial"/>
          <w:sz w:val="16"/>
          <w:szCs w:val="16"/>
          <w:color w:val="auto"/>
        </w:rPr>
        <w:t>554 for the treatment of patients with advanced HCC and BLU-782 for the treatment of patients with FOP will ultimately depend upon, among other things, the diagnosis criteria included in the final label for each of avapritinib, BLU-667, BLU-554 and BLU-782,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 candidates may develop mutations that confer resistance to treatment or new patients may become increasingly difficult to identify or gain access to, all of which would adversely affect our results of operations and our business.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we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40" w:firstLine="648"/>
        <w:spacing w:after="0" w:line="209" w:lineRule="auto"/>
        <w:rPr>
          <w:sz w:val="20"/>
          <w:szCs w:val="20"/>
          <w:color w:val="auto"/>
        </w:rPr>
      </w:pPr>
      <w:r>
        <w:rPr>
          <w:rFonts w:ascii="Arial" w:cs="Arial" w:eastAsia="Arial" w:hAnsi="Arial"/>
          <w:sz w:val="18"/>
          <w:szCs w:val="18"/>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PDGFRA D842V mutation, it may face competition from other drug candidates in development for these indications, including drug candidates in development by AB Science S.A., Allakos Inc., ARIAD Pharmaceuticals, Inc., a wholly-owned subsidiary of Takeda Pharmaceutical Company Limited, AROG Pharmaceuticals, Inc., Celldex Therapeutics, Inc., and Deciphera Pharmaceuticals, LLC.</w:t>
      </w:r>
    </w:p>
    <w:p>
      <w:pPr>
        <w:spacing w:after="0" w:line="169" w:lineRule="exact"/>
        <w:rPr>
          <w:sz w:val="20"/>
          <w:szCs w:val="20"/>
          <w:color w:val="auto"/>
        </w:rPr>
      </w:pPr>
    </w:p>
    <w:p>
      <w:pPr>
        <w:ind w:right="160" w:firstLine="648"/>
        <w:spacing w:after="0" w:line="185" w:lineRule="exact"/>
        <w:rPr>
          <w:sz w:val="20"/>
          <w:szCs w:val="20"/>
          <w:color w:val="auto"/>
        </w:rPr>
      </w:pPr>
      <w:r>
        <w:rPr>
          <w:rFonts w:ascii="Arial" w:cs="Arial" w:eastAsia="Arial" w:hAnsi="Arial"/>
          <w:sz w:val="17"/>
          <w:szCs w:val="17"/>
          <w:color w:val="auto"/>
        </w:rPr>
        <w:t>If BLU</w:t>
      </w:r>
      <w:r>
        <w:rPr>
          <w:rFonts w:ascii="MS PGothic" w:cs="MS PGothic" w:eastAsia="MS PGothic" w:hAnsi="MS PGothic"/>
          <w:sz w:val="17"/>
          <w:szCs w:val="17"/>
          <w:color w:val="auto"/>
        </w:rPr>
        <w:t>‑</w:t>
      </w:r>
      <w:r>
        <w:rPr>
          <w:rFonts w:ascii="Arial" w:cs="Arial" w:eastAsia="Arial" w:hAnsi="Arial"/>
          <w:sz w:val="17"/>
          <w:szCs w:val="17"/>
          <w:color w:val="auto"/>
        </w:rPr>
        <w:t>667 receives marketing approval for patients with RET-driven cancers, it may face competition from other drug candidates in development, including drug candidates in development by AstraZeneca plc, Boston Pharmaceuticals, Inc., Eisai Inc., Exelixis, Inc., GlaxoSmithKline plc, Loxo Oncology, Inc., a wholly-owned subsidiary of Eli Lilly and Company,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65"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If BLU-554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BLU-554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162"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If BLU-782 receives marketing approval for FOP, it may face competition from drug candidates in development by BioCryst Pharmaceuticals, Inc., Clementia Pharmaceuticals Inc., a wholly-owned subsidiary of Ipsen Pharma, La Jolla Pharmaceutical Company and Regeneron Pharmaceuticals, Inc.</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280" w:firstLine="648"/>
        <w:spacing w:after="0" w:line="289"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6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We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2" w:lineRule="exact"/>
        <w:rPr>
          <w:sz w:val="20"/>
          <w:szCs w:val="20"/>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avapritinib in order to identify GIST patients with the PDGFRA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 -667 in order to identify NSCLC patients with RET fusions, and we expect to develop a companion diagnostic test with a third party for avapritinib for our planned COMPASS-2L trial in order to select patients with PDGFRA- and KIT-driven second-line GIST who do not test positive for the KIT V654A or T670I mutations.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are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relying on third parties to design, manufacture, obtain regulatory approval for and commercialize the companion diagnostic tests for avapritinib, BLU-667 and BLU-554, and we expect to rely in whole or in part on third parties to design, manufacture, obtain regulatory approval for and commercialize any other companion diagnostic tests for our drug candidates. We and our collaborators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65" w:lineRule="exact"/>
        <w:rPr>
          <w:sz w:val="20"/>
          <w:szCs w:val="20"/>
          <w:color w:val="auto"/>
        </w:rPr>
      </w:pPr>
    </w:p>
    <w:p>
      <w:pPr>
        <w:ind w:left="1300" w:hanging="325"/>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07" w:lineRule="exact"/>
        <w:rPr>
          <w:rFonts w:ascii="Arial" w:cs="Arial" w:eastAsia="Arial" w:hAnsi="Arial"/>
          <w:sz w:val="16"/>
          <w:szCs w:val="16"/>
          <w:color w:val="auto"/>
        </w:rPr>
      </w:pPr>
    </w:p>
    <w:p>
      <w:pPr>
        <w:ind w:left="1300" w:right="760" w:hanging="325"/>
        <w:spacing w:after="0" w:line="235"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jc w:val="both"/>
        <w:ind w:left="1300" w:right="400" w:hanging="325"/>
        <w:spacing w:after="0" w:line="22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a companion diagnostic test; and</w:t>
      </w:r>
    </w:p>
    <w:p>
      <w:pPr>
        <w:spacing w:after="0" w:line="207" w:lineRule="exact"/>
        <w:rPr>
          <w:rFonts w:ascii="Arial" w:cs="Arial" w:eastAsia="Arial" w:hAnsi="Arial"/>
          <w:sz w:val="16"/>
          <w:szCs w:val="16"/>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Any delay or failure by us or our collaborators to develop or obtain regulatory approval of the companion diagnostic tests could delay or prevent approval of our drug candidates. If we, or any third parties that we have engaged or may in the future engage to assist us are unable to successfully develop and commercialize companion diagnostic tests for our drug candidates, or experience delays in doing so:</w:t>
      </w:r>
    </w:p>
    <w:p>
      <w:pPr>
        <w:spacing w:after="0" w:line="163" w:lineRule="exact"/>
        <w:rPr>
          <w:sz w:val="20"/>
          <w:szCs w:val="20"/>
          <w:color w:val="auto"/>
        </w:rPr>
      </w:pPr>
    </w:p>
    <w:p>
      <w:pPr>
        <w:ind w:left="1300" w:right="140" w:hanging="325"/>
        <w:spacing w:after="0" w:line="23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300" w:right="400" w:hanging="325"/>
        <w:spacing w:after="0" w:line="23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1300" w:hanging="325"/>
        <w:spacing w:after="0" w:line="22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4"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0"/>
        <w:spacing w:after="0" w:line="244" w:lineRule="auto"/>
        <w:rPr>
          <w:sz w:val="20"/>
          <w:szCs w:val="20"/>
          <w:color w:val="auto"/>
        </w:rPr>
      </w:pPr>
      <w:r>
        <w:rPr>
          <w:rFonts w:ascii="Arial" w:cs="Arial" w:eastAsia="Arial" w:hAnsi="Arial"/>
          <w:sz w:val="16"/>
          <w:szCs w:val="16"/>
          <w:color w:val="auto"/>
        </w:rPr>
        <w:t>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59"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3"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63"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6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Since its enactment, some of the provisions of the Affordable Care Act have yet to be fully implemented, while certain provisions have been subject to judicial, congressional, and executive challenges. In 2012, the U.S. Supreme Court upheld certain key aspects of the legislation, including a tax-based shared responsibility payment imposed on certain individuals who fail to maintain qualifying health coverage for all or part of a year, which is commonly the requirement that all individuals maintain health insurance coverage or pay a penalty, referred to as the “individual mandate.” Though Congress has not passed repeal legislation to date, the 2017 Tax Reform Act included a provision which repealed the individual mandate effective January 1, 2019. On December 14, 2018, a U.S. District Court judge in the Northern District of Texas ruled that the individual mandate portion of the Affordable Care Act is an essential and inseverable feature of the Affordable Care Act, and therefore because the mandate was repealed as part of the 2017 Tax Reform Act, the remaining provisions of the Affordable Care Act are invalid as well. The Trump administration and CMS have both stated that the ruling will have no immediate effect, and on December 30, 2018 the same judge issued an order staying the judgment pending appeal. It is unclear how this decision and any subsequent appeals and other efforts to repeal and replace the Affordable Care Act will impact the Affordable Care Act and our business.</w:t>
      </w:r>
    </w:p>
    <w:p>
      <w:pPr>
        <w:spacing w:after="0" w:line="169" w:lineRule="exact"/>
        <w:rPr>
          <w:sz w:val="20"/>
          <w:szCs w:val="20"/>
          <w:color w:val="auto"/>
        </w:rPr>
      </w:pPr>
    </w:p>
    <w:p>
      <w:pPr>
        <w:ind w:right="260" w:firstLine="648"/>
        <w:spacing w:after="0" w:line="216" w:lineRule="auto"/>
        <w:rPr>
          <w:sz w:val="20"/>
          <w:szCs w:val="20"/>
          <w:color w:val="auto"/>
        </w:rPr>
      </w:pPr>
      <w:r>
        <w:rPr>
          <w:rFonts w:ascii="Arial" w:cs="Arial" w:eastAsia="Arial" w:hAnsi="Arial"/>
          <w:sz w:val="18"/>
          <w:szCs w:val="18"/>
          <w:color w:val="auto"/>
        </w:rPr>
        <w:t>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In addition, the Centers for Medicare &amp; Medicaid Services, the agency responsible for administering the Medicare program, or CMS,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For example,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would allow Medicare Advantage plans to use pre-authorization and step therapy for six protected classes of drugs, with certain exceptions; permit plans to implement pre-authorization and step therapy in Medicare Part B drugs; change the definition of “negotiated prices”; and add a new definition of “price concession.” It is unclear whether these proposed changes will be accepted, and if so, what effect such changes will have on our business. Congress will likely continue to consider subsequent legislation and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257" w:lineRule="exact"/>
        <w:rPr>
          <w:sz w:val="20"/>
          <w:szCs w:val="20"/>
          <w:color w:val="auto"/>
        </w:rPr>
      </w:pPr>
    </w:p>
    <w:p>
      <w:pPr>
        <w:jc w:val="both"/>
        <w:ind w:right="40" w:firstLine="648"/>
        <w:spacing w:after="0" w:line="232" w:lineRule="auto"/>
        <w:rPr>
          <w:sz w:val="20"/>
          <w:szCs w:val="20"/>
          <w:color w:val="auto"/>
        </w:rPr>
      </w:pPr>
      <w:r>
        <w:rPr>
          <w:rFonts w:ascii="Arial" w:cs="Arial" w:eastAsia="Arial" w:hAnsi="Arial"/>
          <w:sz w:val="17"/>
          <w:szCs w:val="17"/>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79"/>
        <w:spacing w:after="0" w:line="224" w:lineRule="auto"/>
        <w:rPr>
          <w:sz w:val="20"/>
          <w:szCs w:val="20"/>
          <w:color w:val="auto"/>
        </w:rPr>
      </w:pPr>
      <w:r>
        <w:rPr>
          <w:rFonts w:ascii="Arial" w:cs="Arial" w:eastAsia="Arial" w:hAnsi="Arial"/>
          <w:sz w:val="18"/>
          <w:szCs w:val="18"/>
          <w:color w:val="auto"/>
        </w:rPr>
        <w:t>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Beyond challenges to the Affordable Care Act, other legislative measures have also been enacted that may impose additional pricing and product development pressures on our business. For example, on May 30, 2018, the Right to Try Act, was signed into law. Among other things, this law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66" w:lineRule="exact"/>
        <w:rPr>
          <w:sz w:val="20"/>
          <w:szCs w:val="20"/>
          <w:color w:val="auto"/>
        </w:rPr>
      </w:pPr>
    </w:p>
    <w:p>
      <w:pPr>
        <w:ind w:right="59" w:firstLine="648"/>
        <w:spacing w:after="0" w:line="237"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67" w:lineRule="exact"/>
        <w:rPr>
          <w:sz w:val="20"/>
          <w:szCs w:val="20"/>
          <w:color w:val="auto"/>
        </w:rPr>
      </w:pPr>
    </w:p>
    <w:p>
      <w:pPr>
        <w:ind w:right="119" w:firstLine="648"/>
        <w:spacing w:after="0" w:line="216"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62" w:lineRule="exact"/>
        <w:rPr>
          <w:sz w:val="20"/>
          <w:szCs w:val="20"/>
          <w:color w:val="auto"/>
        </w:rPr>
      </w:pPr>
    </w:p>
    <w:p>
      <w:pPr>
        <w:jc w:val="both"/>
        <w:ind w:right="99"/>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19"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59"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139"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1" w:lineRule="exact"/>
        <w:rPr>
          <w:rFonts w:ascii="Arial" w:cs="Arial" w:eastAsia="Arial" w:hAnsi="Arial"/>
          <w:sz w:val="18"/>
          <w:szCs w:val="18"/>
          <w:color w:val="auto"/>
        </w:rPr>
      </w:pPr>
    </w:p>
    <w:p>
      <w:pPr>
        <w:ind w:left="1300" w:right="479"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19"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ind w:right="99"/>
        <w:spacing w:after="0" w:line="284"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right="19" w:firstLine="648"/>
        <w:spacing w:after="0" w:line="237"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1300" w:right="119" w:hanging="325"/>
        <w:spacing w:after="0" w:line="226"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overtly or covertly,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5" w:lineRule="exact"/>
        <w:rPr>
          <w:rFonts w:ascii="Arial" w:cs="Arial" w:eastAsia="Arial" w:hAnsi="Arial"/>
          <w:sz w:val="17"/>
          <w:szCs w:val="17"/>
          <w:color w:val="auto"/>
        </w:rPr>
      </w:pPr>
    </w:p>
    <w:p>
      <w:pPr>
        <w:ind w:left="1300" w:right="79" w:hanging="325"/>
        <w:spacing w:after="0" w:line="241"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0" w:lineRule="exact"/>
        <w:rPr>
          <w:rFonts w:ascii="Arial" w:cs="Arial" w:eastAsia="Arial" w:hAnsi="Arial"/>
          <w:sz w:val="16"/>
          <w:szCs w:val="16"/>
          <w:color w:val="auto"/>
        </w:rPr>
      </w:pPr>
    </w:p>
    <w:p>
      <w:pPr>
        <w:ind w:left="1300" w:right="19" w:hanging="325"/>
        <w:spacing w:after="0" w:line="226"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40" w:hanging="325"/>
        <w:spacing w:after="0" w:line="21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62" w:lineRule="exact"/>
        <w:rPr>
          <w:rFonts w:ascii="Arial" w:cs="Arial" w:eastAsia="Arial" w:hAnsi="Arial"/>
          <w:sz w:val="18"/>
          <w:szCs w:val="18"/>
          <w:color w:val="auto"/>
        </w:rPr>
      </w:pPr>
    </w:p>
    <w:p>
      <w:pPr>
        <w:ind w:left="1300" w:right="100" w:hanging="325"/>
        <w:spacing w:after="0" w:line="226"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65" w:lineRule="exact"/>
        <w:rPr>
          <w:rFonts w:ascii="Arial" w:cs="Arial" w:eastAsia="Arial" w:hAnsi="Arial"/>
          <w:sz w:val="17"/>
          <w:szCs w:val="17"/>
          <w:color w:val="auto"/>
        </w:rPr>
      </w:pPr>
    </w:p>
    <w:p>
      <w:pPr>
        <w:ind w:left="1300" w:right="180" w:hanging="325"/>
        <w:spacing w:after="0" w:line="21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61" w:lineRule="exact"/>
        <w:rPr>
          <w:rFonts w:ascii="Arial" w:cs="Arial" w:eastAsia="Arial" w:hAnsi="Arial"/>
          <w:sz w:val="18"/>
          <w:szCs w:val="18"/>
          <w:color w:val="auto"/>
        </w:rPr>
      </w:pPr>
    </w:p>
    <w:p>
      <w:pPr>
        <w:ind w:left="1300" w:hanging="325"/>
        <w:spacing w:after="0" w:line="223"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2"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On January 31, 2019, the Department of Health and Human Services, or HHS, and HHS Office of Inspector General, or OIG, proposed an amendment to one of the existing anti-kickback safe harbors (42 C.F.R. 1001.952(h)) that would prohibit certain pharmaceutical manufacturers from offering rebates to pharmacy benefit managers in the Medicare Part D and Medicaid managed care programs. The proposed amendment would remove protection for "discounts" from anti-kickback enforcement action and would include criminal and civil penalties for knowingly and willfully offering, paying, soliciting or receiving remuneration to induce or reward the referral of business reimbursable under federal health care programs. At the same time, HHS also proposed to create a new safe harbor to protect point-of-sale discounts that drug manufacturers provide directly to patients and add another safe harbor to protect certain administrative fees paid by manufacturers to pharmacy benefit managers. If this proposal is adopted, in whole or in part, it could affect the pricing and reimbursement for any products for which we receive approval in the future.</w:t>
      </w:r>
    </w:p>
    <w:p>
      <w:pPr>
        <w:spacing w:after="0" w:line="164"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7" w:lineRule="exact"/>
        <w:rPr>
          <w:sz w:val="20"/>
          <w:szCs w:val="20"/>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44"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21"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55" w:lineRule="exact"/>
        <w:rPr>
          <w:rFonts w:ascii="Arial" w:cs="Arial" w:eastAsia="Arial" w:hAnsi="Arial"/>
          <w:sz w:val="17"/>
          <w:szCs w:val="17"/>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5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ind w:right="200" w:firstLine="648"/>
        <w:spacing w:after="0" w:line="232" w:lineRule="auto"/>
        <w:rPr>
          <w:sz w:val="20"/>
          <w:szCs w:val="20"/>
          <w:color w:val="auto"/>
        </w:rPr>
      </w:pPr>
      <w:r>
        <w:rPr>
          <w:rFonts w:ascii="Arial" w:cs="Arial" w:eastAsia="Arial" w:hAnsi="Arial"/>
          <w:sz w:val="17"/>
          <w:szCs w:val="17"/>
          <w:color w:val="auto"/>
        </w:rPr>
        <w:t>We may also be restricted under our collaboration agreements with Roche and CStone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In addition, our collaborations with Roche and CStone,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agreements with Roche and CStone or any future collaboration agreement could adversely affect us financially or harm our business reputation.</w:t>
      </w:r>
    </w:p>
    <w:p>
      <w:pPr>
        <w:spacing w:after="0" w:line="162"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5" w:lineRule="exact"/>
        <w:rPr>
          <w:sz w:val="20"/>
          <w:szCs w:val="20"/>
          <w:color w:val="auto"/>
        </w:rPr>
      </w:pPr>
    </w:p>
    <w:p>
      <w:pPr>
        <w:ind w:right="180" w:firstLine="648"/>
        <w:spacing w:after="0" w:line="223"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8"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do not have any long-term supply agreements with our contract manufacturers, and we purchase our required drug supply, including the drug product and drug substance used in our most advanced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61"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240" w:hanging="325"/>
        <w:spacing w:after="0" w:line="23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both"/>
        <w:ind w:right="160" w:firstLine="648"/>
        <w:spacing w:after="0" w:line="22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6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7"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or API, drug substance and drug product used in our most advanced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API, drug substance and drug product used in our most advanced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our most advanced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substance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4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substance and drug product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While we seek to maintain adequate inventory of the API, drug substance and drug product used in our drug candidates,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38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lead drug candidate, avapritinib, as well as our other most advanced drug candidates, BLU-667, BLU-554 and BLU-782,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68"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We own patents and patent applications that relate to avapritinib, BLU-667, BLU-554 and BLU-782 as composition of matter. We also own applications relating to composition of matter for KIT inhibitors with multiple compound families, composition of matter for FGFR4 inhibitors with multiple compound families, composition of matter for inhibitors of RET, including predicted RET resistance mutations, with multiple compound families, and composition of matter for inhibitors of ALK2, with multiple compound families, as well as methods of use for these novel compounds. The issued U.S. patent directed to avapritinib composition of matter has a statutory expiration date in 2034, the issued U.S. patent directed to BLU</w:t>
      </w:r>
      <w:r>
        <w:rPr>
          <w:rFonts w:ascii="MS PGothic" w:cs="MS PGothic" w:eastAsia="MS PGothic" w:hAnsi="MS PGothic"/>
          <w:sz w:val="17"/>
          <w:szCs w:val="17"/>
          <w:color w:val="auto"/>
        </w:rPr>
        <w:t>‑</w:t>
      </w:r>
      <w:r>
        <w:rPr>
          <w:rFonts w:ascii="Arial" w:cs="Arial" w:eastAsia="Arial" w:hAnsi="Arial"/>
          <w:sz w:val="17"/>
          <w:szCs w:val="17"/>
          <w:color w:val="auto"/>
        </w:rPr>
        <w:t>554 composition of matter has a statutory expiration date in 2034, the issued U.S. patent directed to BLU-667 composition of matter has a statutory expiration date in 2036 and the issued U.S. patent directed to BLU-782 composition of matter has a statutory expiration date in 2037.</w:t>
      </w:r>
    </w:p>
    <w:p>
      <w:pPr>
        <w:spacing w:after="0" w:line="162"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As of April 30, 2019, we owned nine issued U.S. patents, six issued foreign patents, including one European patent validated in 38 countries, two pending U.S. non-provisional patent applications, four pending U.S. provisional patent applications, 39 pending foreign patent applications and one pending Patent Cooperation Treaty, or PCT, international patent application directed to our KIT program, including avapritinib. Our foreign patent filings are in a number of jurisdictions, including Australia, Argentina, Brazil, Bolivia, Canada, China, the European Union, Hong Kong, Israel, India, Japan, Lebanon, Mexico, New Zealand, Pakistan, Paraguay, Philippines, Russia, Singapore, South Africa, South Korea, Taiwan, Uruguay and Venezuela. Any U.S. or ex</w:t>
      </w:r>
      <w:r>
        <w:rPr>
          <w:rFonts w:ascii="MS PGothic" w:cs="MS PGothic" w:eastAsia="MS PGothic" w:hAnsi="MS PGothic"/>
          <w:sz w:val="17"/>
          <w:szCs w:val="17"/>
          <w:color w:val="auto"/>
        </w:rPr>
        <w:t>‑</w:t>
      </w:r>
      <w:r>
        <w:rPr>
          <w:rFonts w:ascii="Arial" w:cs="Arial" w:eastAsia="Arial" w:hAnsi="Arial"/>
          <w:sz w:val="17"/>
          <w:szCs w:val="17"/>
          <w:color w:val="auto"/>
        </w:rPr>
        <w:t>U.S. patents issuing from the pending applications covering avapritinib will have a statutory expiration date between October 2034 and April 2040. Patent term adjustments or patent term extensions could result in later expiration dates.</w:t>
      </w:r>
    </w:p>
    <w:p>
      <w:pPr>
        <w:spacing w:after="0" w:line="162"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As of April 30, 2019, we owned five issued U.S. patents, two pending U.S. non-provisional patent applications, two pending PCT international applications, 28 pending foreign patent applications and three pending U.S. provisional patent applications directed to our RET program, including BLU-667. Our foreign patent filings are in a number of jurisdictions, including Argentina, Australia, Brazil, Canada, China, Chile, Ecuador, Eurasia, the European Union, Israel, India, Japan, Lebanon, Malaysia, Mexico, New Zealand, Philippines, Saudi Arabia, Singapore, South Africa, South Korea, Taiwan, Thailand, the United Arab Emirates and Uruguay. Any U.S. or ex-U.S. patent issuing from the pending applications covering BLU-667 will have a statutory expiration date between November 2036 and August 2039. Patent term adjustments or patent term extensions could result in later expiration dates.</w:t>
      </w:r>
    </w:p>
    <w:p>
      <w:pPr>
        <w:spacing w:after="0" w:line="168"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As of April 30, 2019, we owned eight issued U.S. patents, three pending U.S. non-provisional patent applications, ten issued foreign patents and 40 pending foreign patent applications directed to our FGFR4 program, including BLU-554. Our foreign patent filings are in a number of jurisdictions, including Argentina, Australia, Bolivia, Brazil, Canada, China, Egypt, the European Union, Hong Kong, Israel, India, Indonesia, Japan, South Korea, Lebanon, Mexico, New Zealand, Pakistan, Paraguay, Philippines, Russia, Singapore, South Africa, Taiwan, Thailand, Uruguay, Venezuela and Vietnam. Any U.S. or ex</w:t>
      </w:r>
      <w:r>
        <w:rPr>
          <w:rFonts w:ascii="MS PGothic" w:cs="MS PGothic" w:eastAsia="MS PGothic" w:hAnsi="MS PGothic"/>
          <w:sz w:val="16"/>
          <w:szCs w:val="16"/>
          <w:color w:val="auto"/>
        </w:rPr>
        <w:t>‑</w:t>
      </w:r>
      <w:r>
        <w:rPr>
          <w:rFonts w:ascii="Arial" w:cs="Arial" w:eastAsia="Arial" w:hAnsi="Arial"/>
          <w:sz w:val="16"/>
          <w:szCs w:val="16"/>
          <w:color w:val="auto"/>
        </w:rPr>
        <w:t>U.S. patent issuing from the pending applications covering BLU</w:t>
      </w:r>
      <w:r>
        <w:rPr>
          <w:rFonts w:ascii="MS PGothic" w:cs="MS PGothic" w:eastAsia="MS PGothic" w:hAnsi="MS PGothic"/>
          <w:sz w:val="16"/>
          <w:szCs w:val="16"/>
          <w:color w:val="auto"/>
        </w:rPr>
        <w:t>‑</w:t>
      </w:r>
      <w:r>
        <w:rPr>
          <w:rFonts w:ascii="Arial" w:cs="Arial" w:eastAsia="Arial" w:hAnsi="Arial"/>
          <w:sz w:val="16"/>
          <w:szCs w:val="16"/>
          <w:color w:val="auto"/>
        </w:rPr>
        <w:t>554 will have a statutory expiration date between July 2033 and September 2037. Patent term adjustments or patent term extensions could result in later expiration dates.</w:t>
      </w:r>
    </w:p>
    <w:p>
      <w:pPr>
        <w:spacing w:after="0" w:line="163" w:lineRule="exact"/>
        <w:rPr>
          <w:sz w:val="20"/>
          <w:szCs w:val="20"/>
          <w:color w:val="auto"/>
        </w:rPr>
      </w:pPr>
    </w:p>
    <w:p>
      <w:pPr>
        <w:ind w:right="220" w:firstLine="648"/>
        <w:spacing w:after="0" w:line="258" w:lineRule="auto"/>
        <w:rPr>
          <w:sz w:val="20"/>
          <w:szCs w:val="20"/>
          <w:color w:val="auto"/>
        </w:rPr>
      </w:pPr>
      <w:r>
        <w:rPr>
          <w:rFonts w:ascii="Arial" w:cs="Arial" w:eastAsia="Arial" w:hAnsi="Arial"/>
          <w:sz w:val="17"/>
          <w:szCs w:val="17"/>
          <w:color w:val="auto"/>
        </w:rPr>
        <w:t>As of April 30, 2019, we owned one issued U.S. patent, one pending U.S. non-provisional patent application, one pending PCT international application and 15 pending foreign patent applications directed to our ALK2 program,</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including BLU-782. Our foreign patent filings are in a number of jurisdictions, including Australia, Brazil, Canada, China, Chile, the European Union, Israel, Japan, South Korea, Mexico, New Zealand, Eurasia and South Africa. Any U.S. or ex-U.S. patent issuing from pending applications covering BLU-782 will have a statutory expiration date of April 2037. Patent term adjustments or patent term extensions could result in later expiration dates.</w:t>
      </w:r>
    </w:p>
    <w:p>
      <w:pPr>
        <w:spacing w:after="0" w:line="163"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April 30, 2019, we owned one issued U.S. patent, nine pending U.S. non-provisional patent applications, nine pending European Union patent applications and one issued European patent (validated in the UK) directed to this technology. Any U.S. or ex-U.S. patent issuing from the pending applications directed to this technology, if issued, will have statutory expiration dates ranging from 2034 to 2035.</w:t>
      </w:r>
    </w:p>
    <w:p>
      <w:pPr>
        <w:spacing w:after="0" w:line="162"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BLU-667, BLU-554, BLU-782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66" w:lineRule="exact"/>
        <w:rPr>
          <w:sz w:val="20"/>
          <w:szCs w:val="20"/>
          <w:color w:val="auto"/>
        </w:rPr>
      </w:pPr>
    </w:p>
    <w:p>
      <w:pPr>
        <w:ind w:right="20" w:firstLine="648"/>
        <w:spacing w:after="0" w:line="178" w:lineRule="exact"/>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BLU</w:t>
      </w:r>
      <w:r>
        <w:rPr>
          <w:rFonts w:ascii="MS PGothic" w:cs="MS PGothic" w:eastAsia="MS PGothic" w:hAnsi="MS PGothic"/>
          <w:sz w:val="16"/>
          <w:szCs w:val="16"/>
          <w:color w:val="auto"/>
        </w:rPr>
        <w:t>‑</w:t>
      </w:r>
      <w:r>
        <w:rPr>
          <w:rFonts w:ascii="Arial" w:cs="Arial" w:eastAsia="Arial" w:hAnsi="Arial"/>
          <w:sz w:val="16"/>
          <w:szCs w:val="16"/>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6"/>
          <w:szCs w:val="16"/>
          <w:color w:val="auto"/>
        </w:rPr>
        <w:t>‑</w:t>
      </w:r>
      <w:r>
        <w:rPr>
          <w:rFonts w:ascii="Arial" w:cs="Arial" w:eastAsia="Arial" w:hAnsi="Arial"/>
          <w:sz w:val="16"/>
          <w:szCs w:val="16"/>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7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Therefore, these patents and applications may not be prosecuted and enforced in a manner consistent with the best interests of our business.</w:t>
      </w:r>
    </w:p>
    <w:p>
      <w:pPr>
        <w:spacing w:after="0" w:line="162"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ind w:right="300" w:firstLine="648"/>
        <w:spacing w:after="0" w:line="23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1" w:lineRule="exact"/>
        <w:rPr>
          <w:sz w:val="20"/>
          <w:szCs w:val="20"/>
          <w:color w:val="auto"/>
        </w:rPr>
      </w:pPr>
      <w:r>
        <w:rPr>
          <w:rFonts w:ascii="Arial" w:cs="Arial" w:eastAsia="Arial" w:hAnsi="Arial"/>
          <w:sz w:val="17"/>
          <w:szCs w:val="17"/>
          <w:color w:val="auto"/>
        </w:rPr>
        <w:t>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BLU</w:t>
      </w:r>
      <w:r>
        <w:rPr>
          <w:rFonts w:ascii="MS PGothic" w:cs="MS PGothic" w:eastAsia="MS PGothic" w:hAnsi="MS PGothic"/>
          <w:sz w:val="17"/>
          <w:szCs w:val="17"/>
          <w:color w:val="auto"/>
        </w:rPr>
        <w:t>‑</w:t>
      </w:r>
      <w:r>
        <w:rPr>
          <w:rFonts w:ascii="Arial" w:cs="Arial" w:eastAsia="Arial" w:hAnsi="Arial"/>
          <w:sz w:val="17"/>
          <w:szCs w:val="17"/>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7"/>
          <w:szCs w:val="17"/>
          <w:color w:val="auto"/>
        </w:rPr>
        <w:t>‑</w:t>
      </w:r>
      <w:r>
        <w:rPr>
          <w:rFonts w:ascii="Arial" w:cs="Arial" w:eastAsia="Arial" w:hAnsi="Arial"/>
          <w:sz w:val="17"/>
          <w:szCs w:val="17"/>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2"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5"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from marketing our drugs in one or more foreign countries. Any of these outcomes would have a materially adverse effect on our business.</w:t>
      </w:r>
    </w:p>
    <w:p>
      <w:pPr>
        <w:spacing w:after="0" w:line="16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399"/>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39" w:firstLine="648"/>
        <w:spacing w:after="0" w:line="220"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9" w:lineRule="exact"/>
        <w:rPr>
          <w:sz w:val="20"/>
          <w:szCs w:val="20"/>
          <w:color w:val="auto"/>
        </w:rPr>
      </w:pPr>
    </w:p>
    <w:p>
      <w:pPr>
        <w:ind w:right="59" w:firstLine="648"/>
        <w:spacing w:after="0" w:line="239"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6" w:lineRule="exact"/>
        <w:rPr>
          <w:sz w:val="20"/>
          <w:szCs w:val="20"/>
          <w:color w:val="auto"/>
        </w:rPr>
      </w:pPr>
    </w:p>
    <w:p>
      <w:pPr>
        <w:ind w:right="159" w:firstLine="648"/>
        <w:spacing w:after="0" w:line="226"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trade secrets are not adequately protected so as to protect our market against competitors’ drugs, our competitive position could be adversely affected, as could our business.</w:t>
      </w:r>
    </w:p>
    <w:p>
      <w:pPr>
        <w:spacing w:after="0" w:line="162"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2"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Operating Officer, Michael Landsittel, our Chief Financial Officer, Tracey McCain, our Chief Legal and Compliance Officer, Christopher Murray, our Senior Vice President of Technical Operations, and Christina Rossi, our Chief Commercial Officer, as well as the other principal members of our management, scientific and clinical team. Although we have entered into employment agreements with our executive officers,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As of April 30, 2019, we had 239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6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Given the lack of comparable precedent, it is unclear what financial, trade and legal implications the withdrawal of the United Kingdom from the European Union would have and how such withdrawal would affect us.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w:t>
      </w:r>
    </w:p>
    <w:p>
      <w:pPr>
        <w:spacing w:after="0" w:line="164"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For example, Brexit could result in the United Kingdom or the European Union significantly altering its regulations affecting the clearance or approval of our product candidates that are developed in the United Kingdom. Any new regulations could add time and expense to the conduct of our business, as well as the process by which our products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1" w:lineRule="exact"/>
        <w:rPr>
          <w:sz w:val="20"/>
          <w:szCs w:val="20"/>
          <w:color w:val="auto"/>
        </w:rPr>
      </w:pPr>
    </w:p>
    <w:p>
      <w:pPr>
        <w:ind w:right="300"/>
        <w:spacing w:after="0" w:line="284" w:lineRule="auto"/>
        <w:rPr>
          <w:sz w:val="20"/>
          <w:szCs w:val="20"/>
          <w:color w:val="auto"/>
        </w:rPr>
      </w:pPr>
      <w:r>
        <w:rPr>
          <w:rFonts w:ascii="Arial" w:cs="Arial" w:eastAsia="Arial" w:hAnsi="Arial"/>
          <w:sz w:val="15"/>
          <w:szCs w:val="15"/>
          <w:b w:val="1"/>
          <w:bCs w:val="1"/>
          <w:i w:val="1"/>
          <w:iCs w:val="1"/>
          <w:color w:val="auto"/>
        </w:rPr>
        <w:t>Our internal computer systems, or those of our third-party collaborators, service providers, contractors or consultants, may fail or suffer security breaches, which could result in a material disruption of our drug candidates’ development programs and have a material adverse effect on our reputation, business, financial condition or results of operations.</w:t>
      </w:r>
    </w:p>
    <w:p>
      <w:pPr>
        <w:spacing w:after="0" w:line="130"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 candidates’ development programs and significant reputational, financial, legal, regulatory, business or operational harm.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66"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65" w:lineRule="exact"/>
        <w:rPr>
          <w:sz w:val="20"/>
          <w:szCs w:val="20"/>
          <w:color w:val="auto"/>
        </w:rPr>
      </w:pPr>
    </w:p>
    <w:p>
      <w:pPr>
        <w:jc w:val="both"/>
        <w:ind w:right="400"/>
        <w:spacing w:after="0" w:line="259"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Privacy and data security have become significant issues in the United States,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or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will be subject to the California Consumer Privacy Act, which takes effect January 1, 2020 and will impose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62"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2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6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5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85"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Our stock price has been and may in the future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May 6, 2019. As a result of this volatility, our stockholders could incur substantial losses. In addition, the market price for our common stock may be influenced by many factors, including:</w:t>
      </w:r>
    </w:p>
    <w:p>
      <w:pPr>
        <w:spacing w:after="0" w:line="165" w:lineRule="exact"/>
        <w:rPr>
          <w:sz w:val="20"/>
          <w:szCs w:val="20"/>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96" w:lineRule="exact"/>
        <w:rPr>
          <w:rFonts w:ascii="Arial" w:cs="Arial" w:eastAsia="Arial" w:hAnsi="Arial"/>
          <w:sz w:val="17"/>
          <w:szCs w:val="17"/>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96" w:lineRule="exact"/>
        <w:rPr>
          <w:rFonts w:ascii="Arial" w:cs="Arial" w:eastAsia="Arial" w:hAnsi="Arial"/>
          <w:sz w:val="17"/>
          <w:szCs w:val="17"/>
          <w:color w:val="auto"/>
        </w:rPr>
      </w:pPr>
    </w:p>
    <w:p>
      <w:pPr>
        <w:ind w:left="1300" w:right="128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5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6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62"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84" w:lineRule="exact"/>
        <w:rPr>
          <w:rFonts w:ascii="Arial" w:cs="Arial" w:eastAsia="Arial" w:hAnsi="Arial"/>
          <w:sz w:val="18"/>
          <w:szCs w:val="18"/>
          <w:color w:val="auto"/>
        </w:rPr>
      </w:pPr>
    </w:p>
    <w:p>
      <w:pPr>
        <w:ind w:left="1300" w:right="220" w:hanging="325"/>
        <w:spacing w:after="0" w:line="23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62"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3"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2"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3" w:lineRule="exact"/>
        <w:rPr>
          <w:sz w:val="20"/>
          <w:szCs w:val="20"/>
          <w:color w:val="auto"/>
        </w:rPr>
      </w:pPr>
    </w:p>
    <w:p>
      <w:pPr>
        <w:ind w:right="400"/>
        <w:spacing w:after="0" w:line="324"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2" w:lineRule="exact"/>
        <w:rPr>
          <w:sz w:val="20"/>
          <w:szCs w:val="20"/>
          <w:color w:val="auto"/>
        </w:rPr>
      </w:pPr>
    </w:p>
    <w:p>
      <w:pPr>
        <w:ind w:right="120" w:firstLine="648"/>
        <w:spacing w:after="0" w:line="212"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65"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6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4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2018, we had federal net operating loss carryforwards of approximately $464.9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60" w:type="dxa"/>
            <w:vAlign w:val="bottom"/>
            <w:gridSpan w:val="6"/>
          </w:tcPr>
          <w:p>
            <w:pPr>
              <w:ind w:left="26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1"/>
        </w:trPr>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60" w:type="dxa"/>
            <w:vAlign w:val="bottom"/>
            <w:tcBorders>
              <w:bottom w:val="single" w:sz="8" w:color="auto"/>
            </w:tcBorders>
            <w:gridSpan w:val="6"/>
          </w:tcPr>
          <w:p>
            <w:pPr>
              <w:ind w:left="3060"/>
              <w:spacing w:after="0"/>
              <w:rPr>
                <w:sz w:val="20"/>
                <w:szCs w:val="20"/>
                <w:color w:val="auto"/>
              </w:rPr>
            </w:pPr>
            <w:r>
              <w:rPr>
                <w:rFonts w:ascii="Arial" w:cs="Arial" w:eastAsia="Arial" w:hAnsi="Arial"/>
                <w:sz w:val="18"/>
                <w:szCs w:val="18"/>
                <w:b w:val="1"/>
                <w:bCs w:val="1"/>
                <w:color w:val="auto"/>
              </w:rPr>
              <w:t>Description of Exhibit</w:t>
            </w:r>
          </w:p>
        </w:tc>
      </w:tr>
      <w:tr>
        <w:trPr>
          <w:trHeight w:val="156"/>
        </w:trPr>
        <w:tc>
          <w:tcPr>
            <w:tcW w:w="880" w:type="dxa"/>
            <w:vAlign w:val="bottom"/>
          </w:tcPr>
          <w:p>
            <w:pPr>
              <w:spacing w:after="0" w:line="156"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gridSpan w:val="6"/>
          </w:tcPr>
          <w:p>
            <w:pPr>
              <w:spacing w:after="0" w:line="15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Certification of Principal Executive Officer pursuant to Rule 13a-14(a) or Rule 15d-14(a) of the Exchange</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79">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2"/>
                <w:szCs w:val="22"/>
                <w:color w:val="auto"/>
              </w:rPr>
            </w:pPr>
          </w:p>
        </w:tc>
        <w:tc>
          <w:tcPr>
            <w:tcW w:w="7880" w:type="dxa"/>
            <w:vAlign w:val="bottom"/>
            <w:gridSpan w:val="7"/>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Certification of Principal Financial Officer pursuant to Rule 13a-14(a) or Rule 15d-14(a) of the Exchange</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0" w:type="dxa"/>
            <w:vAlign w:val="bottom"/>
            <w:tcBorders>
              <w:top w:val="single" w:sz="8" w:color="0000EE"/>
            </w:tcBorders>
            <w:gridSpan w:val="4"/>
          </w:tcPr>
          <w:p>
            <w:pPr>
              <w:spacing w:after="0" w:line="156" w:lineRule="exact"/>
              <w:rPr>
                <w:rFonts w:ascii="Arial" w:cs="Arial" w:eastAsia="Arial" w:hAnsi="Arial"/>
                <w:sz w:val="18"/>
                <w:szCs w:val="18"/>
                <w:color w:val="0000EE"/>
              </w:rPr>
            </w:pPr>
            <w:hyperlink w:anchor="page80">
              <w:r>
                <w:rPr>
                  <w:rFonts w:ascii="Arial" w:cs="Arial" w:eastAsia="Arial" w:hAnsi="Arial"/>
                  <w:sz w:val="18"/>
                  <w:szCs w:val="18"/>
                  <w:color w:val="0000EE"/>
                </w:rPr>
                <w:t>Act, as adopted pursuant to Section 302 of the Sarbanes-Oxley Act of 2002</w:t>
              </w:r>
            </w:hyperlink>
          </w:p>
        </w:tc>
        <w:tc>
          <w:tcPr>
            <w:tcW w:w="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2"/>
                <w:szCs w:val="22"/>
                <w:color w:val="auto"/>
              </w:rPr>
            </w:pPr>
          </w:p>
        </w:tc>
        <w:tc>
          <w:tcPr>
            <w:tcW w:w="7880" w:type="dxa"/>
            <w:vAlign w:val="bottom"/>
            <w:gridSpan w:val="7"/>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Certifications of Principal Executive Officer and Principal Financial Officer pursuant to 18 U.S.C. Section</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8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81">
              <w:r>
                <w:rPr>
                  <w:rFonts w:ascii="Arial" w:cs="Arial" w:eastAsia="Arial" w:hAnsi="Arial"/>
                  <w:sz w:val="18"/>
                  <w:szCs w:val="18"/>
                  <w:color w:val="0000EE"/>
                </w:rPr>
                <w:t>1350, as adopted pursuant to Section 906 of the Sarbanes-Oxley Act of 2002</w:t>
              </w:r>
            </w:hyperlink>
          </w:p>
        </w:tc>
        <w:tc>
          <w:tcPr>
            <w:tcW w:w="200" w:type="dxa"/>
            <w:vAlign w:val="bottom"/>
          </w:tcPr>
          <w:p>
            <w:pPr>
              <w:spacing w:after="0"/>
              <w:rPr>
                <w:sz w:val="13"/>
                <w:szCs w:val="13"/>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5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360" w:type="dxa"/>
            <w:vAlign w:val="bottom"/>
            <w:gridSpan w:val="4"/>
          </w:tcPr>
          <w:p>
            <w:pPr>
              <w:spacing w:after="0"/>
              <w:rPr>
                <w:sz w:val="24"/>
                <w:szCs w:val="24"/>
                <w:color w:val="auto"/>
              </w:rPr>
            </w:pP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14408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40" w:hanging="197"/>
        <w:spacing w:after="0" w:line="219"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3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ind w:left="478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8" w:name="page79"/>
    <w:bookmarkEnd w:id="78"/>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9" w:name="page80"/>
    <w:bookmarkEnd w:id="79"/>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155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Chief Financial Officer</w:t>
      </w: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0" w:name="page81"/>
    <w:bookmarkEnd w:id="80"/>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left="160" w:right="21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March 31, 2019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wp:posOffset>
            </wp:positionV>
            <wp:extent cx="25469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Jeffrey W. Albers</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-635</wp:posOffset>
            </wp:positionV>
            <wp:extent cx="25558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Michael Landsittel</w:t>
      </w:r>
    </w:p>
    <w:p>
      <w:pPr>
        <w:ind w:left="4860"/>
        <w:spacing w:after="0" w:line="204" w:lineRule="auto"/>
        <w:rPr>
          <w:sz w:val="20"/>
          <w:szCs w:val="20"/>
          <w:color w:val="auto"/>
        </w:rPr>
      </w:pPr>
      <w:r>
        <w:rPr>
          <w:rFonts w:ascii="Arial" w:cs="Arial" w:eastAsia="Arial" w:hAnsi="Arial"/>
          <w:sz w:val="18"/>
          <w:szCs w:val="18"/>
          <w:color w:val="auto"/>
        </w:rPr>
        <w:t>Chief Financial Officer</w:t>
      </w:r>
    </w:p>
    <w:p>
      <w:pPr>
        <w:ind w:left="48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2019-12-28T12:35:57Z</dcterms:created>
  <dcterms:modified xsi:type="dcterms:W3CDTF">2019-12-28T12:35:57Z</dcterms:modified>
</cp:coreProperties>
</file>