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85090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3" w:lineRule="exact"/>
        <w:rPr>
          <w:sz w:val="24"/>
          <w:szCs w:val="24"/>
          <w:color w:val="auto"/>
        </w:rPr>
      </w:pPr>
    </w:p>
    <w:p>
      <w:pPr>
        <w:ind w:left="3740" w:right="1860" w:hanging="3115"/>
        <w:spacing w:after="0" w:line="385" w:lineRule="auto"/>
        <w:tabs>
          <w:tab w:leader="none" w:pos="125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159" w:lineRule="exact"/>
        <w:rPr>
          <w:sz w:val="24"/>
          <w:szCs w:val="24"/>
          <w:color w:val="auto"/>
        </w:rPr>
      </w:pPr>
    </w:p>
    <w:p>
      <w:pPr>
        <w:ind w:left="1260" w:hanging="635"/>
        <w:spacing w:after="0"/>
        <w:tabs>
          <w:tab w:leader="none" w:pos="1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3300" w:type="dxa"/>
        <w:tblCellMar>
          <w:top w:w="0" w:type="dxa"/>
          <w:left w:w="0" w:type="dxa"/>
          <w:bottom w:w="0" w:type="dxa"/>
          <w:right w:w="0" w:type="dxa"/>
        </w:tblCellMar>
      </w:tblPr>
      <w:tr>
        <w:trPr>
          <w:trHeight w:val="161"/>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For the transition period from</w:t>
            </w:r>
          </w:p>
        </w:tc>
        <w:tc>
          <w:tcPr>
            <w:tcW w:w="72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w:t>
            </w:r>
          </w:p>
        </w:tc>
        <w:tc>
          <w:tcPr>
            <w:tcW w:w="720" w:type="dxa"/>
            <w:vAlign w:val="bottom"/>
            <w:tcBorders>
              <w:bottom w:val="single" w:sz="8" w:color="auto"/>
            </w:tcBorders>
          </w:tcPr>
          <w:p>
            <w:pPr>
              <w:spacing w:after="0"/>
              <w:rPr>
                <w:sz w:val="13"/>
                <w:szCs w:val="13"/>
                <w:color w:val="auto"/>
              </w:rPr>
            </w:pPr>
          </w:p>
        </w:tc>
      </w:tr>
      <w:tr>
        <w:trPr>
          <w:trHeight w:val="213"/>
        </w:trPr>
        <w:tc>
          <w:tcPr>
            <w:tcW w:w="33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Commission File Number: 001-37359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74930</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93345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1" w:lineRule="exact"/>
        <w:rPr>
          <w:sz w:val="24"/>
          <w:szCs w:val="24"/>
          <w:color w:val="auto"/>
        </w:rPr>
      </w:pPr>
    </w:p>
    <w:tbl>
      <w:tblPr>
        <w:tblLayout w:type="fixed"/>
        <w:tblInd w:w="1460" w:type="dxa"/>
        <w:tblCellMar>
          <w:top w:w="0" w:type="dxa"/>
          <w:left w:w="0" w:type="dxa"/>
          <w:bottom w:w="0" w:type="dxa"/>
          <w:right w:w="0" w:type="dxa"/>
        </w:tblCellMar>
      </w:tblPr>
      <w:tr>
        <w:trPr>
          <w:trHeight w:val="176"/>
        </w:trPr>
        <w:tc>
          <w:tcPr>
            <w:tcW w:w="4000" w:type="dxa"/>
            <w:vAlign w:val="bottom"/>
          </w:tcPr>
          <w:p>
            <w:pPr>
              <w:jc w:val="center"/>
              <w:ind w:right="16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26-3632015</w:t>
            </w:r>
          </w:p>
        </w:tc>
        <w:tc>
          <w:tcPr>
            <w:tcW w:w="0" w:type="dxa"/>
            <w:vAlign w:val="bottom"/>
          </w:tcPr>
          <w:p>
            <w:pPr>
              <w:spacing w:after="0"/>
              <w:rPr>
                <w:sz w:val="1"/>
                <w:szCs w:val="1"/>
                <w:color w:val="auto"/>
              </w:rPr>
            </w:pPr>
          </w:p>
        </w:tc>
      </w:tr>
      <w:tr>
        <w:trPr>
          <w:trHeight w:val="176"/>
        </w:trPr>
        <w:tc>
          <w:tcPr>
            <w:tcW w:w="4000" w:type="dxa"/>
            <w:vAlign w:val="bottom"/>
          </w:tcPr>
          <w:p>
            <w:pPr>
              <w:jc w:val="center"/>
              <w:ind w:right="1688"/>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2820" w:type="dxa"/>
            <w:vAlign w:val="bottom"/>
          </w:tcPr>
          <w:p>
            <w:pPr>
              <w:jc w:val="center"/>
              <w:ind w:left="166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89"/>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2820" w:type="dxa"/>
            <w:vAlign w:val="bottom"/>
          </w:tcPr>
          <w:p>
            <w:pPr>
              <w:jc w:val="center"/>
              <w:ind w:left="1688"/>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176"/>
        </w:trPr>
        <w:tc>
          <w:tcPr>
            <w:tcW w:w="4000" w:type="dxa"/>
            <w:vAlign w:val="bottom"/>
          </w:tcPr>
          <w:p>
            <w:pPr>
              <w:jc w:val="center"/>
              <w:ind w:right="1688"/>
              <w:spacing w:after="0"/>
              <w:rPr>
                <w:sz w:val="20"/>
                <w:szCs w:val="20"/>
                <w:color w:val="auto"/>
              </w:rPr>
            </w:pPr>
            <w:r>
              <w:rPr>
                <w:rFonts w:ascii="Times New Roman" w:cs="Times New Roman" w:eastAsia="Times New Roman" w:hAnsi="Times New Roman"/>
                <w:sz w:val="14"/>
                <w:szCs w:val="14"/>
                <w:b w:val="1"/>
                <w:bCs w:val="1"/>
                <w:color w:val="auto"/>
              </w:rPr>
              <w:t>45 Sidney Street</w:t>
            </w:r>
          </w:p>
        </w:tc>
        <w:tc>
          <w:tcPr>
            <w:tcW w:w="2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02139</w:t>
            </w:r>
          </w:p>
        </w:tc>
        <w:tc>
          <w:tcPr>
            <w:tcW w:w="0" w:type="dxa"/>
            <w:vAlign w:val="bottom"/>
          </w:tcPr>
          <w:p>
            <w:pPr>
              <w:spacing w:after="0"/>
              <w:rPr>
                <w:sz w:val="1"/>
                <w:szCs w:val="1"/>
                <w:color w:val="auto"/>
              </w:rPr>
            </w:pPr>
          </w:p>
        </w:tc>
      </w:tr>
      <w:tr>
        <w:trPr>
          <w:trHeight w:val="162"/>
        </w:trPr>
        <w:tc>
          <w:tcPr>
            <w:tcW w:w="4000" w:type="dxa"/>
            <w:vAlign w:val="bottom"/>
          </w:tcPr>
          <w:p>
            <w:pPr>
              <w:jc w:val="center"/>
              <w:ind w:right="1688"/>
              <w:spacing w:after="0"/>
              <w:rPr>
                <w:sz w:val="20"/>
                <w:szCs w:val="20"/>
                <w:color w:val="auto"/>
              </w:rPr>
            </w:pPr>
            <w:r>
              <w:rPr>
                <w:rFonts w:ascii="Times New Roman" w:cs="Times New Roman" w:eastAsia="Times New Roman" w:hAnsi="Times New Roman"/>
                <w:sz w:val="14"/>
                <w:szCs w:val="14"/>
                <w:b w:val="1"/>
                <w:bCs w:val="1"/>
                <w:color w:val="auto"/>
              </w:rPr>
              <w:t>Cambridge, MA</w:t>
            </w: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0" w:type="dxa"/>
            <w:vAlign w:val="bottom"/>
          </w:tcPr>
          <w:p>
            <w:pPr>
              <w:jc w:val="center"/>
              <w:ind w:right="166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820" w:type="dxa"/>
            <w:vAlign w:val="bottom"/>
          </w:tcPr>
          <w:p>
            <w:pPr>
              <w:jc w:val="center"/>
              <w:ind w:left="166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 xml:space="preserve">Registrant’s telephone number, including area code: </w:t>
      </w:r>
      <w:r>
        <w:rPr>
          <w:rFonts w:ascii="Times New Roman" w:cs="Times New Roman" w:eastAsia="Times New Roman" w:hAnsi="Times New Roman"/>
          <w:sz w:val="14"/>
          <w:szCs w:val="14"/>
          <w:b w:val="1"/>
          <w:bCs w:val="1"/>
          <w:color w:val="auto"/>
        </w:rPr>
        <w:t>(617) 374-7580</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Securities registered pursuant to Section 12(b) of the Act:</w:t>
      </w:r>
    </w:p>
    <w:p>
      <w:pPr>
        <w:spacing w:after="0" w:line="81" w:lineRule="exact"/>
        <w:rPr>
          <w:sz w:val="24"/>
          <w:szCs w:val="24"/>
          <w:color w:val="auto"/>
        </w:rPr>
      </w:pPr>
    </w:p>
    <w:tbl>
      <w:tblPr>
        <w:tblLayout w:type="fixed"/>
        <w:tblInd w:w="1500" w:type="dxa"/>
        <w:tblCellMar>
          <w:top w:w="0" w:type="dxa"/>
          <w:left w:w="0" w:type="dxa"/>
          <w:bottom w:w="0" w:type="dxa"/>
          <w:right w:w="0" w:type="dxa"/>
        </w:tblCellMar>
      </w:tblPr>
      <w:tr>
        <w:trPr>
          <w:trHeight w:val="189"/>
        </w:trPr>
        <w:tc>
          <w:tcPr>
            <w:tcW w:w="2940" w:type="dxa"/>
            <w:vAlign w:val="bottom"/>
          </w:tcPr>
          <w:p>
            <w:pPr>
              <w:jc w:val="center"/>
              <w:ind w:right="228"/>
              <w:spacing w:after="0"/>
              <w:rPr>
                <w:sz w:val="20"/>
                <w:szCs w:val="20"/>
                <w:color w:val="auto"/>
              </w:rPr>
            </w:pPr>
            <w:r>
              <w:rPr>
                <w:rFonts w:ascii="Times New Roman" w:cs="Times New Roman" w:eastAsia="Times New Roman" w:hAnsi="Times New Roman"/>
                <w:sz w:val="14"/>
                <w:szCs w:val="14"/>
                <w:i w:val="1"/>
                <w:iCs w:val="1"/>
                <w:color w:val="auto"/>
              </w:rPr>
              <w:t>Title of Class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Trading Symbols</w:t>
            </w:r>
          </w:p>
        </w:tc>
        <w:tc>
          <w:tcPr>
            <w:tcW w:w="2640" w:type="dxa"/>
            <w:vAlign w:val="bottom"/>
          </w:tcPr>
          <w:p>
            <w:pPr>
              <w:jc w:val="center"/>
              <w:ind w:left="248"/>
              <w:spacing w:after="0"/>
              <w:rPr>
                <w:sz w:val="20"/>
                <w:szCs w:val="20"/>
                <w:color w:val="auto"/>
              </w:rPr>
            </w:pPr>
            <w:r>
              <w:rPr>
                <w:rFonts w:ascii="Times New Roman" w:cs="Times New Roman" w:eastAsia="Times New Roman" w:hAnsi="Times New Roman"/>
                <w:sz w:val="14"/>
                <w:szCs w:val="14"/>
                <w:i w:val="1"/>
                <w:iCs w:val="1"/>
                <w:color w:val="auto"/>
              </w:rPr>
              <w:t>Name of Exchange on Which Registered</w:t>
            </w:r>
          </w:p>
        </w:tc>
      </w:tr>
      <w:tr>
        <w:trPr>
          <w:trHeight w:val="190"/>
        </w:trPr>
        <w:tc>
          <w:tcPr>
            <w:tcW w:w="29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BPMC</w:t>
            </w:r>
          </w:p>
        </w:tc>
        <w:tc>
          <w:tcPr>
            <w:tcW w:w="26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703580</wp:posOffset>
            </wp:positionH>
            <wp:positionV relativeFrom="paragraph">
              <wp:posOffset>-233045</wp:posOffset>
            </wp:positionV>
            <wp:extent cx="5083175"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3175" cy="248920"/>
                    </a:xfrm>
                    <a:prstGeom prst="rect">
                      <a:avLst/>
                    </a:prstGeom>
                    <a:noFill/>
                  </pic:spPr>
                </pic:pic>
              </a:graphicData>
            </a:graphic>
          </wp:anchor>
        </w:drawing>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76200</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41" w:lineRule="exact"/>
        <w:rPr>
          <w:sz w:val="24"/>
          <w:szCs w:val="24"/>
          <w:color w:val="auto"/>
        </w:rPr>
      </w:pPr>
    </w:p>
    <w:p>
      <w:pPr>
        <w:ind w:left="320" w:right="1980"/>
        <w:spacing w:after="0" w:line="21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80" w:firstLine="324"/>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324"/>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324"/>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ind w:left="1840"/>
        <w:spacing w:after="0" w:line="161" w:lineRule="exact"/>
        <w:tabs>
          <w:tab w:leader="none" w:pos="70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31" w:lineRule="exact"/>
        <w:rPr>
          <w:sz w:val="24"/>
          <w:szCs w:val="24"/>
          <w:color w:val="auto"/>
        </w:rPr>
      </w:pPr>
    </w:p>
    <w:p>
      <w:pPr>
        <w:ind w:left="1860"/>
        <w:spacing w:after="0" w:line="161" w:lineRule="exact"/>
        <w:tabs>
          <w:tab w:leader="none" w:pos="672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67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8" w:lineRule="exact"/>
        <w:rPr>
          <w:sz w:val="24"/>
          <w:szCs w:val="24"/>
          <w:color w:val="auto"/>
        </w:rPr>
      </w:pPr>
    </w:p>
    <w:p>
      <w:pPr>
        <w:ind w:right="380" w:firstLine="324"/>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324"/>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40" w:firstLine="324"/>
        <w:spacing w:after="0" w:line="269" w:lineRule="auto"/>
        <w:rPr>
          <w:sz w:val="20"/>
          <w:szCs w:val="20"/>
          <w:color w:val="auto"/>
        </w:rPr>
      </w:pPr>
      <w:r>
        <w:rPr>
          <w:rFonts w:ascii="Times New Roman" w:cs="Times New Roman" w:eastAsia="Times New Roman" w:hAnsi="Times New Roman"/>
          <w:sz w:val="14"/>
          <w:szCs w:val="14"/>
          <w:color w:val="auto"/>
        </w:rPr>
        <w:t>As of June 30, 2024, the aggregate market value of the voting and non-voting common equity held by non-affiliates of the registrant, based on the last reported sales price for the registrant’s common stock, par value $0.001 per share, on the Nasdaq Global Select Market on such date, was approximately $6,747,459,120.</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Number of shares of the registrant’s common stock, par value $0.001 per share, outstanding on February 11, 2025: 63,906,011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2025 Annual Meeting of Stockholders, which the registrant intends to file with the Securities and Exchange Commission pursuant to Regulation 14A within 120 days after the end of the registrant’s fiscal year ended December 31, 2024, are incorporated by reference into Part III of this Annual Report on Form 10-K.</w:t>
      </w:r>
    </w:p>
    <w:p>
      <w:pPr>
        <w:spacing w:after="0" w:line="2" w:lineRule="exact"/>
        <w:rPr>
          <w:sz w:val="24"/>
          <w:szCs w:val="24"/>
          <w:color w:val="auto"/>
        </w:rPr>
      </w:pPr>
    </w:p>
    <w:p>
      <w:pPr>
        <w:spacing w:after="0"/>
        <w:tabs>
          <w:tab w:leader="none" w:pos="1220" w:val="left"/>
          <w:tab w:leader="none" w:pos="2900" w:val="left"/>
          <w:tab w:leader="none" w:pos="4140" w:val="left"/>
          <w:tab w:leader="none" w:pos="6220" w:val="left"/>
          <w:tab w:leader="none" w:pos="7580" w:val="left"/>
        </w:tabs>
        <w:rPr>
          <w:sz w:val="20"/>
          <w:szCs w:val="20"/>
          <w:color w:val="auto"/>
        </w:rPr>
      </w:pP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color w:val="auto"/>
        </w:rPr>
        <w:t>Auditor Name:</w:t>
      </w:r>
      <w:r>
        <w:rPr>
          <w:sz w:val="20"/>
          <w:szCs w:val="20"/>
          <w:color w:val="auto"/>
        </w:rPr>
        <w:tab/>
      </w:r>
      <w:r>
        <w:rPr>
          <w:rFonts w:ascii="Times New Roman" w:cs="Times New Roman" w:eastAsia="Times New Roman" w:hAnsi="Times New Roman"/>
          <w:sz w:val="13"/>
          <w:szCs w:val="13"/>
          <w:color w:val="auto"/>
        </w:rPr>
        <w:t>Ernst &amp; Young LLP</w:t>
      </w:r>
      <w:r>
        <w:rPr>
          <w:sz w:val="20"/>
          <w:szCs w:val="20"/>
          <w:color w:val="auto"/>
        </w:rPr>
        <w:tab/>
      </w:r>
      <w:r>
        <w:rPr>
          <w:rFonts w:ascii="Times New Roman" w:cs="Times New Roman" w:eastAsia="Times New Roman" w:hAnsi="Times New Roman"/>
          <w:sz w:val="13"/>
          <w:szCs w:val="13"/>
          <w:color w:val="auto"/>
        </w:rPr>
        <w:t>Auditor Location:</w:t>
      </w:r>
      <w:r>
        <w:rPr>
          <w:sz w:val="20"/>
          <w:szCs w:val="20"/>
          <w:color w:val="auto"/>
        </w:rPr>
        <w:tab/>
      </w:r>
      <w:r>
        <w:rPr>
          <w:rFonts w:ascii="Times New Roman" w:cs="Times New Roman" w:eastAsia="Times New Roman" w:hAnsi="Times New Roman"/>
          <w:sz w:val="12"/>
          <w:szCs w:val="12"/>
          <w:color w:val="auto"/>
        </w:rPr>
        <w:t>Boston, Massachusetts,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499745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105410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88265</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2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7"/>
          </w:tcPr>
          <w:p>
            <w:pPr>
              <w:jc w:val="center"/>
              <w:ind w:right="372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0" w:type="dxa"/>
            <w:vAlign w:val="bottom"/>
          </w:tcPr>
          <w:p>
            <w:pPr>
              <w:spacing w:after="0"/>
              <w:rPr>
                <w:sz w:val="24"/>
                <w:szCs w:val="24"/>
                <w:color w:val="auto"/>
              </w:rPr>
            </w:pPr>
          </w:p>
        </w:tc>
        <w:tc>
          <w:tcPr>
            <w:tcW w:w="67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Item1A.</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40" w:type="dxa"/>
            <w:vAlign w:val="bottom"/>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472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4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5760" w:type="dxa"/>
            <w:vAlign w:val="bottom"/>
            <w:gridSpan w:val="2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6040" w:type="dxa"/>
            <w:vAlign w:val="bottom"/>
            <w:gridSpan w:val="3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40" w:type="dxa"/>
            <w:vAlign w:val="bottom"/>
            <w:gridSpan w:val="2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72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0" w:type="dxa"/>
            <w:vAlign w:val="bottom"/>
          </w:tcPr>
          <w:p>
            <w:pPr>
              <w:spacing w:after="0"/>
              <w:rPr>
                <w:sz w:val="24"/>
                <w:szCs w:val="24"/>
                <w:color w:val="auto"/>
              </w:rPr>
            </w:pPr>
          </w:p>
        </w:tc>
        <w:tc>
          <w:tcPr>
            <w:tcW w:w="660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w:t>
            </w:r>
          </w:p>
        </w:tc>
        <w:tc>
          <w:tcPr>
            <w:tcW w:w="18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of Equity Securities</w:t>
            </w:r>
          </w:p>
        </w:tc>
        <w:tc>
          <w:tcPr>
            <w:tcW w:w="5340" w:type="dxa"/>
            <w:vAlign w:val="bottom"/>
            <w:gridSpan w:val="25"/>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40" w:type="dxa"/>
            <w:vAlign w:val="bottom"/>
          </w:tcPr>
          <w:p>
            <w:pPr>
              <w:spacing w:after="0"/>
              <w:rPr>
                <w:sz w:val="17"/>
                <w:szCs w:val="17"/>
                <w:color w:val="auto"/>
              </w:rPr>
            </w:pPr>
          </w:p>
        </w:tc>
        <w:tc>
          <w:tcPr>
            <w:tcW w:w="64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0" w:type="dxa"/>
            <w:vAlign w:val="bottom"/>
          </w:tcPr>
          <w:p>
            <w:pPr>
              <w:spacing w:after="0"/>
              <w:rPr>
                <w:sz w:val="17"/>
                <w:szCs w:val="17"/>
                <w:color w:val="auto"/>
              </w:rPr>
            </w:pPr>
          </w:p>
        </w:tc>
        <w:tc>
          <w:tcPr>
            <w:tcW w:w="43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42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Change in and Disagreements with Accountants on Accounting and Financial Disclosure.</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40" w:type="dxa"/>
            <w:vAlign w:val="bottom"/>
          </w:tcPr>
          <w:p>
            <w:pPr>
              <w:spacing w:after="0"/>
              <w:rPr>
                <w:sz w:val="17"/>
                <w:szCs w:val="17"/>
                <w:color w:val="auto"/>
              </w:rPr>
            </w:pPr>
          </w:p>
        </w:tc>
        <w:tc>
          <w:tcPr>
            <w:tcW w:w="644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34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4"/>
          </w:tcPr>
          <w:p>
            <w:pPr>
              <w:spacing w:after="0"/>
              <w:rPr>
                <w:sz w:val="17"/>
                <w:szCs w:val="17"/>
                <w:color w:val="auto"/>
              </w:rPr>
            </w:pPr>
          </w:p>
        </w:tc>
        <w:tc>
          <w:tcPr>
            <w:tcW w:w="5020" w:type="dxa"/>
            <w:vAlign w:val="bottom"/>
            <w:gridSpan w:val="2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0" w:type="dxa"/>
            <w:vAlign w:val="bottom"/>
          </w:tcPr>
          <w:p>
            <w:pPr>
              <w:spacing w:after="0"/>
              <w:rPr>
                <w:sz w:val="17"/>
                <w:szCs w:val="17"/>
                <w:color w:val="auto"/>
              </w:rPr>
            </w:pPr>
          </w:p>
        </w:tc>
        <w:tc>
          <w:tcPr>
            <w:tcW w:w="49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188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bottom w:val="single" w:sz="8" w:color="0000EE"/>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III</w:t>
            </w:r>
          </w:p>
        </w:tc>
        <w:tc>
          <w:tcPr>
            <w:tcW w:w="368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0" w:type="dxa"/>
            <w:vAlign w:val="bottom"/>
          </w:tcPr>
          <w:p>
            <w:pPr>
              <w:spacing w:after="0"/>
              <w:rPr>
                <w:sz w:val="24"/>
                <w:szCs w:val="24"/>
                <w:color w:val="auto"/>
              </w:rPr>
            </w:pPr>
          </w:p>
        </w:tc>
        <w:tc>
          <w:tcPr>
            <w:tcW w:w="41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268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40" w:type="dxa"/>
            <w:vAlign w:val="bottom"/>
          </w:tcPr>
          <w:p>
            <w:pPr>
              <w:spacing w:after="0"/>
              <w:rPr>
                <w:sz w:val="17"/>
                <w:szCs w:val="17"/>
                <w:color w:val="auto"/>
              </w:rPr>
            </w:pPr>
          </w:p>
        </w:tc>
        <w:tc>
          <w:tcPr>
            <w:tcW w:w="67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Matters</w:t>
            </w:r>
          </w:p>
        </w:tc>
        <w:tc>
          <w:tcPr>
            <w:tcW w:w="6140" w:type="dxa"/>
            <w:vAlign w:val="bottom"/>
            <w:tcBorders>
              <w:top w:val="single" w:sz="8" w:color="0000EE"/>
            </w:tcBorders>
            <w:gridSpan w:val="32"/>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40" w:type="dxa"/>
            <w:vAlign w:val="bottom"/>
          </w:tcPr>
          <w:p>
            <w:pPr>
              <w:spacing w:after="0"/>
              <w:rPr>
                <w:sz w:val="17"/>
                <w:szCs w:val="17"/>
                <w:color w:val="auto"/>
              </w:rPr>
            </w:pPr>
          </w:p>
        </w:tc>
        <w:tc>
          <w:tcPr>
            <w:tcW w:w="546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32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40" w:type="dxa"/>
            <w:vAlign w:val="bottom"/>
          </w:tcPr>
          <w:p>
            <w:pPr>
              <w:spacing w:after="0"/>
              <w:rPr>
                <w:sz w:val="17"/>
                <w:szCs w:val="17"/>
                <w:color w:val="auto"/>
              </w:rPr>
            </w:pPr>
          </w:p>
        </w:tc>
        <w:tc>
          <w:tcPr>
            <w:tcW w:w="28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Accounting Fees and Services</w:t>
            </w:r>
          </w:p>
        </w:tc>
        <w:tc>
          <w:tcPr>
            <w:tcW w:w="3900" w:type="dxa"/>
            <w:vAlign w:val="bottom"/>
            <w:gridSpan w:val="1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8"/>
          </w:tcPr>
          <w:p>
            <w:pPr>
              <w:jc w:val="center"/>
              <w:ind w:right="370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8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2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0" w:type="dxa"/>
            <w:vAlign w:val="bottom"/>
          </w:tcPr>
          <w:p>
            <w:pPr>
              <w:spacing w:after="0"/>
              <w:rPr>
                <w:sz w:val="24"/>
                <w:szCs w:val="24"/>
                <w:color w:val="auto"/>
              </w:rPr>
            </w:pPr>
          </w:p>
        </w:tc>
        <w:tc>
          <w:tcPr>
            <w:tcW w:w="67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40" w:type="dxa"/>
            <w:vAlign w:val="bottom"/>
          </w:tcPr>
          <w:p>
            <w:pPr>
              <w:spacing w:after="0"/>
              <w:rPr>
                <w:sz w:val="17"/>
                <w:szCs w:val="17"/>
                <w:color w:val="auto"/>
              </w:rPr>
            </w:pPr>
          </w:p>
        </w:tc>
        <w:tc>
          <w:tcPr>
            <w:tcW w:w="31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362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243"/>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“us,” “our,” “Blueprint,” “Blueprint Medicines,” “we,” the “Company” and similar designations in this Annual Report on Form 10-K refer to Blueprint Medicines Corporation and its consolidated subsidiaries. Blueprint Medicines, AYVAKIT®, AYVAKYT® and associated logos are trademarks of Blueprint Medicines Corporation. Other brands, names and trademarks contained in this Annual Report on Form 10-K are the property of their respective owners.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under the heading “Risk Factors” and should be carefully considered, together with other information in this Annual Report on Form 10-K in its entirety before making investment decisions regarding our common stock.</w:t>
      </w:r>
    </w:p>
    <w:p>
      <w:pPr>
        <w:spacing w:after="0" w:line="189" w:lineRule="exact"/>
        <w:rPr>
          <w:sz w:val="20"/>
          <w:szCs w:val="20"/>
          <w:color w:val="auto"/>
        </w:rPr>
      </w:pPr>
    </w:p>
    <w:p>
      <w:pPr>
        <w:ind w:left="1380" w:right="21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growing as a commercial company and the marketing and sale of AYVAKIT® (avapritinib) (marketed in Europe under the brand name AYVAKYT®) or any future approved drugs may be unsuccessful or less successful than anticipated.</w:t>
      </w:r>
    </w:p>
    <w:p>
      <w:pPr>
        <w:spacing w:after="0" w:line="175" w:lineRule="exact"/>
        <w:rPr>
          <w:rFonts w:ascii="Times New Roman" w:cs="Times New Roman" w:eastAsia="Times New Roman" w:hAnsi="Times New Roman"/>
          <w:sz w:val="18"/>
          <w:szCs w:val="18"/>
          <w:color w:val="auto"/>
        </w:rPr>
      </w:pPr>
    </w:p>
    <w:p>
      <w:pPr>
        <w:ind w:left="1380" w:right="799" w:hanging="331"/>
        <w:spacing w:after="0" w:line="312"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current and future drugs will depend upon the degree of market acceptance by physicians, patients, third-party payors and others in the medical community.</w:t>
      </w:r>
    </w:p>
    <w:p>
      <w:pPr>
        <w:spacing w:after="0" w:line="139" w:lineRule="exact"/>
        <w:rPr>
          <w:rFonts w:ascii="Times New Roman" w:cs="Times New Roman" w:eastAsia="Times New Roman" w:hAnsi="Times New Roman"/>
          <w:sz w:val="17"/>
          <w:szCs w:val="17"/>
          <w:color w:val="auto"/>
        </w:rPr>
      </w:pPr>
    </w:p>
    <w:p>
      <w:pPr>
        <w:jc w:val="both"/>
        <w:ind w:left="1380" w:right="1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may be adversely affected.</w:t>
      </w:r>
    </w:p>
    <w:p>
      <w:pPr>
        <w:spacing w:after="0" w:line="175"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our commercial opportunity being reduced or limited by others commercializing, developing or discovering drugs before or more successfully than we do.</w:t>
      </w:r>
    </w:p>
    <w:p>
      <w:pPr>
        <w:spacing w:after="0" w:line="175" w:lineRule="exact"/>
        <w:rPr>
          <w:rFonts w:ascii="Times New Roman" w:cs="Times New Roman" w:eastAsia="Times New Roman" w:hAnsi="Times New Roman"/>
          <w:sz w:val="18"/>
          <w:szCs w:val="18"/>
          <w:color w:val="auto"/>
        </w:rPr>
      </w:pPr>
    </w:p>
    <w:p>
      <w:pPr>
        <w:ind w:left="1380" w:right="73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could limit commercialization of any of our approved drugs or drug candidates that we may develop.</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regulatory approval for our drug candidates (including for avapritinib in additional geographies) and ultimately commercialize them, or experience significant delays in doing so, our business may be materially harmed.</w:t>
      </w:r>
    </w:p>
    <w:p>
      <w:pPr>
        <w:spacing w:after="0" w:line="175" w:lineRule="exact"/>
        <w:rPr>
          <w:rFonts w:ascii="Times New Roman" w:cs="Times New Roman" w:eastAsia="Times New Roman" w:hAnsi="Times New Roman"/>
          <w:sz w:val="18"/>
          <w:szCs w:val="18"/>
          <w:color w:val="auto"/>
        </w:rPr>
      </w:pPr>
    </w:p>
    <w:p>
      <w:pPr>
        <w:ind w:left="1380" w:right="63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p>
      <w:pPr>
        <w:spacing w:after="0" w:line="175"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drugs and drug candidates may cause undesirable side effects that could delay or prevent their regulatory approval, limit the commercial profile of an approved label, result in restrictive distribution or result in other negative consequences following marketing approval, if any.</w:t>
      </w:r>
    </w:p>
    <w:p>
      <w:pPr>
        <w:spacing w:after="0" w:line="175" w:lineRule="exact"/>
        <w:rPr>
          <w:rFonts w:ascii="Times New Roman" w:cs="Times New Roman" w:eastAsia="Times New Roman" w:hAnsi="Times New Roman"/>
          <w:sz w:val="18"/>
          <w:szCs w:val="18"/>
          <w:color w:val="auto"/>
        </w:rPr>
      </w:pPr>
    </w:p>
    <w:p>
      <w:pPr>
        <w:ind w:left="1380" w:right="21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preclinical data, individual case report presentations, and interim or early or clinical results for our drug candidates may not be indicative of future results and may not evolve into final clinical data that supports continued clinical development or into registration-enabling data.</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drug candidates.</w:t>
      </w:r>
    </w:p>
    <w:p>
      <w:pPr>
        <w:spacing w:after="0" w:line="225" w:lineRule="exact"/>
        <w:rPr>
          <w:rFonts w:ascii="Times New Roman" w:cs="Times New Roman" w:eastAsia="Times New Roman" w:hAnsi="Times New Roman"/>
          <w:sz w:val="18"/>
          <w:szCs w:val="18"/>
          <w:color w:val="auto"/>
        </w:rPr>
      </w:pPr>
    </w:p>
    <w:p>
      <w:pPr>
        <w:jc w:val="both"/>
        <w:ind w:left="1380" w:right="479" w:hanging="331"/>
        <w:spacing w:after="0" w:line="312"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comply with comprehensive and ongoing regulatory requirements for any of our current or future approved drugs, including conducting confirmatory clinical trials for any drug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59"/>
        <w:spacing w:after="0" w:line="266" w:lineRule="auto"/>
        <w:rPr>
          <w:sz w:val="20"/>
          <w:szCs w:val="20"/>
          <w:color w:val="auto"/>
        </w:rPr>
      </w:pPr>
      <w:r>
        <w:rPr>
          <w:rFonts w:ascii="Times New Roman" w:cs="Times New Roman" w:eastAsia="Times New Roman" w:hAnsi="Times New Roman"/>
          <w:sz w:val="18"/>
          <w:szCs w:val="18"/>
          <w:color w:val="auto"/>
        </w:rPr>
        <w:t>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76" w:lineRule="exact"/>
        <w:rPr>
          <w:sz w:val="20"/>
          <w:szCs w:val="20"/>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never become and remain profitable.</w:t>
      </w:r>
    </w:p>
    <w:p>
      <w:pPr>
        <w:spacing w:after="0" w:line="225" w:lineRule="exact"/>
        <w:rPr>
          <w:rFonts w:ascii="Times New Roman" w:cs="Times New Roman" w:eastAsia="Times New Roman" w:hAnsi="Times New Roman"/>
          <w:sz w:val="18"/>
          <w:szCs w:val="18"/>
          <w:color w:val="auto"/>
        </w:rPr>
      </w:pPr>
    </w:p>
    <w:p>
      <w:pPr>
        <w:ind w:left="1380" w:right="219" w:hanging="331"/>
        <w:spacing w:after="0" w:line="289"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57" w:lineRule="exact"/>
        <w:rPr>
          <w:rFonts w:ascii="Times New Roman" w:cs="Times New Roman" w:eastAsia="Times New Roman" w:hAnsi="Times New Roman"/>
          <w:sz w:val="17"/>
          <w:szCs w:val="17"/>
          <w:color w:val="auto"/>
        </w:rPr>
      </w:pPr>
    </w:p>
    <w:p>
      <w:pPr>
        <w:ind w:left="1380" w:right="99" w:hanging="331"/>
        <w:spacing w:after="0" w:line="261"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66" w:lineRule="exact"/>
        <w:rPr>
          <w:rFonts w:ascii="Times New Roman" w:cs="Times New Roman" w:eastAsia="Times New Roman" w:hAnsi="Times New Roman"/>
          <w:sz w:val="18"/>
          <w:szCs w:val="18"/>
          <w:color w:val="auto"/>
        </w:rPr>
      </w:pPr>
    </w:p>
    <w:p>
      <w:pPr>
        <w:ind w:left="1380" w:right="159" w:hanging="331"/>
        <w:spacing w:after="0" w:line="281"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50" w:lineRule="exact"/>
        <w:rPr>
          <w:rFonts w:ascii="Times New Roman" w:cs="Times New Roman" w:eastAsia="Times New Roman" w:hAnsi="Times New Roman"/>
          <w:sz w:val="17"/>
          <w:szCs w:val="17"/>
          <w:color w:val="auto"/>
        </w:rPr>
      </w:pPr>
    </w:p>
    <w:p>
      <w:pPr>
        <w:ind w:left="1380" w:right="339" w:hanging="331"/>
        <w:spacing w:after="0" w:line="258"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9"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9"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57" w:lineRule="exact"/>
        <w:rPr>
          <w:rFonts w:ascii="Times New Roman" w:cs="Times New Roman" w:eastAsia="Times New Roman" w:hAnsi="Times New Roman"/>
          <w:sz w:val="17"/>
          <w:szCs w:val="17"/>
          <w:color w:val="auto"/>
        </w:rPr>
      </w:pPr>
    </w:p>
    <w:p>
      <w:pPr>
        <w:ind w:left="1380" w:right="29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new and evolving technologies, such as artificial intelligence, in our business may result in spending material resources and presents risks and uncertainties that can impact our business.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in the future be volatile and fluctuate substantially.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70"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“aim,” “anticipate,” “believe,” “contemplate,” “continue,” “could,” “estimate,” “expect,” “intend,” “may,” “plan,” “potential,” “opportunity”, “predict,” “project,” “seek,” “should,” “target,” “will,” “would” or the variation or the negative of these words or other comparable terminology, although not all forward-looking statements contain these identifying words.</w:t>
      </w: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include, but are not limited to, statements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about:</w:t>
      </w:r>
    </w:p>
    <w:p>
      <w:pPr>
        <w:spacing w:after="0" w:line="207" w:lineRule="exact"/>
        <w:rPr>
          <w:sz w:val="20"/>
          <w:szCs w:val="20"/>
          <w:color w:val="auto"/>
        </w:rPr>
      </w:pPr>
    </w:p>
    <w:p>
      <w:pPr>
        <w:ind w:left="1380" w:right="199" w:hanging="331"/>
        <w:spacing w:after="0" w:line="296"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or likelihood of regulatory actions, filings and approvals for our current and future drug candidates, including our ability to obtain marketing approval for avapritinib in additional geographies;</w:t>
      </w:r>
    </w:p>
    <w:p>
      <w:pPr>
        <w:spacing w:after="0" w:line="165" w:lineRule="exact"/>
        <w:rPr>
          <w:rFonts w:ascii="Times New Roman" w:cs="Times New Roman" w:eastAsia="Times New Roman" w:hAnsi="Times New Roman"/>
          <w:sz w:val="17"/>
          <w:szCs w:val="17"/>
          <w:color w:val="auto"/>
        </w:rPr>
      </w:pPr>
    </w:p>
    <w:p>
      <w:pPr>
        <w:ind w:left="1380" w:right="79" w:hanging="331"/>
        <w:spacing w:after="0" w:line="258"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in continuing to build out our commercial infrastructure and successfully launching, marketing and selling AYVAKIT (avapritinib) (marketed in Europe under the brand name AYVAKYT) and any current and future drug candidates for which we receive marketing approval;</w:t>
      </w:r>
    </w:p>
    <w:p>
      <w:pPr>
        <w:spacing w:after="0" w:line="196" w:lineRule="exact"/>
        <w:rPr>
          <w:rFonts w:ascii="Times New Roman" w:cs="Times New Roman" w:eastAsia="Times New Roman" w:hAnsi="Times New Roman"/>
          <w:sz w:val="18"/>
          <w:szCs w:val="18"/>
          <w:color w:val="auto"/>
        </w:rPr>
      </w:pPr>
    </w:p>
    <w:p>
      <w:pPr>
        <w:ind w:left="1380" w:right="319" w:hanging="331"/>
        <w:spacing w:after="0" w:line="296"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benefits of AYVAKIT/AYVAKYT and any current and future drug candidates in treating patients with indolent systemic mastocytosis (SM) and advanced SM;</w:t>
      </w:r>
    </w:p>
    <w:p>
      <w:pPr>
        <w:spacing w:after="0" w:line="165" w:lineRule="exact"/>
        <w:rPr>
          <w:rFonts w:ascii="Times New Roman" w:cs="Times New Roman" w:eastAsia="Times New Roman" w:hAnsi="Times New Roman"/>
          <w:sz w:val="17"/>
          <w:szCs w:val="17"/>
          <w:color w:val="auto"/>
        </w:rPr>
      </w:pPr>
    </w:p>
    <w:p>
      <w:pPr>
        <w:ind w:left="1380" w:right="47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AYVAKIT/AYVAKYT and any current and future drug candidates for which we receive marketing approval;</w:t>
      </w:r>
    </w:p>
    <w:p>
      <w:pPr>
        <w:spacing w:after="0" w:line="189"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AYVAKIT/AYVAKYT and any current and future drug candidates for which we receive marketing approval;</w:t>
      </w:r>
    </w:p>
    <w:p>
      <w:pPr>
        <w:spacing w:after="0" w:line="189" w:lineRule="exact"/>
        <w:rPr>
          <w:rFonts w:ascii="Times New Roman" w:cs="Times New Roman" w:eastAsia="Times New Roman" w:hAnsi="Times New Roman"/>
          <w:sz w:val="18"/>
          <w:szCs w:val="18"/>
          <w:color w:val="auto"/>
        </w:rPr>
      </w:pPr>
    </w:p>
    <w:p>
      <w:pPr>
        <w:jc w:val="both"/>
        <w:ind w:left="1380" w:right="479" w:hanging="331"/>
        <w:spacing w:after="0" w:line="258"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ongoing clinical trials and any planned clinical trials for our current and future drug candidates and research and development programs;</w:t>
      </w:r>
    </w:p>
    <w:p>
      <w:pPr>
        <w:spacing w:after="0" w:line="19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58"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96" w:lineRule="exact"/>
        <w:rPr>
          <w:rFonts w:ascii="Times New Roman" w:cs="Times New Roman" w:eastAsia="Times New Roman" w:hAnsi="Times New Roman"/>
          <w:sz w:val="18"/>
          <w:szCs w:val="18"/>
          <w:color w:val="auto"/>
        </w:rPr>
      </w:pPr>
    </w:p>
    <w:p>
      <w:pPr>
        <w:ind w:left="1380" w:right="27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drugs, drug candidates, platform and technology;</w:t>
      </w:r>
    </w:p>
    <w:p>
      <w:pPr>
        <w:spacing w:after="0" w:line="189" w:lineRule="exact"/>
        <w:rPr>
          <w:rFonts w:ascii="Times New Roman" w:cs="Times New Roman" w:eastAsia="Times New Roman" w:hAnsi="Times New Roman"/>
          <w:sz w:val="18"/>
          <w:szCs w:val="18"/>
          <w:color w:val="auto"/>
        </w:rPr>
      </w:pPr>
    </w:p>
    <w:p>
      <w:pPr>
        <w:ind w:left="1380" w:right="29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length of protection we are able to establish and maintain for intellectual property rights covering our current and future drugs, drug candidates and technology;</w:t>
      </w:r>
    </w:p>
    <w:p>
      <w:pPr>
        <w:spacing w:after="0" w:line="189" w:lineRule="exact"/>
        <w:rPr>
          <w:rFonts w:ascii="Times New Roman" w:cs="Times New Roman" w:eastAsia="Times New Roman" w:hAnsi="Times New Roman"/>
          <w:sz w:val="18"/>
          <w:szCs w:val="18"/>
          <w:color w:val="auto"/>
        </w:rPr>
      </w:pPr>
    </w:p>
    <w:p>
      <w:pPr>
        <w:ind w:left="1380" w:right="319" w:hanging="331"/>
        <w:spacing w:after="0" w:line="254"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collaboration with CStone Pharmaceuticals (CStone) to develop and commercialize avapritinib and pralsetinib in Greater China, our collaboration with Zai Lab to develop and commercialize BLU-525, BLU-945, and any back-up and other forms thereof, as inhibitors of epidermal growth factor receptor (EGFR) in Greater China, as well as our ability to maintain these collaborations and establish additional strategic collaborations;</w:t>
      </w:r>
    </w:p>
    <w:p>
      <w:pPr>
        <w:spacing w:after="0" w:line="187" w:lineRule="exact"/>
        <w:rPr>
          <w:rFonts w:ascii="Times New Roman" w:cs="Times New Roman" w:eastAsia="Times New Roman" w:hAnsi="Times New Roman"/>
          <w:sz w:val="18"/>
          <w:szCs w:val="18"/>
          <w:color w:val="auto"/>
        </w:rPr>
      </w:pPr>
    </w:p>
    <w:p>
      <w:pPr>
        <w:ind w:left="1380" w:right="79" w:hanging="331"/>
        <w:spacing w:after="0" w:line="258"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exclusive license agreement with Clementia Pharmaceuticals, Inc., a wholly-owned subsidiary of Ipsen S.A. (Clementia), to develop and commercialize BLU-782 for fibrodysplasia ossificans progressiva;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9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 of our strategic financing transaction with Garnich Adjacent Investments S.a.r.l. and Tao Talents, LLC, both affiliates of Sixth Street Partners and the potential acceleration of our commercial products and pipeline resulting from the non-dilutive growth capital;</w:t>
      </w:r>
    </w:p>
    <w:p>
      <w:pPr>
        <w:spacing w:after="0" w:line="175" w:lineRule="exact"/>
        <w:rPr>
          <w:rFonts w:ascii="Times New Roman" w:cs="Times New Roman" w:eastAsia="Times New Roman" w:hAnsi="Times New Roman"/>
          <w:sz w:val="18"/>
          <w:szCs w:val="18"/>
          <w:color w:val="auto"/>
        </w:rPr>
      </w:pPr>
    </w:p>
    <w:p>
      <w:pPr>
        <w:ind w:left="1380" w:right="299" w:hanging="331"/>
        <w:spacing w:after="0" w:line="261"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license agreement with IDRx, Inc. (IDRx) to develop our development candidate-stage KIT exon 13 inhibitor, IDRX-73, for the treatment of drug-resistant mutations of non-PDGFR-driven gastrointestinal stromal tumor (GIST), and our expectations regarding an investment gain from the agreement under which GSK plc will acquire IDRx;</w:t>
      </w:r>
    </w:p>
    <w:p>
      <w:pPr>
        <w:spacing w:after="0" w:line="166"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estimates of our revenues, expenses and capital requirements and our needs for future financing, including our ability to achieve a self-sustainable financial profile;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225" w:lineRule="exact"/>
        <w:rPr>
          <w:rFonts w:ascii="Times New Roman" w:cs="Times New Roman" w:eastAsia="Times New Roman" w:hAnsi="Times New Roman"/>
          <w:sz w:val="18"/>
          <w:szCs w:val="18"/>
          <w:color w:val="auto"/>
        </w:rPr>
      </w:pPr>
    </w:p>
    <w:p>
      <w:pPr>
        <w:ind w:left="1380" w:right="31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potential benefits of designations granted by U.S. Food and Drug Administration (FDA), such as orphan drug, fast track and breakthrough therapy designation or priority review.</w:t>
      </w:r>
    </w:p>
    <w:p>
      <w:pPr>
        <w:spacing w:after="0" w:line="16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90"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80" w:lineRule="exact"/>
        <w:rPr>
          <w:sz w:val="20"/>
          <w:szCs w:val="20"/>
          <w:color w:val="auto"/>
        </w:rPr>
      </w:pPr>
    </w:p>
    <w:p>
      <w:pPr>
        <w:ind w:left="60" w:right="339"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9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Annual Report on Form 10-K, including the footnotes to our consolidated financial statements, (i) with respect to our now terminated collaboration for pralsetinib, Roche means F. Hoffmann-La Roche Ltd and Genentech, Inc., (ii) with respect to our terminated cancer immunotherapy collaboration, Roche means F. Hoffmann-La Roche Ltd and Hoffmann-La Roche Inc., and (iii) with respect to our financing transactions with Sixth Street Partners, Sixth Street Partners means Garnich Adjacent Investments S.a.r.l. and/or Tao Talents,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59" w:firstLine="648"/>
        <w:spacing w:after="0" w:line="252" w:lineRule="auto"/>
        <w:rPr>
          <w:sz w:val="20"/>
          <w:szCs w:val="20"/>
          <w:color w:val="auto"/>
        </w:rPr>
      </w:pPr>
      <w:r>
        <w:rPr>
          <w:rFonts w:ascii="Times New Roman" w:cs="Times New Roman" w:eastAsia="Times New Roman" w:hAnsi="Times New Roman"/>
          <w:sz w:val="18"/>
          <w:szCs w:val="18"/>
          <w:color w:val="auto"/>
        </w:rPr>
        <w:t>We are a global, fully-integrated biopharmaceutical company that invents life-changing medicines. We seek to alleviate human suffering by solving important medical problems in two core focus areas: allergy/inflammation and oncology/hematology. Our approach targets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systemic mastocytosis (SM) and PDGFRA Exon 18 mutant GIST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w:t>
      </w:r>
    </w:p>
    <w:p>
      <w:pPr>
        <w:spacing w:after="0" w:line="191"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Since 2011, we have advanced a drug discovery approach that combines evolving biological insights with our proprietary research platform and drug design capabilities, which currently focuses on small molecule inhibitors and targeted protein degraders. We aim to rapidly and reproducibly translate science into durable clinical benefit for broad populations of patients with significant medical needs, including patients with mast cell diseases, breast cancer and other solid tumors. Our focused business model integrates our research engine with robust clinical development and commercial capabilities in allergy/inflammation and solid tumors to create a sustainable cycle of innovation.</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Mast Cell Diseases — AYVAKIT®/AYVAKYT® (avapritinib), Elenestinib (BLU-263), and BLU-808</w:t>
      </w:r>
    </w:p>
    <w:p>
      <w:pPr>
        <w:spacing w:after="0" w:line="21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Mast cells are core drivers of biology in a range of inflammatory diseases. KIT-mediated signaling plays a central role in survival, proliferation, and activation of mast cells and KIT is a clinically validated mast cell target. The KIT receptor regulates growth, proliferation, and activation of mast cells – characterized by the release of inflammatory molecules like cytokines, histamine, tryptase, and heparin in a process called degranulation. Under normal conditions, these molecules mediate the normal physiological response to an inflammatory stimulus – leading to symptoms like sneezing, swelling, itching, and gastrointestinal effects.</w:t>
      </w:r>
    </w:p>
    <w:p>
      <w:pPr>
        <w:spacing w:after="0" w:line="17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There are many disease states caused by increased activation of mast cells. In addition to diseases caused by a KIT receptor mutation, there are also diseases that may be treated by dialing down mast cell activation. SM is a disorder of mast cells driven by the KIT D816V mutation in nearly all cases. Other mast cell disorders, including chronic urticaria, asthma and other skin, respiratory, and gastrointestinal disorders are characterized by generalized mast cell dysregulation, which has been shown to be modifiable with inhibition of wild-type KIT.</w:t>
      </w:r>
    </w:p>
    <w:p>
      <w:pPr>
        <w:spacing w:after="0" w:line="170"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We continue to build a mast cell disease franchise, based on our deep understanding of mast cell biology and the KIT pathway. We are commercializing our first KIT D816V inhibitor, AYVAKIT/AYVAKYT globally for the treatment of advanced SM and indolent SM. We are developing elenestinib, or BLU-263, an investigational, orally available, potent and highly selective KIT D816V inhibitor, for the treatment of indolent SM. Additionally, we are advancing BLU-808, a potent and selective wild-type KIT inhibitor, for mast cell diseases, including chronic urticaria allergic rhinitis/allergic conjunctivitis, allergic asthma, and mast cell activation syndrome (MCAS). With AYVAKIT, we were able to demonstrate that successful inhibition of mutated KIT with a highly potent and specific molecule can result in the first and only approved disease modifying therapy for SM. Through AYVAKIT development, we have amassed considerable data on mast cell biology and a strong clinical understanding of disease areas connected to mast cell activation, which is helping to drive our efforts to extend our position in SM and expand into other mast cell disorders. We are doing this by leveraging our deep understanding of mast cell biology to drive scientific innovation; bringing that innovation to patients with our clinical and regulatory know-how; and driving compelling top-line revenue growth through commercial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-977265</wp:posOffset>
            </wp:positionV>
            <wp:extent cx="28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Systemic Mastocytosis (SM)</w:t>
      </w:r>
    </w:p>
    <w:p>
      <w:pPr>
        <w:spacing w:after="0" w:line="22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SM is a disorder of the mast cells, the key effector cells of allergic inflammation, which have several physiologic roles including wound healing, regulation of vascular and epithelial permeability and immune cell recruitment. The signature of SM is the overproduction of mast cells and the accumulation of mast cells in the bone marrow and other organs, including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14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SM comprises a spectrum of disease, including indolent and advanced subtypes, with nearly all patients (approximately 95 percent) having a KIT D816V mutation as the underlying driver of the disease. Indolent SM, which is the most common form of SM, is characterized by often severe, unpredictable and debilitating symptoms due to mast cell activation. Symptoms may include unpredictable hypersensitivity reactions, including anaphylaxis, gastrointestinal distress including severe nausea, vomiting and diarrhea, and extensive skin rashes that cause pain, discomfort and social isolation. Advanced SM is a rarer form of SM associated with mast cell infiltration of organ systems resulting in an increasingly severe impact on life expectancy, and includes three subsets: aggressive SM (ASM), SM with an associated hematological neoplasm (SM-AHN) and mast cell leukemia (MCL). These advanced forms of SM have historically had a median overall survival (OS) of less than six months to 3.5 years and are characterized by prominent organopathy and dysfunction, as well as the debilitating symptoms of mast cell activation.</w:t>
      </w:r>
    </w:p>
    <w:p>
      <w:pPr>
        <w:spacing w:after="0" w:line="17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Advanced SM accounts for approximately 10 percent of SM patients, whereas non-advanced SM accounts for about 90 percent of patients. Population studies suggest that SM prevalence could range from 1 in 10,000 up to 1 in 5,000 adults. This prevalence translates to about 30,000-60,000 patients in the US. Adding the United Kingdom, Germany, France, Spain, and Italy to the estimate for the US, the prevalence is about 60,000-120,000 patients.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current treatment paradigm for SM varies by disease subtype. Currently, there are no approved therapies other than AYVAKIT designed to potently and selectively inhibit the KIT D816V mutation. There are two approved therapies for advanced SM: midostaurin and imatinib. Midostaurin is a multi-kinase inhibitor with limited KIT D816V inhibitory activity. Imatinib is approved only for patients with the ASM subtype who do not harbor the KIT D816V mutation, or who have an unknown mutation status. Other treatments used in advanced SM include interferon alpha or cytoreductive agents to reduce mast cell burden, or treatments aimed at addressing the associated blood disorder.</w:t>
      </w:r>
    </w:p>
    <w:p>
      <w:pPr>
        <w:spacing w:after="0" w:line="230"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For patients with indolent SM, AYVAKIT/AYVAKYT is the only approved therapy in the U.S. and EU. Beyond AYVAKIT, management is symptom-directed and includes avoidance of triggers of mast cell activation (such as insect stings). Common off-label treatments for indolent SM include histamine blockers, cromolyn, epinephrine, corticosteroids, and, in cases of refractory patients, cytoreductive agents. Patients often take multiple symptom-directed treatments to manage their disease, and a reduction in polypharmacy burden is an important treatment goal.</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AYVAKIT®/AYVAKYT® (avapritinib)</w:t>
      </w:r>
    </w:p>
    <w:p>
      <w:pPr>
        <w:spacing w:after="0" w:line="25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We are commercializing avapritinib for the treatment of advanced SM and indolent SM. The FDA approved avapritinib under the brand name AYVAKIT for the treatment of adult patients with advanced SM, including ASM, SM-AHN, and MCL in June 2021, and for adult patients with indolent SM in May 2023. In March 2022, the European Commission approved the marketing authorization for AYVAKYT for the treatment of adult patients with ASM, SM-AHN, or MCL, after at least one systemic therapy. In December 2023, the European Commission approved AYVAKYT for the treatment of adult patients with indolent SM with moderate to severe symptoms inadequately controlled on symptomatic treatment. These approvals in advanced SM were supported by our Phase 1 clinical trial in advanced SM, which we refer to as our EXPLORER trial, and our ongoing registrational clinical trial in advanced SM, which we refer to as our PATHFINDER trial. The approvals of AYVAKIT for the treatment of patients with indolent SM, were supported by data from our ongoing Phase 2/3 clinical trial in indolent SM, which we refer to as the PIONEER trial. At the European Academy of Allergy and Clinical Immunology (EAACI) Congress May/June 2024, we presented long-term data from PIONEER, demonstrating that with a median follow-up of more than two years, AYVAKIT showed durable efficacy and a favorable safety profile in patients with indolent SM, and that safety data were consistent for the small number of patients who doses escalated to 50 mg once daily.</w:t>
      </w:r>
    </w:p>
    <w:p>
      <w:pPr>
        <w:spacing w:after="0" w:line="235" w:lineRule="exact"/>
        <w:rPr>
          <w:sz w:val="20"/>
          <w:szCs w:val="20"/>
          <w:color w:val="auto"/>
        </w:rPr>
      </w:pPr>
    </w:p>
    <w:p>
      <w:pPr>
        <w:ind w:left="60" w:right="559" w:firstLine="648"/>
        <w:spacing w:after="0" w:line="312" w:lineRule="auto"/>
        <w:rPr>
          <w:sz w:val="20"/>
          <w:szCs w:val="20"/>
          <w:color w:val="auto"/>
        </w:rPr>
      </w:pPr>
      <w:r>
        <w:rPr>
          <w:rFonts w:ascii="Times New Roman" w:cs="Times New Roman" w:eastAsia="Times New Roman" w:hAnsi="Times New Roman"/>
          <w:sz w:val="17"/>
          <w:szCs w:val="17"/>
          <w:color w:val="auto"/>
        </w:rPr>
        <w:t>The FDA has granted breakthrough therapy designation to avapritinib for (i) the treatment of advanced SM, including the subtypes of ASM, SM-AHN and MCL, and (ii) the treatment of moderate to severe indolent SM. In</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312" w:lineRule="auto"/>
        <w:rPr>
          <w:sz w:val="20"/>
          <w:szCs w:val="20"/>
          <w:color w:val="auto"/>
        </w:rPr>
      </w:pPr>
      <w:r>
        <w:rPr>
          <w:rFonts w:ascii="Times New Roman" w:cs="Times New Roman" w:eastAsia="Times New Roman" w:hAnsi="Times New Roman"/>
          <w:sz w:val="17"/>
          <w:szCs w:val="17"/>
          <w:color w:val="auto"/>
        </w:rPr>
        <w:t>addition, the FDA has granted orphan drug designation to avapritinib for the treatment of mastocytosis, and the European Commission has granted orphan medicinal product designation to avapritinib for the treatment of mastocytosis.</w:t>
      </w:r>
    </w:p>
    <w:p>
      <w:pPr>
        <w:spacing w:after="0" w:line="18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Avapritinib is also approved in the U.S. under the brand name AYVAKIT for the treatment of adults with unresectable or metastatic GIST harboring a PDGFRA exon 18 mutation, including PDGFRA D842V mutations, and is approved in the EU, the UK and Switzerland with conditional marketing authorization under the brand name AYVAKYT as a monotherapy for the treatment of adult patients with unresectable or metastatic GIST harboring a PDGFRA D842V mutation. Currently, AYVAKIT is the only FDA-approved treatment for patients with D842V mutant PDGFRA-driven GIST. Through our collaboration with CStone, China’s National Medicinal Products Administration approved AYVAKIT for the treatment of adults with unresectable or metastatic GIST harboring a PDGFRA exon 18 mutation, including PDGFRA D842V mutations. AYVAKIT also received accelerated approval from the Taiwan Food and Drug Administration and approval in Hong Kong, both for adults with unresectable or metastatic GIST harboring PDGFRA D842V mutations. We also have distributor arrangements to commercialize AYVAKIT in global jurisdictions, including Israel and Canada, where approvals have been received. To date, AYVAKIT/AYVAKYT is approved and reimbursed for one or more indications in 15 countries, where we or our distribution partners are commercializing it. 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Avapritinib Clinical Data in SM</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Registrational PIONEER Trial in Indolent SM</w:t>
      </w:r>
    </w:p>
    <w:p>
      <w:pPr>
        <w:spacing w:after="0" w:line="25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PIONEER is a randomized, double-blind, placebo-controlled, registration-enabling trial evaluating avapritinib in patients with indolent SM. The trial includes three parts: dose-finding Part 1, registration-enabling Part 2 and long-term treatment Part 3. All patients who completed Parts 1 or 2 had an opportunity to receive treatment with avapritinib in Part 3. Key trial endpoints include the change in patient-reported disease symptoms as measured by the Indolent SM Symptom Assessment Form </w:t>
      </w:r>
      <w:r>
        <w:rPr>
          <w:rFonts w:ascii="Times New Roman" w:cs="Times New Roman" w:eastAsia="Times New Roman" w:hAnsi="Times New Roman"/>
          <w:sz w:val="18"/>
          <w:szCs w:val="18"/>
          <w:color w:val="0A0A0A"/>
        </w:rPr>
        <w:t>Total Symptom Score, or</w:t>
      </w:r>
      <w:r>
        <w:rPr>
          <w:rFonts w:ascii="Times New Roman" w:cs="Times New Roman" w:eastAsia="Times New Roman" w:hAnsi="Times New Roman"/>
          <w:sz w:val="18"/>
          <w:szCs w:val="18"/>
          <w:color w:val="auto"/>
        </w:rPr>
        <w:t xml:space="preserve"> ISM-SAF TSS, quantitative measures of mast cell burden and safety.</w:t>
      </w:r>
    </w:p>
    <w:p>
      <w:pPr>
        <w:spacing w:after="0" w:line="210" w:lineRule="exact"/>
        <w:rPr>
          <w:sz w:val="20"/>
          <w:szCs w:val="20"/>
          <w:color w:val="auto"/>
        </w:rPr>
      </w:pPr>
    </w:p>
    <w:p>
      <w:pPr>
        <w:ind w:left="60" w:right="359" w:firstLine="648"/>
        <w:spacing w:after="0" w:line="289" w:lineRule="auto"/>
        <w:rPr>
          <w:sz w:val="20"/>
          <w:szCs w:val="20"/>
          <w:color w:val="auto"/>
        </w:rPr>
      </w:pPr>
      <w:r>
        <w:rPr>
          <w:rFonts w:ascii="Times New Roman" w:cs="Times New Roman" w:eastAsia="Times New Roman" w:hAnsi="Times New Roman"/>
          <w:sz w:val="17"/>
          <w:szCs w:val="17"/>
          <w:color w:val="auto"/>
        </w:rPr>
        <w:t>In June 2024, we presented data at EAACI and in February 2024, we presented data at American Academy of Allergy, Asthma, and Immunology (AAAAI) Annual Meeting. In February 2023 we presented fulsome results from PIONEER Part 2 at the AAAAI Annual Meeting and in August 2022 we presented top line data from PIONEER Part 2.</w:t>
      </w:r>
    </w:p>
    <w:p>
      <w:pPr>
        <w:spacing w:after="0" w:line="183" w:lineRule="exact"/>
        <w:rPr>
          <w:sz w:val="20"/>
          <w:szCs w:val="20"/>
          <w:color w:val="auto"/>
        </w:rPr>
      </w:pPr>
    </w:p>
    <w:p>
      <w:pPr>
        <w:ind w:left="700" w:right="219"/>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Data Presented at the European Academy of Allergy and Clinical Immunology (EAACI) Annual Meeting in June 2024</w:t>
      </w:r>
    </w:p>
    <w:p>
      <w:pPr>
        <w:spacing w:after="0" w:line="201"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presented long-term data from PIONEER, demonstrating that with a median follow-up of more than two years, AYVAKIT showed durable efficacy and a favorable safety profile in patients with indolent SM, and that safety data were consistent for the small number of patients who dose escalated to 50 mg once daily.</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the AAAAI Annual Meeting in February 2024</w:t>
      </w:r>
    </w:p>
    <w:p>
      <w:pPr>
        <w:spacing w:after="0" w:line="26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presented long-term data from PIONEER, demonstrating that AYVAKIT had a durable symptom impact and a well-tolerated safety profile, supporting long-term treatment and consistent with real-world experience observed in the commercial setting.</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the AAAAI Annual Meeting in February 2023</w:t>
      </w:r>
    </w:p>
    <w:p>
      <w:pPr>
        <w:spacing w:after="0" w:line="254"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the randomized, double-blind, placebo-controlled part of the PIONEER trial, 141 patients received AYVAKIT 25 mg once daily plus best supportive care and 71 patients received placebo plus best supportive care (placebo) at 49 sites in 13 countries. The study included adults with an indolent SM diagnosis confirmed by central pathology review, and moderate-to-severe symptom burden despite an optimized regimen of best supportive care. All</w:t>
      </w:r>
    </w:p>
    <w:p>
      <w:pPr>
        <w:sectPr>
          <w:pgSz w:w="11900" w:h="16838" w:orient="portrait"/>
          <w:cols w:equalWidth="0" w:num="1">
            <w:col w:w="9019"/>
          </w:cols>
          <w:pgMar w:left="1440" w:top="513" w:right="1440"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patients were able to continue symptom-directed therapy throughout the trial and, following completion of the 24-week treatment period, had the option to receive AYVAKIT in an open-label extension study. Baseline patient demographics were balanced between treatment arms and reflected significant disease burden. Disease symptoms were assessed using the Indolent SM Symptom Assessment Form (ISM-SAF). Results were reported as of a data cutoff date of June 23, 2022.</w:t>
      </w:r>
    </w:p>
    <w:p>
      <w:pPr>
        <w:spacing w:after="0" w:line="218"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Clinical Activity Data. </w:t>
      </w:r>
      <w:r>
        <w:rPr>
          <w:rFonts w:ascii="Times New Roman" w:cs="Times New Roman" w:eastAsia="Times New Roman" w:hAnsi="Times New Roman"/>
          <w:sz w:val="17"/>
          <w:szCs w:val="17"/>
          <w:color w:val="auto"/>
        </w:rPr>
        <w:t>Part 2 of the PIONEER study showed clinically meaningful and highly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improvements across the primary and all key secondary endpoints, including patient-reported symptoms and objective measures of disease burden. For the avapritinib arm relative to the control arm, the trial achieved the primary endpoint with a highly significant difference in the mean change in TSS at 24 weeks (p=0.003). The avapritinib arm had a reduction of</w:t>
      </w:r>
    </w:p>
    <w:p>
      <w:pPr>
        <w:spacing w:after="0" w:line="1" w:lineRule="exact"/>
        <w:rPr>
          <w:sz w:val="20"/>
          <w:szCs w:val="20"/>
          <w:color w:val="auto"/>
        </w:rPr>
      </w:pPr>
    </w:p>
    <w:p>
      <w:pPr>
        <w:ind w:left="60" w:right="139"/>
        <w:spacing w:after="0" w:line="249" w:lineRule="auto"/>
        <w:rPr>
          <w:sz w:val="20"/>
          <w:szCs w:val="20"/>
          <w:color w:val="auto"/>
        </w:rPr>
      </w:pPr>
      <w:r>
        <w:rPr>
          <w:rFonts w:ascii="Times New Roman" w:cs="Times New Roman" w:eastAsia="Times New Roman" w:hAnsi="Times New Roman"/>
          <w:sz w:val="18"/>
          <w:szCs w:val="18"/>
          <w:color w:val="auto"/>
        </w:rPr>
        <w:t>15.6 points in mean TSS at 24 weeks, which continued to deepen to 20.2 points at 48 weeks in patients who rolled over to the Part 3 open-label extension study. At 24 weeks, the control arm had a reduction of 9.2 points in mean TSS. In addition, the trial met all key secondary endpoints, including significant improvements across measures of mast cell burden. More than half of AYVAKIT-treated patients had a greater than or equal to 50 percent reduction of serum tryptase, compared to no patients in the control arm (53.9% vs. 0%; p&lt;0.0001).</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Safety Data</w:t>
      </w:r>
      <w:r>
        <w:rPr>
          <w:rFonts w:ascii="Times New Roman" w:cs="Times New Roman" w:eastAsia="Times New Roman" w:hAnsi="Times New Roman"/>
          <w:sz w:val="18"/>
          <w:szCs w:val="18"/>
          <w:color w:val="auto"/>
        </w:rPr>
        <w:t>. Avapritinib had a favorable safety profile compared to the control arm. The rate of adverse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(AEs) was 90.8 percent in the avapritinib arm and 93.0 percent in the control arm. Serious AEs occurred in 5.0 percent of avapritinib-treated patients, compared to 11.3 percent of patients in the control arm. Discontinuations due to treatment-related AEs occurred in 0.7 percent of avapritinib-treated patients and 0 percent of patients in the placebo arm. The avapritinib arm had a lower rate of cognitive AEs than the control arm - 2.8% avapritinib vs. 4.2% control – and there were no intracranial bleeding events. Treatment-related AEs reported in at least three patients in either arm and at least 5 percent of avapritinib-treated patients included headache, nausea, peripheral edema and periorbital edema.</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Elenestinib (BLU-263)</w:t>
      </w:r>
    </w:p>
    <w:p>
      <w:pPr>
        <w:spacing w:after="0" w:line="25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are developing elenestinib an investigational, orally available, potent and highly selective KIT inhibitor, for the treatment of indolent SM and other mast cell disorders. Elenestinib is designed to have equivalent potency as avapritinib, with low off-target activity and minimal penetration of the central nervous system relative to avapritinib based on preclinical data.</w:t>
      </w:r>
    </w:p>
    <w:p>
      <w:pPr>
        <w:spacing w:after="0" w:line="207"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We are evaluating elenestinib in an ongoing Phase 2/3 clinical trial in indolent SM, which we refer to as our HARBOR trial. In December 2022, we announced top-line, 12-week data from the dose-finding Part 1 of the HARBOR trial. In December 2023, we presented HARBOR Part 1 trial data for elenestinib in indolent SM at the 65th American Society of Hematology (ASH) Annual Meeting and Exposition. We initiated the registration-enabling Phase 3 HARBOR trial of elenestinib in indolent SM in the fourth quarter of 2024.</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Elenestinib Clinical Data in Indolent SM</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Phase 2/3 HARBOR Trial in Indolent SM</w:t>
      </w:r>
    </w:p>
    <w:p>
      <w:pPr>
        <w:spacing w:after="0" w:line="254"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HARBOR is a randomized, double-blind, placebo-controlled trial evaluating elenestinib in patients with indolent SM. The trial includes multiple parts including dose-finding Part 1, registration-enabling Part 2 and long-term treatment Part 3. All patients who complete Parts 1 or 2 will have an opportunity to receive treatment with elenestinib in Part 3. Key trial endpoints include the change in patient-reported disease symptoms as measured by the ISM-SAF TSS, quantitative measures of mast cell burden and safety.</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the ASH Annual Meeting in December 2023</w:t>
      </w:r>
    </w:p>
    <w:p>
      <w:pPr>
        <w:spacing w:after="0" w:line="26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Part 1 of the HARBOR trial enrolled 29 patients who received elenestinib plus best available care, including 10 patients at 25 mg once daily, 10 patients at 50 mg once daily and nine patients at 100 mg once daily, and 10 patients who received placebo plus best available care. Baseline patient and disease characteristics were similar to those reported for the general ISM population. Results were reported as of a data cutoff date of October 17,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Clinical Activity Data. </w:t>
      </w:r>
      <w:r>
        <w:rPr>
          <w:rFonts w:ascii="Times New Roman" w:cs="Times New Roman" w:eastAsia="Times New Roman" w:hAnsi="Times New Roman"/>
          <w:sz w:val="18"/>
          <w:szCs w:val="18"/>
          <w:color w:val="auto"/>
        </w:rPr>
        <w:t>12-week results from Part 1 of the HARBOR study showed elenestinib treatment 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 improvements in patient-reported symptoms, or TSS as measured by the ISM-SAF, as well as objective measures of mast cell burden. The elenestinib arms saw a mean percent reduction from baseline TSS of 28.5% at 25 mg, 31.8% at 50 mg, and 33.6% at 100 mg at 12 weeks, compared to a mean percent reduction from baseline TSS of 22.2% in the control arm. In addition, patients receiving elenestinib at doses of 25 mg, 50 mg, and 100 mg demonstrated dose-dependent mean percent reductions from baseline in serum tryptase levels, KIT D816V variant allele fraction (VAF), and bone marrow mast cells versus placebo.</w:t>
      </w:r>
    </w:p>
    <w:p>
      <w:pPr>
        <w:spacing w:after="0" w:line="21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Safety Data</w:t>
      </w:r>
      <w:r>
        <w:rPr>
          <w:rFonts w:ascii="Times New Roman" w:cs="Times New Roman" w:eastAsia="Times New Roman" w:hAnsi="Times New Roman"/>
          <w:sz w:val="18"/>
          <w:szCs w:val="18"/>
          <w:color w:val="auto"/>
        </w:rPr>
        <w:t>. Elenestinib safety results were consistent with its preclinical profile and a completed Phase 1 healthy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volunteer trial. Elenestinib was generally well-tolerated at all dose levels with most AEs reported as Grade 1–2, and there were no discontinuations due to AEs. At the time of data cut-off, median treatment duration was 22 weeks and there were no grade 4 or 5 AEs, no treatment-related SAEs, no AEs that led to drug discontinuation, and all patients were still on treatment.</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BLU-808</w:t>
      </w:r>
    </w:p>
    <w:p>
      <w:pPr>
        <w:spacing w:after="0" w:line="27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first half of 2023, we nominated the development candidate BLU-808 from our discovery programs, an oral, highly potent and selective wild-type KIT inhibitor. We are developing BLU-808 as a potential first- and best-in-class treatment for mast cell disorders, including chronic urticaria, a debilitating inflammatory skin disorder characterized by wheals (hives), and sleep disruption, stress and anxiety due to severe itching are major contributors to disease burden. Wild-type KIT inhibition has an established proof-of-concept in chronic urticaria, and BLU-808 represents a small molecule approach with the opportunity to drive market expansion with an oral regimen. Beyond chronic urticaria, we plan to initiate proof of concept studies in other related allergic-inflammatory indications, including but not limited to allergic rhinitis/allergic conjunctivitis, allergic asthma, and MCAS.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-217170</wp:posOffset>
            </wp:positionV>
            <wp:extent cx="28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February 2024, at the AAAAI Annual Meeting, we presented the preclinical attributes of BLU-808 that demonstrate its potency, selectivity, low potential for drug-drug interactions, and peripheral restriction. BLU-808 treatment led to dose-dependent inhibition and depletion of mast cells in multiple in vivo studies, and also improved lung function in an ovalbumin-induced asthma model. In June 2024, we submitted an Investigational New Drug (IND) application to FDA for BLU-808. We received FDA clearance to proceed with a Phase 1 study in healthy volunteers and initiated that study in the third quarter of 2024.</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the J.P. Morgan Conference in January 2025</w:t>
      </w:r>
    </w:p>
    <w:p>
      <w:pPr>
        <w:spacing w:after="0" w:line="227"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January 2025, we presented results from the Phase 1 single-ascending dose (SAD; n=56) and multiple-ascending dose (MAD; n=31, 14-day dosing) trial of BLU-808, a highly potent and selective oral KIT inhibitor, in healthy volunteers at the J.P. Morgan Healthcare Conference.</w:t>
      </w:r>
    </w:p>
    <w:p>
      <w:pPr>
        <w:spacing w:after="0" w:line="174" w:lineRule="exact"/>
        <w:rPr>
          <w:sz w:val="20"/>
          <w:szCs w:val="20"/>
          <w:color w:val="auto"/>
        </w:rPr>
      </w:pPr>
    </w:p>
    <w:p>
      <w:pPr>
        <w:ind w:left="60" w:right="159" w:firstLine="648"/>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Safety: </w:t>
      </w:r>
      <w:r>
        <w:rPr>
          <w:rFonts w:ascii="Times New Roman" w:cs="Times New Roman" w:eastAsia="Times New Roman" w:hAnsi="Times New Roman"/>
          <w:sz w:val="18"/>
          <w:szCs w:val="18"/>
          <w:color w:val="auto"/>
        </w:rPr>
        <w:t>BLU-808 was well-tolerated at all doses tested. All treatment-emergent adverse events (AEs) in the MAD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cohorts 1-12 mg once daily (QD) in those who received BLU-808 were Grade 1. There were no serious AEs, no discontinuations or dose modifications due to AEs, and no clinically significant changes in laboratory measures.</w:t>
      </w:r>
    </w:p>
    <w:p>
      <w:pPr>
        <w:spacing w:after="0" w:line="179" w:lineRule="exact"/>
        <w:rPr>
          <w:sz w:val="20"/>
          <w:szCs w:val="20"/>
          <w:color w:val="auto"/>
        </w:rPr>
      </w:pPr>
    </w:p>
    <w:p>
      <w:pPr>
        <w:ind w:left="60" w:right="319"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Pharmacokinetics: </w:t>
      </w:r>
      <w:r>
        <w:rPr>
          <w:rFonts w:ascii="Times New Roman" w:cs="Times New Roman" w:eastAsia="Times New Roman" w:hAnsi="Times New Roman"/>
          <w:sz w:val="18"/>
          <w:szCs w:val="18"/>
          <w:color w:val="auto"/>
        </w:rPr>
        <w:t>BLU-808 showed a half-life of approximately 40 hours, enabling once-daily dosing,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dose-proportional increases in drug exposure. In the MAD cohorts, all BLU-808 doses led to sustained target coverage, with mean plasma concentrations exceeding predicted KIT IC</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xml:space="preserve"> levels at ≥1 mg QD and IC</w:t>
      </w:r>
      <w:r>
        <w:rPr>
          <w:rFonts w:ascii="Times New Roman" w:cs="Times New Roman" w:eastAsia="Times New Roman" w:hAnsi="Times New Roman"/>
          <w:sz w:val="26"/>
          <w:szCs w:val="26"/>
          <w:color w:val="auto"/>
          <w:vertAlign w:val="subscript"/>
        </w:rPr>
        <w:t>88</w:t>
      </w:r>
      <w:r>
        <w:rPr>
          <w:rFonts w:ascii="Times New Roman" w:cs="Times New Roman" w:eastAsia="Times New Roman" w:hAnsi="Times New Roman"/>
          <w:sz w:val="18"/>
          <w:szCs w:val="18"/>
          <w:color w:val="auto"/>
        </w:rPr>
        <w:t xml:space="preserve"> levels at ≥3 mg QD.</w:t>
      </w:r>
    </w:p>
    <w:p>
      <w:pPr>
        <w:spacing w:after="0" w:line="185"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Pharmacodynamics: </w:t>
      </w:r>
      <w:r>
        <w:rPr>
          <w:rFonts w:ascii="Times New Roman" w:cs="Times New Roman" w:eastAsia="Times New Roman" w:hAnsi="Times New Roman"/>
          <w:sz w:val="18"/>
          <w:szCs w:val="18"/>
          <w:color w:val="auto"/>
        </w:rPr>
        <w:t>BLU-808 showed dose-dependent serum tryptase responses, reflecting evidence of mast 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 engagement across multiple dose levels. In the SAD cohorts, reductions in tryptase were observed after a single dose of BLU-808, exceeding 60 percent at 42 mg. In the MAD cohorts, rapid, robust and sustained reductions in tryptase were observed, with reductions exceeding 80 percent at 12mg and below the lower limit of quantification (LLOQ) at multiple dose levels.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Oncology/Hematology</w:t>
      </w:r>
    </w:p>
    <w:p>
      <w:pPr>
        <w:spacing w:after="0" w:line="27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Our oncology research program has delivered a number of innovative therapies and continues to be an active area of discovery. Based on early clinical success, we plan to further advance discovery research in oncology in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Cell Cycle Inhibition Programs</w:t>
      </w:r>
    </w:p>
    <w:p>
      <w:pPr>
        <w:spacing w:after="0" w:line="27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advancing multiple therapeutic candidates and research programs targeting the cell cycle as potential treatments for patients with hormone-receptor-positive/human epidermal growth receptor 2 negative (HR+/HER2-) breast cancer and other solid tumors. These include </w:t>
      </w:r>
      <w:r>
        <w:rPr>
          <w:rFonts w:ascii="Times New Roman" w:cs="Times New Roman" w:eastAsia="Times New Roman" w:hAnsi="Times New Roman"/>
          <w:sz w:val="18"/>
          <w:szCs w:val="18"/>
          <w:color w:val="0A0A0A"/>
          <w:highlight w:val="white"/>
        </w:rPr>
        <w:t>CDK2 and CDK4 targeted protein degraders, which have progressed rapidly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highlight w:val="white"/>
        </w:rPr>
        <w:t>in preclinical development toward potentially best-in-class development candidate profiles supporting our prioritization of these programs. We are completing the Phase 1 dose escalation study of our CDK2 inhibitor BLU-222 and are de-prioritizing any further investment in this program. We continue to engage strategic partners on potential opportunities to broadly advance our franchise of CDK programs</w:t>
      </w:r>
      <w:r>
        <w:rPr>
          <w:rFonts w:ascii="Times New Roman" w:cs="Times New Roman" w:eastAsia="Times New Roman" w:hAnsi="Times New Roman"/>
          <w:sz w:val="18"/>
          <w:szCs w:val="18"/>
          <w:color w:val="000000"/>
        </w:rPr>
        <w:t>.</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Discovery Platform</w:t>
      </w:r>
    </w:p>
    <w:p>
      <w:pPr>
        <w:spacing w:after="0" w:line="22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continue to drive organic growth with our innovative and highly productive research platform, which has nominated 17 development candidates to date. With drug design capabilities spanning small molecule inhibitors and targeted protein degraders, our approach begins by choosing the best modality for the targets we are pursuing and designing highly potent and selective therapeutic candidates. Within our focus areas of allergy/inflammation and oncology/hematology, we pursue targets where the biology is clear and there is opportunity to impact large patient populations. We consistently aim to achieve first- or best-in-class profiles with the potential to disrupt the current standard of care and dramatically improve patient outcomes. In addition, we prioritize opportunities where early data can de-risk future investment and we deeply integrate the insights and capabilities of our R&amp;D and commercial functions to create significant and sustainable growth opportunities.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Licenses and Other Agreements Summary</w:t>
      </w:r>
    </w:p>
    <w:p>
      <w:pPr>
        <w:spacing w:after="0" w:line="227"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Roche—Pralsetinib Collaboration. </w:t>
      </w:r>
      <w:r>
        <w:rPr>
          <w:rFonts w:ascii="Times New Roman" w:cs="Times New Roman" w:eastAsia="Times New Roman" w:hAnsi="Times New Roman"/>
          <w:sz w:val="18"/>
          <w:szCs w:val="18"/>
          <w:color w:val="auto"/>
        </w:rPr>
        <w:t>In July 2020, we entered into a collaboration agreement with Roche,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refer to as the Roche pralsetinib collaboration, to develop and commercialize pralsetinib for the treatment of RET-altered cancers. Under the Roche pralsetinib collaboration, we and Genentech co-commercialized GAVRETO in the U.S., and Roche was granted exclusive commercialization rights for pralsetinib outside of the U.S., excluding Mainland China, Hong Kong, Macau and Taiwan (each a CStone region and, collectively, the CStone Territory). In February 2023, we received written notice from Roche of their election to terminate for convenience the Roche pralsetinib collaboration agreement. The termination became effective on February 22, 2024, at which time we entered into a transition agreement with Roche (the Roche transition agreement) and sold the U.S. rights to research, develop, manufacture and commercialize pralsetinib to Rigel Pharmaceuticals (Rigel). In January 2024, we decided to discontinue global development and marketing of GAVRETO in territories excluding the U.S. and CStone Territory, due to a lack of an alternate partner in these regions. We continue to work with Roche on the transition and wind-down activities contemplated in the Roche transition agreement. For additional information, see Note 11, </w:t>
      </w:r>
      <w:r>
        <w:rPr>
          <w:rFonts w:ascii="Times New Roman" w:cs="Times New Roman" w:eastAsia="Times New Roman" w:hAnsi="Times New Roman"/>
          <w:sz w:val="18"/>
          <w:szCs w:val="18"/>
          <w:i w:val="1"/>
          <w:iCs w:val="1"/>
          <w:color w:val="auto"/>
        </w:rPr>
        <w:t>Collaborations, License and Other Agreements</w:t>
      </w:r>
      <w:r>
        <w:rPr>
          <w:rFonts w:ascii="Times New Roman" w:cs="Times New Roman" w:eastAsia="Times New Roman" w:hAnsi="Times New Roman"/>
          <w:sz w:val="18"/>
          <w:szCs w:val="18"/>
          <w:color w:val="auto"/>
        </w:rPr>
        <w:t>, to our consolidated financial statements included in this Form 10-K.</w:t>
      </w:r>
    </w:p>
    <w:p>
      <w:pPr>
        <w:spacing w:after="0" w:line="196" w:lineRule="exact"/>
        <w:rPr>
          <w:sz w:val="20"/>
          <w:szCs w:val="20"/>
          <w:color w:val="auto"/>
        </w:rPr>
      </w:pPr>
    </w:p>
    <w:p>
      <w:pPr>
        <w:ind w:left="60" w:right="119"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CStone. </w:t>
      </w:r>
      <w:r>
        <w:rPr>
          <w:rFonts w:ascii="Times New Roman" w:cs="Times New Roman" w:eastAsia="Times New Roman" w:hAnsi="Times New Roman"/>
          <w:sz w:val="18"/>
          <w:szCs w:val="18"/>
          <w:color w:val="auto"/>
        </w:rPr>
        <w:t>In June 2018, we entered into a collaboration with CStone to develop and commercialize avapritinib,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pralsetinib and fisogatinib, as well as any back-up and other forms thereof, in the CStone Territory either as a monotherapy or as part of a combination therapy.</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Clementia. </w:t>
      </w:r>
      <w:r>
        <w:rPr>
          <w:rFonts w:ascii="Times New Roman" w:cs="Times New Roman" w:eastAsia="Times New Roman" w:hAnsi="Times New Roman"/>
          <w:sz w:val="18"/>
          <w:szCs w:val="18"/>
          <w:color w:val="auto"/>
        </w:rPr>
        <w:t>In October 2019, we entered into a license agreement with Clementia, which we refer to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Clementia license agreement. Pursuant to the Clementia license agreement, we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(ALK2) in development for the treatment of fibrodysplasia ossificans progressiva (FOP). The FDA has granted a rare pediatric disease designation, orphan drug designation and fast track designation to BLU-782, each for the treatment of FOP. Clementia has an ongoing Phase 2 clinical trial of BLU-782, now referred to as fidrisertib.</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Zai Lab. </w:t>
      </w:r>
      <w:r>
        <w:rPr>
          <w:rFonts w:ascii="Times New Roman" w:cs="Times New Roman" w:eastAsia="Times New Roman" w:hAnsi="Times New Roman"/>
          <w:sz w:val="18"/>
          <w:szCs w:val="18"/>
          <w:color w:val="auto"/>
        </w:rPr>
        <w:t>In November 2021, we entered into a license and collaboration agreement with Zai Lab, which we refer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as the Zai Lab agreement, to develop and commercialize certain licensed products for the treatment of EGFR-driven NSCLC in Greater China, including Mainland China, Hong Kong, Macau and Taiwan, which currently includes BLU-945 and BLU-525. In January 2024 at the J.P. Morgan Healthcare Conference, we announced that we are discontinuing further investment in early clinical-stage therapies for EGFR-mutant NSCLC globally; however, Zai Lab retains its rights to BLU-945 and BLU-525 under the Zai Lab agreement.</w:t>
      </w:r>
    </w:p>
    <w:p>
      <w:pPr>
        <w:spacing w:after="0" w:line="101" w:lineRule="exact"/>
        <w:rPr>
          <w:sz w:val="20"/>
          <w:szCs w:val="20"/>
          <w:color w:val="auto"/>
        </w:rPr>
      </w:pPr>
    </w:p>
    <w:p>
      <w:pPr>
        <w:ind w:left="60" w:right="2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IDRx. </w:t>
      </w:r>
      <w:r>
        <w:rPr>
          <w:rFonts w:ascii="Times New Roman" w:cs="Times New Roman" w:eastAsia="Times New Roman" w:hAnsi="Times New Roman"/>
          <w:sz w:val="17"/>
          <w:szCs w:val="17"/>
          <w:color w:val="auto"/>
        </w:rPr>
        <w:t>In August 2022, we entered into a license agreement with IDRx, Inc., or IDRx, which we refer to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IDRx License Agreement. Pursuant to the IDRx License Agreement, we granted IDRx an exclusive, worldwide, royalty-bearing license to exploit our internally discovered development candidate-stage KIT exon 13 inhibitor, IDRX-73.</w:t>
      </w:r>
    </w:p>
    <w:p>
      <w:pPr>
        <w:spacing w:after="0" w:line="9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IDRx License Agreement, we also entered into a stock purchase agreement with IDRx, which we refer to as the IDRx Stock Purchase Agreement, pursuant to which we received 4,509,105 shares of IDRx’s Series A preferred stock and the right to receive additional shares of IDRx’s Series A preferred stock through an anti-dilution provision subject to a defined financing cap and the eligibility to receive up to $217.5 million in contingent cash payments, including specified development, regulatory and sales-based milestone payments and tiered royalty payments. In July 2023, we received an additional 192,282 shares of Series A preferred stock pursuant to the anti-dilution provision in the IDRx Stock Purchase Agreement.</w:t>
      </w:r>
    </w:p>
    <w:p>
      <w:pPr>
        <w:spacing w:after="0" w:line="106"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In January 2025, IDRx announced that they had entered into an agreement under which GSK plc will acquire IDRx for $1.0 billion upfront with an additional $150.0 million regulatory approval-based milestone payment. The transaction is expected to close in the first quarter 2025.</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 Summary</w:t>
      </w:r>
    </w:p>
    <w:p>
      <w:pPr>
        <w:spacing w:after="0" w:line="160"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Royalty Purchase Agreement. </w:t>
      </w:r>
      <w:r>
        <w:rPr>
          <w:rFonts w:ascii="Times New Roman" w:cs="Times New Roman" w:eastAsia="Times New Roman" w:hAnsi="Times New Roman"/>
          <w:sz w:val="18"/>
          <w:szCs w:val="18"/>
          <w:color w:val="auto"/>
        </w:rPr>
        <w:t>In June 2022, we entered into a purchase and sale agreement with Royalty Pharma,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refer to as the Royalty Purchase Agreement. Pursuant to the Royalty Purchase Agreement, we received an upfront cash payment of $175.0 million in exchange for all of our existing rights to receive royalty payments on the net sales of GAVRETO worldwide excluding the CStone Territory and U.S. territory under the terms of the Roche pralsetinib collaboration agreement. However, in February 2023, we received written notice from Roche of their election to terminate for convenience the Roche pralsetinib collaboration agreement. The termination became effective in February 2024. In connection with and effective upon the termination of the Roche pralsetinib collaboration agreement, on February 22, 2024, we and Royalty Pharma agreed to terminate the Royalty Purchase Agreement, which we refer to as the Royalty Pharma Termination Agreement. Following the termination of the Royalty Purchase Agreement, we have no outstanding obligations under the Royalty Purchase Agreement, other than the remaining royalty payment obligation related to GAVRETO net sales as of the termination effective date, which has since been paid. As of December 31, 2024, we have no plans to enter into a new arrangement to commercialize GAVRETO outside of the U.S. and the CStone Territory.</w:t>
      </w:r>
    </w:p>
    <w:p>
      <w:pPr>
        <w:spacing w:after="0" w:line="23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Synthetic Royalty Facility. </w:t>
      </w:r>
      <w:r>
        <w:rPr>
          <w:rFonts w:ascii="Times New Roman" w:cs="Times New Roman" w:eastAsia="Times New Roman" w:hAnsi="Times New Roman"/>
          <w:sz w:val="18"/>
          <w:szCs w:val="18"/>
          <w:color w:val="auto"/>
        </w:rPr>
        <w:t>In June 2022, we entered into a purchase and sale agreement with Sixth Street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refer to as the Future Revenue Purchase Agreement.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AYVAKIT/AYVAKYT and (ii) if it is approved, aggregate worldwide annual net product sales of elenestinib,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104"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Debt Facility. </w:t>
      </w:r>
      <w:r>
        <w:rPr>
          <w:rFonts w:ascii="Times New Roman" w:cs="Times New Roman" w:eastAsia="Times New Roman" w:hAnsi="Times New Roman"/>
          <w:sz w:val="18"/>
          <w:szCs w:val="18"/>
          <w:color w:val="auto"/>
        </w:rPr>
        <w:t>In June 2022, we entered into a financing agreement for up to $660.0 million with Sixth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which we refer to as the Financing Agreement. The Financing Agreement, as amended,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and in May 2024, we received the second tranche in the amount of $150.0 million in gross proceeds. In addition, we may at any time request an incremental term loan in an amount not to exceed $260.0 million on terms to be agreed and subject to the consent of the lenders providing such incremental term loan.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5572125" cy="6875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2125" cy="687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70"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As a global, fully-integrated biopharmaceutical company that invents life-changing medicines, we seek to alleviate human suffering by solving important medical problems in two core focus areas: allergy/inflammation and oncology/hematology. Our approach targets the root causes of disease, using deep scientific knowledge in our core focus areas and drug discovery expertise across multiple therapeutic modalities. Our goal is to pursue discovery, development, and commercialization of therapies that potently and selectively target known drivers of disease, with focused investment in therapeutic areas where we can leverage our core expertise and business infrastructure to bring scale to our science, to bring the benefit of Blueprint therapies to as many patients as possible. To achieve this goal, key elements of our strategy are as follows:</w:t>
      </w:r>
    </w:p>
    <w:p>
      <w:pPr>
        <w:spacing w:after="0" w:line="232" w:lineRule="exact"/>
        <w:rPr>
          <w:sz w:val="20"/>
          <w:szCs w:val="20"/>
          <w:color w:val="auto"/>
        </w:rPr>
      </w:pPr>
    </w:p>
    <w:p>
      <w:pPr>
        <w:jc w:val="both"/>
        <w:ind w:left="1340" w:right="379" w:hanging="318"/>
        <w:spacing w:after="0" w:line="258"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adoption of our approved medicines, including AYVAKIT/AYVAKYT in the U.S. and Europe, continue to strengthen and expand our global commercial capabilities and prepare for future potential commercial launches of new investigational medicines.</w:t>
      </w:r>
    </w:p>
    <w:p>
      <w:pPr>
        <w:spacing w:after="0" w:line="182" w:lineRule="exact"/>
        <w:rPr>
          <w:rFonts w:ascii="Times New Roman" w:cs="Times New Roman" w:eastAsia="Times New Roman" w:hAnsi="Times New Roman"/>
          <w:sz w:val="18"/>
          <w:szCs w:val="18"/>
          <w:color w:val="auto"/>
        </w:rPr>
      </w:pPr>
    </w:p>
    <w:p>
      <w:pPr>
        <w:ind w:left="1340" w:right="159" w:hanging="318"/>
        <w:spacing w:after="0" w:line="266"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our strategic focus on mast cell diseases, including systemic mastocytosis, chronic urticaria, and other diseases implicated by KIT-mediated signaling, by continuing the development of elenestinib and BLU-808.</w:t>
      </w:r>
    </w:p>
    <w:p>
      <w:pPr>
        <w:spacing w:after="0" w:line="175" w:lineRule="exact"/>
        <w:rPr>
          <w:rFonts w:ascii="Times New Roman" w:cs="Times New Roman" w:eastAsia="Times New Roman" w:hAnsi="Times New Roman"/>
          <w:sz w:val="18"/>
          <w:szCs w:val="18"/>
          <w:color w:val="auto"/>
        </w:rPr>
      </w:pPr>
    </w:p>
    <w:p>
      <w:pPr>
        <w:ind w:left="1340" w:right="139" w:hanging="318"/>
        <w:spacing w:after="0" w:line="258"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Advance our innovative research programs, including our </w:t>
      </w:r>
      <w:r>
        <w:rPr>
          <w:rFonts w:ascii="Times New Roman" w:cs="Times New Roman" w:eastAsia="Times New Roman" w:hAnsi="Times New Roman"/>
          <w:sz w:val="18"/>
          <w:szCs w:val="18"/>
          <w:color w:val="0A0A0A"/>
          <w:highlight w:val="white"/>
        </w:rPr>
        <w:t>CDK2 and CDK4 targeted protein degraders,</w:t>
      </w:r>
      <w:r>
        <w:rPr>
          <w:rFonts w:ascii="Times New Roman" w:cs="Times New Roman" w:eastAsia="Times New Roman" w:hAnsi="Times New Roman"/>
          <w:sz w:val="18"/>
          <w:szCs w:val="18"/>
          <w:color w:val="auto"/>
        </w:rPr>
        <w:t xml:space="preserve"> and our other preclinical programs, rapidly through development as we continue ongoing discussions for potential strategic partnership.</w:t>
      </w:r>
    </w:p>
    <w:p>
      <w:pPr>
        <w:spacing w:after="0" w:line="182" w:lineRule="exact"/>
        <w:rPr>
          <w:rFonts w:ascii="Times New Roman" w:cs="Times New Roman" w:eastAsia="Times New Roman" w:hAnsi="Times New Roman"/>
          <w:sz w:val="18"/>
          <w:szCs w:val="18"/>
          <w:color w:val="auto"/>
        </w:rPr>
      </w:pPr>
    </w:p>
    <w:p>
      <w:pPr>
        <w:ind w:left="1340" w:right="219" w:hanging="318"/>
        <w:spacing w:after="0" w:line="261"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focused, differentiated pipeline, with prioritization towards mast cell diseases within allergy/inflammation and solid tumors within oncology/hematology, and continued internal discovery research and innovation, inclusive of targeted protein degradation, as well as opportunities to acquire or in-license complementary technologies or therapies.</w:t>
      </w:r>
    </w:p>
    <w:p>
      <w:pPr>
        <w:spacing w:after="0" w:line="179" w:lineRule="exact"/>
        <w:rPr>
          <w:rFonts w:ascii="Times New Roman" w:cs="Times New Roman" w:eastAsia="Times New Roman" w:hAnsi="Times New Roman"/>
          <w:sz w:val="18"/>
          <w:szCs w:val="18"/>
          <w:color w:val="auto"/>
        </w:rPr>
      </w:pPr>
    </w:p>
    <w:p>
      <w:pPr>
        <w:ind w:left="1340" w:right="239" w:hanging="318"/>
        <w:spacing w:after="0" w:line="258"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potential additional collaborations, partnerships and licenses that could maximize the value of our existing programs and allow us to leverage the expertise of strategic collaborators, partners and licensors, including in additional geographies where we may not have current operations or expertise.</w:t>
      </w:r>
    </w:p>
    <w:p>
      <w:pPr>
        <w:spacing w:after="0" w:line="182" w:lineRule="exact"/>
        <w:rPr>
          <w:rFonts w:ascii="Times New Roman" w:cs="Times New Roman" w:eastAsia="Times New Roman" w:hAnsi="Times New Roman"/>
          <w:sz w:val="18"/>
          <w:szCs w:val="18"/>
          <w:color w:val="auto"/>
        </w:rPr>
      </w:pPr>
    </w:p>
    <w:p>
      <w:pPr>
        <w:ind w:left="1340" w:right="59" w:hanging="318"/>
        <w:spacing w:after="0" w:line="266" w:lineRule="auto"/>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commitment to building a corporate culture centered by our focus on patient needs, science-driven approach to drug development, and organizational strength through the diversity of experience and perspective across our workforce.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Collaborations, Licenses and Other Agreements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w:t>
      </w:r>
    </w:p>
    <w:p>
      <w:pPr>
        <w:spacing w:after="0" w:line="22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Pralsetinib Collaboration. </w:t>
      </w:r>
      <w:r>
        <w:rPr>
          <w:rFonts w:ascii="Times New Roman" w:cs="Times New Roman" w:eastAsia="Times New Roman" w:hAnsi="Times New Roman"/>
          <w:sz w:val="17"/>
          <w:szCs w:val="17"/>
          <w:color w:val="auto"/>
        </w:rPr>
        <w:t>In July 2020, we entered into a collaboration agreement with Roche, which we refer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the Roche pralsetinib collaboration, to develop and commercialize pralsetinib for the treatment of RET-altered cancers. Under the Roche pralsetinib collaboration, we and Genentech co-commercialized GAVRETO in the U.S., and Roche was granted exclusive commercialization rights for pralsetinib outside of the U.S., excluding Mainland China, Hong Kong, Macau and Taiwan (each a CStone region and, collectively, the CStone Territory). In February 2023, we received written notice from Roche of their election to terminate for convenience the Roche pralsetinib collaboration agreement. The termination became effective on February 22, 2024, at which time we entered into the Roche transition agreement and sold the U.S. rights to research, develop, manufacture and commercialize pralsetinib to Rigel pursuant to an Asset Purchase Agreement and certain supporting agreements, including a customary transition agreement (such agreements collectively referred to as the Rigel Agreement). In January 2024, we decided to discontinue global development and marketing of GAVRETO in territories excluding the U.S. and CStone Territory, due to a lack of an alternate partner in these regions. We continue to work with Roche on the transition and wind-down activities contemplated in the Roche transition agreement.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CStone</w:t>
      </w:r>
    </w:p>
    <w:p>
      <w:pPr>
        <w:spacing w:after="0" w:line="270"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On June 1, 2018, we entered into a collaboration and license agreement, or the CStone agreement, with CStone pursuant to which we granted CStone exclusive rights to develop and commercialize avapritinib, pralsetinib and fisogatinib, as well as any back-up and other forms thereof, which we refer to collectively as the licensed products, in the CStone Territory, either as a monotherapy or as part of a combination therapy. We will retain exclusive rights to the licensed products outside the CStone Territory.</w:t>
      </w:r>
    </w:p>
    <w:p>
      <w:pPr>
        <w:spacing w:after="0" w:line="22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received an upfront cash payment of $40.0 million, and through December 31, 2024, we have received $38.5 million in milestone payments under this collaboration. Subject to the terms of the CStone agreement, in addition to upfront and milestone payments received through December 31, 2024, we will be eligible to receive up to $307.5 million in contingent payments, including specified development, regulatory and sales-based milestones for licensed products. In addition, CStone will be obligated to pay us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is shared by us and CStone.</w:t>
      </w:r>
    </w:p>
    <w:p>
      <w:pPr>
        <w:spacing w:after="0" w:line="21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23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region-by-region basis until the later of (i) 12 years after the first commercial sale of a licensed product in a region in the CStone Territory and (ii) the date of expiration of the last valid patent claim related to our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us, and CStone may terminate the CStone agreement with respect to a licensed product for convenience at any time by providing written notice to us following the occurrence of specified events. In addition, we may terminate the CStone agreement under specified circumstances if CStone or certain other parties challenges our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our uncured material breach, we will be obligated to pay CStone a low single digit percentage royalty on a licensed product-by-licensed product on annual net sales of such licensed product in the CStone Territory, subject to a cap and other specified exceptions.</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Clementia</w:t>
      </w:r>
    </w:p>
    <w:p>
      <w:pPr>
        <w:spacing w:after="0" w:line="27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212529"/>
        </w:rPr>
        <w:t xml:space="preserve">On October 15, 2019, we entered into a license agreement, or the Clementia agreement, with Clementia. </w:t>
      </w:r>
      <w:r>
        <w:rPr>
          <w:rFonts w:ascii="Times New Roman" w:cs="Times New Roman" w:eastAsia="Times New Roman" w:hAnsi="Times New Roman"/>
          <w:sz w:val="18"/>
          <w:szCs w:val="18"/>
          <w:color w:val="000000"/>
        </w:rPr>
        <w:t>Under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Clementia agreement, we granted an exclusive, worldwide, royalty-bearing license to Clementia to develop and commercialize BLU-782, an oral, highly selective investigational ALK2 inhibitor in clinical development for the treatment of FOP, as well as specified other compounds related to the BLU-782 program, which we refer to as the Clementia licensed products.</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received an upfront cash payment of $25.0 million in the fourth quarter of 2019, and through</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we have received $50.0 million in milestone payments under this license agreement. Subject to the</w:t>
      </w:r>
    </w:p>
    <w:p>
      <w:pPr>
        <w:ind w:left="60"/>
        <w:spacing w:after="0"/>
        <w:rPr>
          <w:sz w:val="20"/>
          <w:szCs w:val="20"/>
          <w:color w:val="auto"/>
        </w:rPr>
      </w:pPr>
      <w:r>
        <w:rPr>
          <w:rFonts w:ascii="Times New Roman" w:cs="Times New Roman" w:eastAsia="Times New Roman" w:hAnsi="Times New Roman"/>
          <w:sz w:val="18"/>
          <w:szCs w:val="18"/>
          <w:color w:val="auto"/>
        </w:rPr>
        <w:t>terms of the Clementia agreement, in addition to the upfront and milestone payments received, we will be eligible to</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receive up to $</w:t>
      </w:r>
      <w:r>
        <w:rPr>
          <w:rFonts w:ascii="Times New Roman" w:cs="Times New Roman" w:eastAsia="Times New Roman" w:hAnsi="Times New Roman"/>
          <w:sz w:val="18"/>
          <w:szCs w:val="18"/>
          <w:color w:val="1F2328"/>
        </w:rPr>
        <w:t>460.0</w:t>
      </w:r>
      <w:r>
        <w:rPr>
          <w:rFonts w:ascii="Times New Roman" w:cs="Times New Roman" w:eastAsia="Times New Roman" w:hAnsi="Times New Roman"/>
          <w:sz w:val="18"/>
          <w:szCs w:val="18"/>
          <w:color w:val="auto"/>
        </w:rPr>
        <w:t xml:space="preserve"> million in development, regulatory and sales-based milestone payments for the Clementia licensed</w:t>
      </w:r>
    </w:p>
    <w:p>
      <w:pPr>
        <w:sectPr>
          <w:pgSz w:w="11900" w:h="16838" w:orient="portrait"/>
          <w:cols w:equalWidth="0" w:num="1">
            <w:col w:w="9019"/>
          </w:cols>
          <w:pgMar w:left="1440" w:top="513" w:right="1440" w:bottom="1440" w:gutter="0" w:footer="0" w:header="0"/>
        </w:sect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products. In addition, Clementia is obligated to pay to us royalties on aggregate annual worldwide net sales of Clementia licensed products at tiered percentage rates ranging from the low- to mid-teens, subject to adjustment in specified circumstances under the Clementia agreement, and to purchase specified manufacturing inventory from our company.</w:t>
      </w:r>
    </w:p>
    <w:p>
      <w:pPr>
        <w:spacing w:after="0" w:line="198"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Clementia agreement, we were responsible for specified activities during a transition period, which has been completed, and Clementia is responsible for conducting all development and commercialization activities related to the Clementia licensed products, including the design, timing and conduct of any Phase 2 clinical trial evaluating BLU-782 for the treatment of FOP.</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term of the agreement, we have agreed not to exploit any compound covered by the licensed patents for the treatment of FOP or multiple osteochondromas, or MO. In addition, with respect to any small molecule compound not covered by the licensed patents, we have agreed not to research, develop or manufacture any small molecule compound for the treatment of FOP or MO for a period of five years from the effective date of the Clementia agreement and not to commercialize any small molecule compound for the treatment of FOP or MO for a period of seven years from the effective date of the Clementia agreement.</w:t>
      </w:r>
    </w:p>
    <w:p>
      <w:pPr>
        <w:spacing w:after="0" w:line="23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us. Either party may terminate the agreement for the other party’s uncured material breach or insolvency and in certain other circumstances agreed to by the parties. In certain termination circumstances, we are entitled to retain specified licenses to be able to continue to exploit the Clementia licensed products.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7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On November 8, 2021, we entered into a license and collaboration agreement, or the Zai Lab agreement, with Zai Lab. Under the Zai Lab agreement, we granted an exclusive license for the development and commercialization of BLU-945 and BLU-525, including any back-up and other forms thereof, for the treatment of EGFR-driven NSCLC in Greater China, including Mainland China, Hong Kong, Macau and Taiwan, either as a monotherapy or as part of a combination therapy. We retain exclusive rights to the licensed products outside the Zai Lab territory.</w:t>
      </w:r>
    </w:p>
    <w:p>
      <w:pPr>
        <w:spacing w:after="0" w:line="228"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We received an upfront cash payment of $25.0 million in the fourth quarter of 2021. Subject to the terms of the Zai Lab agreement, in addition to the upfront payment received, we will be eligible to receive up to $590.0 million in potential development, regulatory and sales-based milestone payments, and tiered royalties on a product-by-product basis ranging from the low-teens to mid-teens on annual net sales of the licensed products in Greater China, subject to adjustment in specified circumstances under the Zai Lab agreement.</w:t>
      </w:r>
    </w:p>
    <w:p>
      <w:pPr>
        <w:spacing w:after="0" w:line="22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agreement, Zai Lab is responsible for all the development costs for the licensed products, which currently include BLU-945 and BLU-525, occurring in Greater China. In January 2024 at the J.P. Morgan Healthcare Conference, we announced that we will discontinue further investment in these early clinical-stage therapies for EGFR-mutant NSCLC globally (other than with respect to Greater China for BLU-525 and BLU-945, which remain licensed to Zai Lab for that territory) BLU-945 and BLU-525; however, Zai Lab retains its rights to BLU-945 and BLU-525 under the agreement.</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IDRx</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August 2022, we entered into the IDRx License Agreement, pursuant to which we granted IDRx an exclusive, worldwide, royalty-bearing license to exploit our internally discovered KIT exon 13 inhibitor, IDRX-73. IDRx is a clinical-stage biopharmaceutical company and among IDRx’s founders are Alexis Borisy, Nicholas Lydon, Ph.D. and George Demetri, M.D., each of whom were then-current members of our board of directors. Due to these relationships, the transaction was approved by only the non-interested members of the Company’s board of directors.</w:t>
      </w:r>
    </w:p>
    <w:p>
      <w:pPr>
        <w:spacing w:after="0" w:line="187" w:lineRule="exact"/>
        <w:rPr>
          <w:sz w:val="20"/>
          <w:szCs w:val="20"/>
          <w:color w:val="auto"/>
        </w:rPr>
      </w:pPr>
    </w:p>
    <w:p>
      <w:pPr>
        <w:jc w:val="both"/>
        <w:ind w:left="60" w:right="559" w:firstLine="648"/>
        <w:spacing w:after="0" w:line="289" w:lineRule="auto"/>
        <w:rPr>
          <w:sz w:val="20"/>
          <w:szCs w:val="20"/>
          <w:color w:val="auto"/>
        </w:rPr>
      </w:pPr>
      <w:r>
        <w:rPr>
          <w:rFonts w:ascii="Times New Roman" w:cs="Times New Roman" w:eastAsia="Times New Roman" w:hAnsi="Times New Roman"/>
          <w:sz w:val="17"/>
          <w:szCs w:val="17"/>
          <w:color w:val="auto"/>
        </w:rPr>
        <w:t>In connection with the IDRx License Agreement, we also entered in the IDRx Stock Purchase Agreement, pursuant to which we received 4,509,105 shares of IDRx’s Series A preferred stock and we have the right to receive additional shares of IDRx’s Series A preferred stock through an anti-dilution provision subject to a defined financing</w:t>
      </w:r>
    </w:p>
    <w:p>
      <w:pPr>
        <w:sectPr>
          <w:pgSz w:w="11900" w:h="16838" w:orient="portrait"/>
          <w:cols w:equalWidth="0" w:num="1">
            <w:col w:w="9019"/>
          </w:cols>
          <w:pgMar w:left="1440" w:top="513" w:right="1440" w:bottom="1440" w:gutter="0" w:footer="0" w:header="0"/>
        </w:sectPr>
      </w:pP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cap. In July 2023, the Company received 192,282 additional shares of Series A preferred stock under the anti-dilution provision.</w:t>
      </w:r>
    </w:p>
    <w:p>
      <w:pPr>
        <w:spacing w:after="0" w:line="16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also eligible to receive up to $217.5 million in contingent cash payments, including specified development, regulatory and sales-based milestone payments. In addition, IDRx is obligated to pay royalties on aggregate annual worldwide net sales of licensed products at tiered percentage rates up to low-teens, subject to adjustments in specified circumstances under the IDRx License Agreement.</w:t>
      </w:r>
    </w:p>
    <w:p>
      <w:pPr>
        <w:spacing w:after="0" w:line="180"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us. We both can terminate the IDRx License Agreement for a material breach by the other party or for insolvency, and we may terminate the IDRx License Agreement for IDRx’s breach of the anti-dilution provision in the IDRx Stock Purchase Agreement. Upon termination of the IDRx License Agreement in its entirety, all rights and obligations under the agreement will terminate and revert back to us, and we have a license under certain intellectual property of IDRx to continue to exploit the compound and terminated product, subject to a royalty that will be negotiated at the time of termination.</w:t>
      </w:r>
    </w:p>
    <w:p>
      <w:pPr>
        <w:spacing w:after="0" w:line="205"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In January 2025, IDRx announced that they had entered into an agreement under which GSK plc will acquire IDRx for $1.0 billion upfront with an additional $150.0 million regulatory approval-based milestone payment. The transaction is expected to close in the first quarter 2025.</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268" w:lineRule="exact"/>
        <w:rPr>
          <w:sz w:val="20"/>
          <w:szCs w:val="20"/>
          <w:color w:val="auto"/>
        </w:rPr>
      </w:pPr>
    </w:p>
    <w:p>
      <w:pPr>
        <w:ind w:left="60" w:right="119"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Royalty Purchase Agreement. </w:t>
      </w:r>
      <w:r>
        <w:rPr>
          <w:rFonts w:ascii="Times New Roman" w:cs="Times New Roman" w:eastAsia="Times New Roman" w:hAnsi="Times New Roman"/>
          <w:sz w:val="17"/>
          <w:szCs w:val="17"/>
          <w:color w:val="auto"/>
        </w:rPr>
        <w:t>In June 2022, we entered into a Royalty Purchase Agreement with Royalty Pharma.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this Royalty Purchase Agreement, we received an upfront cash payment of $175.0 million. However, in</w:t>
      </w:r>
    </w:p>
    <w:p>
      <w:pPr>
        <w:spacing w:after="0" w:line="1" w:lineRule="exact"/>
        <w:rPr>
          <w:sz w:val="20"/>
          <w:szCs w:val="20"/>
          <w:color w:val="auto"/>
        </w:rPr>
      </w:pPr>
    </w:p>
    <w:p>
      <w:pPr>
        <w:ind w:left="60" w:right="339"/>
        <w:spacing w:after="0" w:line="259" w:lineRule="auto"/>
        <w:rPr>
          <w:sz w:val="20"/>
          <w:szCs w:val="20"/>
          <w:color w:val="auto"/>
        </w:rPr>
      </w:pPr>
      <w:r>
        <w:rPr>
          <w:rFonts w:ascii="Times New Roman" w:cs="Times New Roman" w:eastAsia="Times New Roman" w:hAnsi="Times New Roman"/>
          <w:sz w:val="17"/>
          <w:szCs w:val="17"/>
          <w:color w:val="auto"/>
        </w:rPr>
        <w:t>February 2023, Roche provided written notice of their election to terminate the Roche pralsetinib collaboration agreement for convenience. In connection with and effective upon the termination of the Roche pralsetinib collaboration agreement, on</w:t>
      </w:r>
    </w:p>
    <w:p>
      <w:pPr>
        <w:ind w:left="60" w:right="119"/>
        <w:spacing w:after="0" w:line="261" w:lineRule="auto"/>
        <w:rPr>
          <w:sz w:val="20"/>
          <w:szCs w:val="20"/>
          <w:color w:val="auto"/>
        </w:rPr>
      </w:pPr>
      <w:r>
        <w:rPr>
          <w:rFonts w:ascii="Times New Roman" w:cs="Times New Roman" w:eastAsia="Times New Roman" w:hAnsi="Times New Roman"/>
          <w:sz w:val="17"/>
          <w:szCs w:val="17"/>
          <w:color w:val="auto"/>
        </w:rPr>
        <w:t>February 22, 2024, we and Royalty Pharma agreed to terminate the Royalty Pharma Agreement pursuant to the Royalty Pharma Termination Agreement. Following the termination of the Royalty Purchase Agreement, we have no outstanding obligations under the Royalty Purchase Agreement, other than the remaining royalty payment obligation related to GAVRETO net sales as of the termination effective date, which has since been paid. As of December 31, 2024, we have no</w:t>
      </w:r>
    </w:p>
    <w:p>
      <w:pPr>
        <w:ind w:left="60" w:right="259"/>
        <w:spacing w:after="0" w:line="245" w:lineRule="auto"/>
        <w:rPr>
          <w:sz w:val="20"/>
          <w:szCs w:val="20"/>
          <w:color w:val="auto"/>
        </w:rPr>
      </w:pPr>
      <w:r>
        <w:rPr>
          <w:rFonts w:ascii="Times New Roman" w:cs="Times New Roman" w:eastAsia="Times New Roman" w:hAnsi="Times New Roman"/>
          <w:sz w:val="18"/>
          <w:szCs w:val="18"/>
          <w:color w:val="auto"/>
        </w:rPr>
        <w:t xml:space="preserve">plans to enter into a new arrangement to commercialize GAVRETO outside of the U.S. and the CStone territory.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termination of the Roche pralsetinib collaboration agreement did not affect the upfront cash payment we received from Royalty Pharma.</w:t>
      </w:r>
    </w:p>
    <w:p>
      <w:pPr>
        <w:spacing w:after="0" w:line="23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Synthetic Royalty Facility. </w:t>
      </w:r>
      <w:r>
        <w:rPr>
          <w:rFonts w:ascii="Times New Roman" w:cs="Times New Roman" w:eastAsia="Times New Roman" w:hAnsi="Times New Roman"/>
          <w:sz w:val="18"/>
          <w:szCs w:val="18"/>
          <w:color w:val="auto"/>
        </w:rPr>
        <w:t>In June 2022, we entered a Future Revenue Purchase Agreement with Sixth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21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Debt Facility. </w:t>
      </w:r>
      <w:r>
        <w:rPr>
          <w:rFonts w:ascii="Times New Roman" w:cs="Times New Roman" w:eastAsia="Times New Roman" w:hAnsi="Times New Roman"/>
          <w:sz w:val="18"/>
          <w:szCs w:val="18"/>
          <w:color w:val="auto"/>
        </w:rPr>
        <w:t>In June 2022, we entered into a financing agreement, the Financing Agreement, for up to $660.0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million with Sixth Street Partners. The Financing Agreement provides for (i) a senior secured term loan facility of up to $150.0 million and (ii) a senior secured delayed draw term loan facility of up to $250.0 million to be funded in two tranches at our choice. The loans will mature on June 30, 2028 and bear interest at a variable rate equal to either the SOFR plus 6.50% or the base rate plus 5.50%, subject to a floor of 1% and 2% with respect to the SOFR and base rate, respectively. The initial gross proceeds of $150.0 million was funded in July 2022. </w:t>
      </w:r>
      <w:r>
        <w:rPr>
          <w:rFonts w:ascii="Times New Roman" w:cs="Times New Roman" w:eastAsia="Times New Roman" w:hAnsi="Times New Roman"/>
          <w:sz w:val="17"/>
          <w:szCs w:val="17"/>
          <w:color w:val="auto"/>
        </w:rPr>
        <w:t>In August 2023, we received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tranche of the senior secured delayed draw term loan facility in the amount of $100.0 million in gross proceeds and in May 2024, we received the second tranche in the amount of $150.0 million in gross proceeds. In addition, we may at any time</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request an incremental term loan in an amount not to exceed $260.0 million on terms to be agreed and subject to the consent of the lenders providing such incremental term loan.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drugs and drug candidates, as well as our core technologies, including our novel target discovery engine, our proprietary compound library, targeted protein degrader platform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compounds,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31"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devote considerable effort and resources to protecting inventions, trade-secrets, and know-how related to our approved medicines AYVAKIT®/AYVAKYT® and our drug candidates in an effort to establish strong intellectual property positions regarding these new chemical entities and their uses and other technologies, including formulations, solid forms, manufacturing processes, and patient selection markers that may be useful with our drugs and drug candidates. We have patent rights that are the subject of U.S. and foreign patents and patent applications in the U.S. and a number of other jurisdictions, including Australia, Canada, certain Central and South American countries, certain Asian countries (including Greater China), the EU, certain Eurasian countries, certain Middle Eastern countries, New Zealand, and certain African countries. Our issued patents and patent applications of our most advanced programs pertain to our approved medicine AYVAKIT and clinical candidates.</w:t>
      </w:r>
    </w:p>
    <w:p>
      <w:pPr>
        <w:spacing w:after="0" w:line="21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file trademarks to protect our products. Typically, we file trademark applications in the U.S., Europe, and elsewhere in the world as appropriate. In addition to multiple pending trademark applications in the U.S. and other major countries, we have registered trademarks, including but not limited to AYVAKIT in the U.S. and to AYVAKYT in the EU. In addition to patents and trademarks for our drug products, we seek to obtain all available regulatory exclusivities for our marketed products, including data and orphan exclusivities in the relevant jurisdictions.</w:t>
      </w:r>
    </w:p>
    <w:p>
      <w:pPr>
        <w:spacing w:after="0" w:line="210"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patent portfolios relating to our approved medicines and most advanced programs as of December 31, 2024 are summarized below.</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Mast Cell Diseases - AYVAKIT/AYVAKYT (avapritinib), </w:t>
      </w:r>
      <w:r>
        <w:rPr>
          <w:rFonts w:ascii="Times New Roman" w:cs="Times New Roman" w:eastAsia="Times New Roman" w:hAnsi="Times New Roman"/>
          <w:sz w:val="19"/>
          <w:szCs w:val="19"/>
          <w:b w:val="1"/>
          <w:bCs w:val="1"/>
          <w:i w:val="1"/>
          <w:iCs w:val="1"/>
          <w:color w:val="auto"/>
          <w:highlight w:val="white"/>
        </w:rPr>
        <w:t>Elenestinib (BLU-263), and BLU-808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-1270</wp:posOffset>
            </wp:positionV>
            <wp:extent cx="31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70"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patent portfolios relating to our approved medicines and most advanced programs as of December 31, 2024 are summarized below.</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KIT D816V Mutant Program - AYVAKIT/AYVAKYT (avapritinib) and elenestinib</w:t>
      </w:r>
    </w:p>
    <w:p>
      <w:pPr>
        <w:spacing w:after="0" w:line="25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patent portfolio for our mutant KIT programs contain patents and patent applications directed to compositions of matter for AYVAKIT/AYVAKYT, elenestinib, and other compound families, including solid forms and methods of use and manufacture. As of December 31, 2024, we own 16 U.S. patents, 4 European patents, validated in multiple states and 34 other foreign patents and multiple pending patent applications in the U.S., Europe and in various foreign jurisdictions. The patents that have issued or will issue covering AYVAKIT/AYVAKYT and elenestinib will have a statutory expiration date between 2034 and 2043. Patent term adjustments, patent term extensions, and supplementary protection certificates could result in later expiration dates.</w:t>
      </w:r>
    </w:p>
    <w:p>
      <w:pPr>
        <w:spacing w:after="0" w:line="216"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addition, in connection with our FDA approval on January 9, 2020, the FDA granted AYVAKIT new chemical entity, or NCE, exclusivity until January 9, 2025 and Orphan Drug Exclusivity, or ODE, until January 9, 2027. In connection with our FDA approval on June 16, 2021, the FDA granted AYVAKIT new clinical indication exclusivity for two indications until June 16, 2024 and ODE until June 16, 2028. In connection with our FDA approval on May 22, 2023, the FDA granted AYVAKIT new clinical indication exclusivity until May 22, 2026 and ODE until May 22, 2030.</w:t>
      </w:r>
    </w:p>
    <w:p>
      <w:pPr>
        <w:sectPr>
          <w:pgSz w:w="11900" w:h="16838" w:orient="portrait"/>
          <w:cols w:equalWidth="0" w:num="1">
            <w:col w:w="9019"/>
          </w:cols>
          <w:pgMar w:left="1440" w:top="513" w:right="1440" w:bottom="1440" w:gutter="0" w:footer="0" w:header="0"/>
        </w:sect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notification of our EMA approval on September 25, 2020, the EMA granted AYVAKYT Orphan marketing exclusivity until September 25, 2030. Additionally, 1 year of market protection was granted after authorization of new therapeutic indication representing a significant clinical benefit in comparison with existing therapies until September 25, 2031. In connection with notification of our EMA approval on March 25, 2022, the EMA granted AYVAKYT Orphan marketing exclusivity until March 25, 2032. In connection with notification of our EMA approval on December 12, 2023, the EMA granted AYVAKYT Orphan marketing exclusivity December 12, 2033.</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Wild-type KIT Program — BLU-808</w:t>
      </w:r>
    </w:p>
    <w:p>
      <w:pPr>
        <w:spacing w:after="0" w:line="256"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 patent portfolio for our wild-type KIT program contains patents and patent applications directed to compositions of matter for BLU-808 and other compound families, as well as solid forms and methods of use and manufacture. As of December 31, 2024, we own 8 pending patent applications in the U.S., Argentina and Taiwan. The patents that will issue covering our wild-type KIT program will have a statutory expiration date between 2043 and 2045. Patent term adjustments, patent term extensions, and supplementary protection certificates could result in later expiration dates.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Cell Cycle Inhibition Program - CDK2 Inhibitors (BLU-222, BLU-956) and CDK Protein Degraders</w:t>
      </w:r>
    </w:p>
    <w:p>
      <w:pPr>
        <w:spacing w:after="0" w:line="270"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The patent portfolio for our Cell Cycle Inhibition program contains patent applications directed to CDK2 inhibitors and CDK protein degraders, including compositions of matter for BLU-222, BLU-956 and other compound families, as well as solid forms and methods of use and manufacture. As of December 31, 2024, we own 2 issued U.S. patents, 1 issued foreign patent and 88 patent applications pending in the U.S., PCT and in various foreign jurisdictions. The patents that will issue covering our Cell Cycle Inhibition program will have a statutory expiration date between 2042 and 2045. Patent term adjustments, patent term extensions, and supplementary protection certificates could result in later expiration dates.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27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 — U.S. Patent Term Restoration and Marketing Exclusivity</w:t>
      </w:r>
      <w:r>
        <w:rPr>
          <w:rFonts w:ascii="Times New Roman" w:cs="Times New Roman" w:eastAsia="Times New Roman" w:hAnsi="Times New Roman"/>
          <w:sz w:val="18"/>
          <w:szCs w:val="18"/>
          <w:color w:val="auto"/>
        </w:rPr>
        <w:t>” below for additional information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exclusivity. In the future, if applicable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234"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 for our drug,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U.S. that also claim technology or therapeutics to which we have rights, we may have to participate in interference proceedings in the U.S. Patent and Trademark Office (USPTO) to determine priority of invention, which could result in substantial costs to us, even if the eventual outcome is favorable to us, which is highly unpredictable. In addition, because of the extensive time required for clinical development and regulatory review of a drug or drug candidate we may develop, it is possible that, before any of our approved drugs or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third-party service providers, and scientific advisors, and non-competition, non-solicitation, confidentiality, and invention assignment agreements with our employees. We have also executed agreements requiring assignment of inventions with selected scientific advisors, consultants, and collaborators. The confidentiality agreements we enter into are designed to protect our proprietary information and the agreements or clauses requiring assignment of inventions to us are designed to grant us ownership of drugs, drug candidates and technologies that are developed through our relationship with the respective counterparty. We cannot guarantee, however, that these agreements will afford us adequate protection of our intellectual property and proprietary information rights.</w:t>
      </w:r>
    </w:p>
    <w:p>
      <w:pPr>
        <w:spacing w:after="0" w:line="215"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With respect to the building of our discovery platform, including our proprietary compound library and targeted protein degrader platform, we consider trade secrets and know-how to be our primary intellectual property. Trade secrets and know-how can be difficult to protect. In particular, we anticipate that with respect to our discovery platform, these trade secrets and know-how will over time be disseminated within the industry through independent development and public presentations describing the methodology.</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7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worldwide. Any drug or drug candidates that we successfully develop and commercialize will compete with existing drugs and new drugs that may become available in the future.</w:t>
      </w:r>
    </w:p>
    <w:p>
      <w:pPr>
        <w:spacing w:after="0" w:line="22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compete in two core focus areas: allergy/inflammation and oncology/hematology, developing kinase inhibitors and targeted protein degraders. There are other companies working to develop therapies in these areas. These companies include divisions of large pharmaceutical companies and biotechnology companies of various sizes.</w:t>
      </w:r>
    </w:p>
    <w:p>
      <w:pPr>
        <w:spacing w:after="0" w:line="22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1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our drugs and our current or future drug candidates, if approved, are likely to be their efficacy, safety, convenience, price, the level of generic competition and the availability of reimbursement from government and other third party payors.</w:t>
      </w:r>
    </w:p>
    <w:p>
      <w:pPr>
        <w:spacing w:after="0" w:line="232"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Our approved drugs and drug candidates, to the extent they receive marketing approval in the future for indications for which we are currently conducting or planning clinical trials, compete with or will compete with the drugs discussed below and will likely compete with other drugs that are currently in development.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SM</w:t>
      </w:r>
    </w:p>
    <w:p>
      <w:pPr>
        <w:spacing w:after="0" w:line="266" w:lineRule="exact"/>
        <w:rPr>
          <w:sz w:val="20"/>
          <w:szCs w:val="20"/>
          <w:color w:val="auto"/>
        </w:rPr>
      </w:pPr>
    </w:p>
    <w:p>
      <w:pPr>
        <w:ind w:left="60" w:right="139" w:firstLine="648"/>
        <w:spacing w:after="0" w:line="241" w:lineRule="auto"/>
        <w:rPr>
          <w:sz w:val="20"/>
          <w:szCs w:val="20"/>
          <w:color w:val="auto"/>
        </w:rPr>
      </w:pPr>
      <w:r>
        <w:rPr>
          <w:rFonts w:ascii="Times New Roman" w:cs="Times New Roman" w:eastAsia="Times New Roman" w:hAnsi="Times New Roman"/>
          <w:sz w:val="17"/>
          <w:szCs w:val="17"/>
          <w:color w:val="auto"/>
        </w:rPr>
        <w:t>AYVAKIT/AYVAKYT and elenestinib (BLU-263) face competition for advanced SM from Novartis AG’s midostaurin and imatinib, and may face competition from drug candidates in development, including that being developed by Alys Pharmaceuticals Inc., Cogent Biosciences, Inc. and Hoth Therapeutics, Inc. Avapritinib and elenestinib may face non-advanced SM competition from drug candidates in development, including those being developed by AB Science S.A., Allakos Inc., Alys Pharmaceuticals Inc., Celldex Therapeutics, Inc., Cogent Biosciences, Inc., Hoth Therapeutics, Inc., Invea Therapeutics Inc., and Telios Pharma Inc.</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GIST</w:t>
      </w:r>
    </w:p>
    <w:p>
      <w:pPr>
        <w:spacing w:after="0" w:line="25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Cogent Biosciences, Inc., Deciphera Pharmaceuticals, LLC, Exelixis, Inc., Ningbo Tai Kang Medical Technology Co. Ltd. and Xencor, Inc.</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Chronic Urticaria, Asthma, Allergic Rhinitis, and Mast Cell Activation Syndrome</w:t>
      </w:r>
    </w:p>
    <w:p>
      <w:pPr>
        <w:spacing w:after="0" w:line="27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developing BLU-808 for chronic urticaria, asthma, allergic rhinitis, MCAS and other allergy/inflammation indications, which if approved, will face competition from omalizumab developed by Genentech and Novartis. In addition, BLU-808 may face competition from drug candidates in development, including those developed by Alivexis, Inc., Amgen Inc., AstraZeneca plc, Celldex Therapeutics, Inc., Eli Lilly, Enanta Pharmaceuticals, Inc, Escient Pharmaceuticals, Inc., Evommune, Inc, Hangshou Highlightll Pharma, Incyte Corp., Jasper Therapeutics, Inc., Leo Pharma A/S, LongBio Pharma, Novartis AG, Regeneron Pharmaceuticals, Inc., Sanofi S.A., Third Harmonic Bio, Inc, </w:t>
      </w:r>
      <w:r>
        <w:rPr>
          <w:rFonts w:ascii="Times New Roman" w:cs="Times New Roman" w:eastAsia="Times New Roman" w:hAnsi="Times New Roman"/>
          <w:sz w:val="18"/>
          <w:szCs w:val="18"/>
          <w:color w:val="auto"/>
          <w:highlight w:val="white"/>
        </w:rPr>
        <w:t>Taiho Pharmaceutical Co.,</w:t>
      </w:r>
      <w:r>
        <w:rPr>
          <w:rFonts w:ascii="Times New Roman" w:cs="Times New Roman" w:eastAsia="Times New Roman" w:hAnsi="Times New Roman"/>
          <w:sz w:val="18"/>
          <w:szCs w:val="18"/>
          <w:color w:val="auto"/>
        </w:rPr>
        <w:t xml:space="preserve"> LTD, and United BioPharma.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-220345</wp:posOffset>
            </wp:positionV>
            <wp:extent cx="28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25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a global, fully-integrated biopharmaceutical company that invents life-changing medicines. We seek to alleviate human suffering by solving important medical problems in two core focus areas: allergy/inflammation and oncology/hematology. Our approach targets the root causes of disease, using deep scientific knowledge in our core focus areas and drug discovery expertise across multiple therapeutic modalities. We have established our own commercial organization in the U.S. and Europe in connection with our commercial launch of AYVAKIT in the U.S. and AYVAKYT in Europe. We have also entered into collaborations with our partners, including CStone, for global commercialization activities for AYVAKIT/AYVAKYT. We are continuing to expand our commercialization capabilities and to build our distribution capabilities to accelerate global adoption of AYVAKIT and to prepare for additional planned commercial launches.</w:t>
      </w:r>
    </w:p>
    <w:p>
      <w:pPr>
        <w:spacing w:after="0" w:line="231"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may also evaluate opportunities to establish collaborations with pharmaceutical companies to leverage their capabilities to maximize the potential of our pipeline from time to time.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w:t>
      </w:r>
    </w:p>
    <w:p>
      <w:pPr>
        <w:spacing w:after="0" w:line="25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 we may commercialize. To date, we have obtained materials for avapritinib, elenestinib and BLU-808 for our ongoing and planned clinical testing from third-party manufacturers. We obtain our supplies from these manufacturers on a purchase order basis and do not have a long-term supply arrangement in place other than for the commercial supply of AYVAKIT/AYVAKYT. Although we have negotiated manufacturing agreements with certain venders for the commercial supply of AYVAKIT/AYVAKYT, we may also obtain our supplies for these approved drugs from these manufacturers on a purchase order basis from time to time. We rely primarily on single-source third-party suppliers to manufacture and supply our drugs and may from time to time explore opportunities to identify and qualify additional manufacturers to provide the API, drug substance and drug products.</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All of our approved drugs and drug candidates are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developing drug candidates that can be produced cost-effectively at contract manufacturing facilities.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7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30"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w:t>
      </w:r>
    </w:p>
    <w:p>
      <w:pPr>
        <w:spacing w:after="0" w:line="256"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U.S. The process required by the FDA before a drug may be marketed in the U.S. generally involves the following:</w:t>
      </w:r>
    </w:p>
    <w:p>
      <w:pPr>
        <w:spacing w:after="0" w:line="220" w:lineRule="exact"/>
        <w:rPr>
          <w:sz w:val="20"/>
          <w:szCs w:val="20"/>
          <w:color w:val="auto"/>
        </w:rPr>
      </w:pPr>
    </w:p>
    <w:p>
      <w:pPr>
        <w:ind w:left="1340" w:right="59" w:hanging="318"/>
        <w:spacing w:after="0" w:line="258"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tests, sometimes referred to as preclinical laboratory tests, animal studies and formulation studies performed in accordance with applicable regulations, including the FDA’s good laboratory practice, or GLP, regulations;</w:t>
      </w:r>
    </w:p>
    <w:p>
      <w:pPr>
        <w:spacing w:after="0" w:line="182" w:lineRule="exact"/>
        <w:rPr>
          <w:rFonts w:ascii="Times New Roman" w:cs="Times New Roman" w:eastAsia="Times New Roman" w:hAnsi="Times New Roman"/>
          <w:sz w:val="18"/>
          <w:szCs w:val="18"/>
          <w:color w:val="auto"/>
        </w:rPr>
      </w:pPr>
    </w:p>
    <w:p>
      <w:pPr>
        <w:jc w:val="both"/>
        <w:ind w:left="1340" w:right="219" w:hanging="318"/>
        <w:spacing w:after="0" w:line="266"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 and must be actively maintained, including by submitting 15- or 7-day safety reports and annual safety reports;</w:t>
      </w:r>
    </w:p>
    <w:p>
      <w:pPr>
        <w:spacing w:after="0" w:line="175" w:lineRule="exact"/>
        <w:rPr>
          <w:rFonts w:ascii="Times New Roman" w:cs="Times New Roman" w:eastAsia="Times New Roman" w:hAnsi="Times New Roman"/>
          <w:sz w:val="18"/>
          <w:szCs w:val="18"/>
          <w:color w:val="auto"/>
        </w:rPr>
      </w:pPr>
    </w:p>
    <w:p>
      <w:pPr>
        <w:ind w:left="1340" w:right="59" w:hanging="318"/>
        <w:spacing w:after="0" w:line="258"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18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new drug;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NDA for review;</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drug candidate by an FDA advisory committee, where appropriate or if applicable;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(unless a fee waiver applies);</w:t>
      </w:r>
    </w:p>
    <w:p>
      <w:pPr>
        <w:spacing w:after="0" w:line="225" w:lineRule="exact"/>
        <w:rPr>
          <w:rFonts w:ascii="Times New Roman" w:cs="Times New Roman" w:eastAsia="Times New Roman" w:hAnsi="Times New Roman"/>
          <w:sz w:val="18"/>
          <w:szCs w:val="18"/>
          <w:color w:val="auto"/>
        </w:rPr>
      </w:pPr>
    </w:p>
    <w:p>
      <w:pPr>
        <w:ind w:left="1340" w:right="119" w:hanging="318"/>
        <w:spacing w:after="0" w:line="258"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API and finished drug product are produced to assess compliance with the FDA’s current good manufacturing practice, or cGMP, requirements, where appropriate or if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539" w:hanging="318"/>
        <w:spacing w:after="0" w:line="282"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sites and/or clinical trial sites that generated the data in support of the NDA;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or sale of the drug in the U.S.</w:t>
      </w:r>
    </w:p>
    <w:p>
      <w:pPr>
        <w:spacing w:after="0" w:line="266"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as well as supporting starting dose determinations, which support subsequent clinical testing. The conduct of the preclinical tests must comply with federal regulations, including GLPs, where applicable.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preclinical data, general investigational plan and the protocol(s) for human trials. The IND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222"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drug candidate to healthy volunteers and/or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 Failure to timely register a clinical trial or to submit study results to such public registries can give rise to civil monetary penalties and also prevent a non-compliant party from receiving future grant funds from the federal government.</w:t>
      </w:r>
    </w:p>
    <w:p>
      <w:pPr>
        <w:spacing w:after="0" w:line="23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7"/>
          <w:szCs w:val="17"/>
          <w:color w:val="auto"/>
        </w:rPr>
        <w:t>Clinical trials are generally conducted in three sequential phases that may overlap or be combined, known as Phase 1, Phase 2 and Phase 3 clinical trials. Phase 1 clinical trials generally involve a small number of healthy volunteers and/or disease-affected patients who are treated with the drug candidate in escalating dose cohorts. The primary purpose of these clinical trials is to assess the pharmacokinetic, or PK, profile, pharmacologic action, side effect tolerability and safety of the drug and further support dose-finding and selection. Phase 1 clinical trials may also evaluate preliminary evidence of clinical activity. Phase 2 clinical trials typically involve studies in disease-affected patients to determine the dose required to produce the desired benefits. At the same time, safety and further PK and PD information is collected, as well as identification of possible AEs and safety risks and preliminary evaluation of efficacy. Phase 3 clinical trials generally involve large numbers of patients (from several hundred to several thousand subjects) at multiple sites, in multiple countries and are designed to provide the data necessary to demonstrate the efficacy of the drug for its intended use and patient population, its safety in use, and to establish the overall benefit/risk relationship of the drug and provide an adequate basis for physician and patient labeling. Phase 3 clinical trials may include comparisons with placebo and/or other comparator treatments. The duration of treatment is often extended to mimic the actual use of a drug during marketing. Generally, two adequate and well-controlled Phase 3 clinical trials are required by the FDA for approval of an NDA. However, in settings of rare diseases and genetically-driven cancers, regulatory flexibility is given on a case-by-case basis.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479" w:firstLine="648"/>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post-marketing commitments or requirements.</w:t>
      </w:r>
    </w:p>
    <w:p>
      <w:pPr>
        <w:spacing w:after="0" w:line="207"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A sponsor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In addition, appropriate packaging must be selected and tested and stability studies must be conducted to demonstrate that the drug candidate does not undergo unacceptable deterioration over its shelf life.</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NDA and FDA Review Process</w:t>
      </w:r>
    </w:p>
    <w:p>
      <w:pPr>
        <w:spacing w:after="0" w:line="268"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FDA approval of an NDA must be obtained before a drug may be offered for sale in the U.S.</w:t>
      </w:r>
    </w:p>
    <w:p>
      <w:pPr>
        <w:spacing w:after="0" w:line="234"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as amended,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pediatric data or full or partial waivers.</w:t>
      </w:r>
    </w:p>
    <w:p>
      <w:pPr>
        <w:spacing w:after="0" w:line="227"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NDA must be accompanied by a user fee, if applicable. The FDA adjusts the PDUFA user fees on an annual basis. According to the FDA’s fiscal year 2025 fee schedule, effective October 1, 2024 through September 31, 2025, the user fee for an application requiring clinical data, such as an NDA, is $4,310,002. PDUFA also imposes an annual prescription drug product program fee for human drugs ($403,889 for the current fiscal year per approved product strength). Fee waivers or reductions are available in certain circumstances, including a waiver of the application fee for the first application filed by a small business. In addition, no user fees are assessed on NDAs for products designated as orphan drugs, unless the product also includes a non-orphan indication.</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for a new molecular entity the FDA has ten months from the filing date in which to complete its initial review of a standard NDA and respond to the applicant, and six months from the filing date for a priority NDA. The submission of a major amendment at any time during the review cycle may extend the PDUFA action date by up to three months. Only one extension can be given per review cycle. The FDA does not always meet its PDUFA goal dates for standard and priority NDAs, and the review process is often significantly extended by FDA requests for additional information or clarification.</w:t>
      </w:r>
    </w:p>
    <w:p>
      <w:pPr>
        <w:spacing w:after="0" w:line="231"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After the NDA submission is accepted for filing, the FDA reviews the NDA to determine, among other things, whether the proposed drug is safe and effective for its intended use and patient population,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patient advocates,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w:t>
      </w:r>
    </w:p>
    <w:p>
      <w:pPr>
        <w:spacing w:after="0" w:line="233"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Before approving an NDA, the FDA may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by inspecting the sponsor or clinical trial sites to ensure compliance with GCP requirements. After the FDA evaluates the application, manufacturing process and manufacturing facilities where the drug product and/or its API will be produced, it may issue an approval letter or a Complete Response Letter or defer action on an application where required inspections cannot be conducted.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withdraw the application or request a hearing. Even if such data and information is submitted, the FDA may ultimately decide that the NDA does not satisfy the criteria for approval.</w:t>
      </w:r>
    </w:p>
    <w:p>
      <w:pPr>
        <w:spacing w:after="0" w:line="222"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There is no assurance that the FDA will ultimately approve a drug product for marketing in the U.S.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requirements or if problems occur following initial marketing.</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6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 To be eligible for fast track designation, the FDA must determine, based on the request of a sponsor, that a drug is intended to treat a serious or life-threatening disease or condition and based on preclinical or preliminary clinical data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21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are also likely to be considered appropriate to receive a priority review.</w:t>
      </w:r>
    </w:p>
    <w:p>
      <w:pPr>
        <w:spacing w:after="0" w:line="230"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In addition, drugs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under the Food and Drug Omnibus Reform Act of 2022 (FDORA), the FDA is now permitted to require, as appropriate, that such trials be underway and fully enrolled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the post-marketing studies are not conducted with due diligence or the company disseminates false or misleading promotional materials with respect to the product. In addition, the FDA generally requires, unless otherwise informed by the agency, pre-approval of promotional materials, which could adversely impact the timing of the commercial launch of the product.</w:t>
      </w:r>
    </w:p>
    <w:p>
      <w:pPr>
        <w:spacing w:after="0" w:line="22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Moreover, a sponsor can request designation of a drug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and priority review. The FDA must take certain actions, such as holding timely meetings and providing advice, intended to expedite the development and review of an application for approval of a breakthrough therapy.</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Clinical Trial Diversity Plans</w:t>
      </w:r>
    </w:p>
    <w:p>
      <w:pPr>
        <w:spacing w:after="0" w:line="268"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Diversity Action Plans must specify the sponsor’s rationale and goals for clinical study enrollment (separated by the age group, ethnicity, sex and race of clinically relevant study populations) and describe how the sponsor intends to meet those goals. The guidance also urges sponsors and investigators to consider the many dimensions of clinical trial diversity, even those that extend beyond age, ethnicity, sex, and race to enroll populations that represent the patients who will be treated is the product is approved. The requirement for sponsors to submit Diversity Action Plans comes from new provisions of the FDORA. This guidance applies to Phase 3 clinical studies or, as appropriate, other pivotal clinical studies of a drug or biological product, as well as for certain clinical studies of devices, including those intended to serve as the primary basis for the FDA’s evaluation of the safety and effectiveness and benefit-risk determination of the device. The requirement to submit a Diversity Action Plan applies to clinical studies for which enrollment begins 180 days after publication of the final guidance. The Trump administration’s plans regarding the finalization of this guidance remain unknown at this time.</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Pediatric Trials</w:t>
      </w:r>
    </w:p>
    <w:p>
      <w:pPr>
        <w:spacing w:after="0" w:line="25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sponsor who is planning to submit a marketing application for a drug that includes a new active ingredient, new indication, new dosage form, new dosing regimen or new route of administration must submit an initial Pediatric Study Plan, or PSP, within sixty days of an end of 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 upon initial PSP at any time if changes to the pediatric plan need to be considered based on data collected from preclinical studies, early phase clinical trials, and/or other clinical development programs.</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Post-Marketing Requirements</w:t>
      </w:r>
    </w:p>
    <w:p>
      <w:pPr>
        <w:spacing w:after="0" w:line="254"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 to consumer advertising, restrictions on promoting drugs for uses or in patient populations that are not described in the drug’s approved labeling, which is known as “off-label use”,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There are also limitations on industry sponsored scientific and educational activities. Modifications or enhancements to the drug or its labeling or changes of the site of manufacture are often subject to the approval of the FDA and other regulators, which may or may not be received or may result in a lengthy review process. Any distribution of prescription drugs and pharmaceutical samples must comply with the U.S. Prescription Drug Marketing Act, or the PDMA, a part of the FDCA.</w:t>
      </w:r>
    </w:p>
    <w:p>
      <w:pPr>
        <w:spacing w:after="0" w:line="235"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the U.S.,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Additionally,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31" w:lineRule="exact"/>
        <w:rPr>
          <w:sz w:val="20"/>
          <w:szCs w:val="20"/>
          <w:color w:val="auto"/>
        </w:rPr>
      </w:pPr>
    </w:p>
    <w:p>
      <w:pPr>
        <w:jc w:val="both"/>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FDA also may require post-approval commitments, which may include testing that are sometimes referred to as post-marketing studies or clinical studies, risk minimization action plans and post-marketing surveillance to monitor the effects of an approved drug or place conditions on an approval that could restrict the distribution or use of the drug.</w:t>
      </w:r>
    </w:p>
    <w:p>
      <w:pPr>
        <w:spacing w:after="0" w:line="3" w:lineRule="exact"/>
        <w:rPr>
          <w:sz w:val="20"/>
          <w:szCs w:val="20"/>
          <w:color w:val="auto"/>
        </w:rPr>
      </w:pPr>
    </w:p>
    <w:p>
      <w:pPr>
        <w:ind w:left="60" w:right="79"/>
        <w:spacing w:after="0" w:line="249" w:lineRule="auto"/>
        <w:rPr>
          <w:sz w:val="20"/>
          <w:szCs w:val="20"/>
          <w:color w:val="auto"/>
        </w:rPr>
      </w:pPr>
      <w:r>
        <w:rPr>
          <w:rFonts w:ascii="Times New Roman" w:cs="Times New Roman" w:eastAsia="Times New Roman" w:hAnsi="Times New Roman"/>
          <w:sz w:val="18"/>
          <w:szCs w:val="18"/>
          <w:color w:val="auto"/>
        </w:rPr>
        <w:t>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require new post-marketing studies, and also may require the implementation of other risk management measures. The distribution of pharmaceutical drugs is subject to additional requirements and regulations, including extensive record-keeping, licensing, storage and security requirements intended to prevent the unauthorized sale of pharmaceutical drugs. In addition, under FDORA, sponsors of approved drugs must notify the FDA of any changes in marketing status, such as withdrawal of a drug, within 180 days. If the sponsor fails to meet this marketing status reporting requirement, the FDA could add the applicable products to a list of discontinued products, which would revoke the product’s ability to be marketed.</w:t>
      </w:r>
    </w:p>
    <w:p>
      <w:pPr>
        <w:spacing w:after="0" w:line="237"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Also, new government requirements, including those resulting from new legislation, may be established, or the FDA’s policies may change, which could delay or prevent regulatory approval of our drugs under development.</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254"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drug approval are also subject to regulation by numerous regulatory authorities in addition to the FDA, including, in the U.S.,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well as the 340B drug pricing program administered by the Health Resources Services Administration within the U.S. Department of Health and Human Services as amended by the Health Care and Education Reconciliation Act of 2010, or collectively, the Affordable Care Act, as well as the 340B drug pricing program administered by the Health Resources Services Administration within the U.S. Department of Health and Human Services.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22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failure to comply with regulatory requirements and changes to regulatory requirements subjects firms to possible legal or regulatory action. In addition, even if a firm complies with FDA and other requirements, new information regarding the safety or efficacy of a product could lead the FDA to modify or withdraw product approval.</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U.S. Patent Term Restoration and Marketing Exclusivity</w:t>
      </w:r>
    </w:p>
    <w:p>
      <w:pPr>
        <w:spacing w:after="0" w:line="254"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drug candidates, some of our U.S. patents may be eligible for limited patent term extension under the Drug Price Competition and Patent Term</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28"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Marketing exclusivity provisions under the FDCA can also delay the submission or the approval of certain marketing applications.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below, may offer a seven-year period of marketing exclusivity, except in certain circumstances. Pediatric exclusivity is another type of regulatory market exclusivity in the U.S. Pediatric exclusivity, if granted, adds six months to existing exclusivity periods for all formulations, dosage forms, and indications of the active moiety and patent terms. This six month exclusivity, which runs from the end of other exclusivity protection or patent term, may be granted based on the voluntary completion of a pediatric trial in accordance with an FDA issued “Written Request” for such a trial, provided that at the time pediatric exclusivity is granted there is not less than nine months of term remaining.</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54" w:lineRule="exact"/>
        <w:rPr>
          <w:sz w:val="20"/>
          <w:szCs w:val="20"/>
          <w:color w:val="auto"/>
        </w:rPr>
      </w:pPr>
    </w:p>
    <w:p>
      <w:pPr>
        <w:ind w:left="60" w:right="139" w:firstLine="648"/>
        <w:spacing w:after="0" w:line="268" w:lineRule="auto"/>
        <w:rPr>
          <w:sz w:val="20"/>
          <w:szCs w:val="20"/>
          <w:color w:val="auto"/>
        </w:rPr>
      </w:pPr>
      <w:r>
        <w:rPr>
          <w:rFonts w:ascii="Times New Roman" w:cs="Times New Roman" w:eastAsia="Times New Roman" w:hAnsi="Times New Roman"/>
          <w:sz w:val="17"/>
          <w:szCs w:val="17"/>
          <w:color w:val="auto"/>
        </w:rPr>
        <w:t>The FDA may grant orphan drug designation to drugs intended to treat a rare disease or condition that affects fewer than 200,000 individuals in the U.S., or if it affects more than 200,000 individuals in the U.S., there is no reasonable expectation that the cost of developing and marketing the drug for this type of disease or condition will be recovered from sales in the U.S. In the U.S.,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must be requested before submitting an application for marketing approval. Orphan drug designation does not convey any advantage in, or shorten the duration of, the regulatory review and approval process.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Rare Pediatric Disease Designation and Priority Review Vouchers</w:t>
      </w:r>
    </w:p>
    <w:p>
      <w:pPr>
        <w:spacing w:after="0" w:line="268" w:lineRule="exact"/>
        <w:rPr>
          <w:sz w:val="20"/>
          <w:szCs w:val="20"/>
          <w:color w:val="auto"/>
        </w:rPr>
      </w:pPr>
    </w:p>
    <w:p>
      <w:pPr>
        <w:ind w:left="60" w:right="99" w:firstLine="648"/>
        <w:spacing w:after="0" w:line="249" w:lineRule="auto"/>
        <w:rPr>
          <w:sz w:val="20"/>
          <w:szCs w:val="20"/>
          <w:color w:val="auto"/>
        </w:rPr>
      </w:pPr>
      <w:r>
        <w:rPr>
          <w:rFonts w:ascii="Times New Roman" w:cs="Times New Roman" w:eastAsia="Times New Roman" w:hAnsi="Times New Roman"/>
          <w:sz w:val="18"/>
          <w:szCs w:val="18"/>
          <w:color w:val="auto"/>
        </w:rPr>
        <w:t>Under the FDCA, the FDA incentivizes the development of drugs products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product for such disease or condition will be received from sales in the United States of such drug product. The sponsor of a product candidate for a rare pediatric disease may be eligible for a voucher that can be used to obtain a priority review for a subsequent human drug product application after the date of approval of the rare pediatric disease drug product, referred to as a priority review voucher, or PRV. A sponsor may request rare pediatric 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The FDA’s rare pediatric disease priority voucher program began to sunset on December 20, 2024, on failure of Congress to pass a continuing resolution package that included its reauthorization. Under the amended statutory sunset provisions, after December 20, 2024, the FDA may award a priority review voucher for an approved rare pediatric disease product application only if the sponsor has rare pediatric disease designation for the drug and if that designation was granted by December 20, 2024. After September 30, 2026, the FDA may not award any rare pediatric disease priority review vouchers. Congress may vote to reauthorize this program, but its future remains unknown at this time.</w:t>
      </w: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25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the EU, our existing and future drugs will also be subject to extensive regulatory requirements. As in the U.S., medicinal products can only be marketed if a marketing authorization from the competent regulatory agencies has been obtained.</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6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April 2014, the EU adopted a new Clinical Trials Regulation (EU) No 536/2014, or the Clinical Trials Regulation, which replaced the previous Clinical Trials Directive 2001/20/EC on January 31, 2022. The Clinical Trials Regulation is directly applicable in all EU Member States meaning no national implementing legislation in each EU Member State is required. The legislation aims at simplifying and streamlining the approval of clinical trials in the EU. For instance, the new Clinical Trials Regulation provides for a streamlined application procedure via a single entry point, rules on the protection of subjects and informed consent, and transparency requirements, and strictly defined deadlines for the assessment of clinical trial applications.</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Drug Review and Approval</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the EU, medicinal products can only be commercialized after obtaining a marketing authorization, or MA.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two types of MA:</w:t>
      </w:r>
    </w:p>
    <w:p>
      <w:pPr>
        <w:spacing w:after="0" w:line="234"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centralized MA, which is issued by the European Commission through the centralized procedure, based on the opinion of the CHMP of the EMA and which is valid throughout the entire territory of the EU, and in the additional Member States of the EEA. The centralized procedure is mandatory for certain types of products, including medicines produced by certain biotechnological processes, advanced therapy medicinal products (gene-therapy, somatic cell-therapy or tissue-engineered medicines), products designated as orphan medicinal products, and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231"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National MAs, which are issued by the competent authorities of the Member States of the EU and only cover their respective territory, are available for products not falling within the mandatory scope of the centralized procedure.</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Where a product has already been authorized for marketing in a Member State of the EU,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214"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EMA or the competent authorities of the Member States of the EU make an assessment of the risk-benefit balance of the product on the basis of scientific criteria concerning its quality, safety and efficacy.</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54"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In the EU, the European Commission, after receiving the opinion of the EMA’s Committee for Orphan Medicinal Products, or COMP, grants orphan medicinal product designation in respect of products that are intended for the diagnosis, prevention or treatment of a life threatening or chronically debilitating condition affecting not more than five in 10,000 persons in the EU. In addition, designation may be granted for products intended for the diagnosis, prevention or treatment of a life threatening, seriously debilitating or serious and chronic condition when, without incentives, it is unlikely that sales of the drug in the EU would be sufficient to justify the necessary investment in developing the drug or biological product. In each case, there must be no satisfactory method of diagnosis, prevention or treatment of the applicable condition authorized for marketing in the EU, or, if such a method exists, the sponsor must establish that its product would be of significant benefit to those affected by the condition. In the EU, orphan medicinal product designation also entitles a party to financial incentives such as reduction of fees or fee waivers and ten years of market exclusivity is granted following the grant of an MA. This period may be reduced to six years if, at the end of the fifth year, it is established that the orphan designation criteria are no longer met, including where it is shown that the product is sufficiently profitable not to justify maintenance of market exclusivity</w:t>
      </w:r>
    </w:p>
    <w:p>
      <w:pPr>
        <w:spacing w:after="0" w:line="2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Pediatric Investigation Plan</w:t>
      </w:r>
    </w:p>
    <w:p>
      <w:pPr>
        <w:spacing w:after="0" w:line="254"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7"/>
          <w:szCs w:val="17"/>
          <w:color w:val="auto"/>
        </w:rPr>
        <w:t>In the EU, marketing authorization applications for new medicinal products have to include the results of studies conducted in the pediatric population, in compliance with a pediatric investigation plan, or PIP, agreed with the EMA’s Pediatric Committee, or PDCO,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an MA is obtained and trial results are included in the product information, even when negative, the product is eligible for six-months’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25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and independent data package qualify for eight years of data exclusivity upon marketing authorization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(abbreviated) marketing authorization for eight years from the date on which the reference product was first authorized in the EU. During an additional two-year period of market exclusivity, a generic or biosimilar marketing authorization application can be submitted, and the innovator’s data may be referenced, but no generic or biosimilar medicinal product can be placed on the EU market until the expiration of the market exclusivity. The overall ten-year</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period may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could nevertheless also market another version of the product if such company obtained an MA based on an application with a complete and independent data package of pharmaceutical tests, preclinical tests and clinical trials.</w:t>
      </w: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54" w:lineRule="exact"/>
        <w:rPr>
          <w:sz w:val="20"/>
          <w:szCs w:val="20"/>
          <w:color w:val="auto"/>
        </w:rPr>
      </w:pPr>
    </w:p>
    <w:p>
      <w:pPr>
        <w:jc w:val="both"/>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product can be designated as an orphan medicinal product by the European Commission if its sponsor can establish: that (1) the product is intended for the diagnosis, prevention or treatment of a life-threatening or chronically debilitating condition; (2) either (a) such condition affects no more than five (5) in ten thousand (10,000) persons in the EU when the application is made, or</w:t>
      </w:r>
    </w:p>
    <w:p>
      <w:pPr>
        <w:spacing w:after="0" w:line="2" w:lineRule="exact"/>
        <w:rPr>
          <w:sz w:val="20"/>
          <w:szCs w:val="20"/>
          <w:color w:val="auto"/>
        </w:rPr>
      </w:pPr>
    </w:p>
    <w:p>
      <w:pPr>
        <w:jc w:val="both"/>
        <w:ind w:left="60" w:right="59" w:hanging="10"/>
        <w:spacing w:after="0" w:line="236" w:lineRule="auto"/>
        <w:tabs>
          <w:tab w:leader="none" w:pos="3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65" w:lineRule="exact"/>
        <w:rPr>
          <w:sz w:val="20"/>
          <w:szCs w:val="20"/>
          <w:color w:val="auto"/>
        </w:rPr>
      </w:pPr>
    </w:p>
    <w:p>
      <w:pPr>
        <w:jc w:val="both"/>
        <w:ind w:left="60" w:right="59" w:firstLine="648"/>
        <w:spacing w:after="0" w:line="245" w:lineRule="auto"/>
        <w:rPr>
          <w:sz w:val="20"/>
          <w:szCs w:val="20"/>
          <w:color w:val="auto"/>
        </w:rPr>
      </w:pPr>
      <w:r>
        <w:rPr>
          <w:rFonts w:ascii="Times New Roman" w:cs="Times New Roman" w:eastAsia="Times New Roman" w:hAnsi="Times New Roman"/>
          <w:sz w:val="18"/>
          <w:szCs w:val="18"/>
          <w:color w:val="auto"/>
        </w:rPr>
        <w:t>Products receiving orphan designation in the EU can receive ten years of market exclusivity, during which time no “similar medicinal product” may be placed on the market in the EU. A “similar medicinal product” is defined as a medicinal product containing a similar active substance or substances as contained in an authorized orphan medicinal product, and which is intended for the same therapeutic indication.</w:t>
      </w:r>
    </w:p>
    <w:p>
      <w:pPr>
        <w:spacing w:after="0" w:line="181"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However, a marketing authorization may be granted to a similar medicinal product with the same indication an authorized orphan product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indication if the applicant can establish that its similar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254" w:lineRule="exact"/>
        <w:rPr>
          <w:sz w:val="20"/>
          <w:szCs w:val="20"/>
          <w:color w:val="auto"/>
        </w:rPr>
      </w:pPr>
    </w:p>
    <w:p>
      <w:pPr>
        <w:ind w:left="60" w:right="499" w:firstLine="648"/>
        <w:spacing w:after="0" w:line="250" w:lineRule="auto"/>
        <w:rPr>
          <w:sz w:val="20"/>
          <w:szCs w:val="20"/>
          <w:color w:val="auto"/>
        </w:rPr>
      </w:pPr>
      <w:r>
        <w:rPr>
          <w:rFonts w:ascii="Times New Roman" w:cs="Times New Roman" w:eastAsia="Times New Roman" w:hAnsi="Times New Roman"/>
          <w:sz w:val="18"/>
          <w:szCs w:val="18"/>
          <w:color w:val="auto"/>
        </w:rPr>
        <w:t>If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5" w:lineRule="exact"/>
        <w:rPr>
          <w:sz w:val="20"/>
          <w:szCs w:val="20"/>
          <w:color w:val="auto"/>
        </w:rPr>
      </w:pPr>
    </w:p>
    <w:p>
      <w:pPr>
        <w:ind w:left="1340" w:right="179" w:hanging="324"/>
        <w:spacing w:after="0" w:line="266"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4" w:lineRule="exact"/>
        <w:rPr>
          <w:rFonts w:ascii="Times New Roman" w:cs="Times New Roman" w:eastAsia="Times New Roman" w:hAnsi="Times New Roman"/>
          <w:sz w:val="18"/>
          <w:szCs w:val="18"/>
          <w:color w:val="auto"/>
        </w:rPr>
      </w:pPr>
    </w:p>
    <w:p>
      <w:pPr>
        <w:ind w:left="1340" w:right="79" w:hanging="324"/>
        <w:spacing w:after="0"/>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2017/1572,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6" w:lineRule="exact"/>
        <w:rPr>
          <w:rFonts w:ascii="Times New Roman" w:cs="Times New Roman" w:eastAsia="Times New Roman" w:hAnsi="Times New Roman"/>
          <w:sz w:val="18"/>
          <w:szCs w:val="18"/>
          <w:color w:val="auto"/>
        </w:rPr>
      </w:pPr>
    </w:p>
    <w:p>
      <w:pPr>
        <w:ind w:left="1340" w:right="99" w:hanging="324"/>
        <w:spacing w:after="0" w:line="245"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medicinal products, including industry-sponsored continuing medical education and advertising directed toward the prescribers of medicinal products and/or the general public, are strictly regulated in the EU. Direct-to-consumer advertising of prescription medicines is prohibited across the EU.</w:t>
      </w:r>
    </w:p>
    <w:p>
      <w:pPr>
        <w:sectPr>
          <w:pgSz w:w="11900" w:h="16838" w:orient="portrait"/>
          <w:cols w:equalWidth="0" w:num="1">
            <w:col w:w="9019"/>
          </w:cols>
          <w:pgMar w:left="1440" w:top="513" w:right="1440" w:bottom="1440" w:gutter="0" w:footer="0" w:header="0"/>
        </w:sect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EEA, which consists of the EU Member States, plus Iceland, Liechtenstein and Norway.</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214"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14" w:lineRule="exact"/>
        <w:rPr>
          <w:sz w:val="20"/>
          <w:szCs w:val="20"/>
          <w:color w:val="auto"/>
        </w:rPr>
      </w:pPr>
    </w:p>
    <w:p>
      <w:pPr>
        <w:ind w:left="60" w:right="79" w:firstLine="648"/>
        <w:spacing w:after="0" w:line="234" w:lineRule="auto"/>
        <w:rPr>
          <w:sz w:val="20"/>
          <w:szCs w:val="20"/>
          <w:color w:val="auto"/>
        </w:rPr>
      </w:pPr>
      <w:r>
        <w:rPr>
          <w:rFonts w:ascii="Times New Roman" w:cs="Times New Roman" w:eastAsia="Times New Roman" w:hAnsi="Times New Roman"/>
          <w:sz w:val="18"/>
          <w:szCs w:val="18"/>
          <w:color w:val="auto"/>
        </w:rPr>
        <w:t>The UK formally left the EU on January 31, 2020. 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A new framework named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In particular,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 will be granted by the MHRA for all novel medicinal products to be sold in the UK, enabling products to be sold in a single pack and under a single authorization throughout the UK. However, although a separate authorization is now required to market medicinal products in the UK, under an international recognition procedure which was put in place by the MHRA on January 1, 2024, the MHRA may take into account decisions on the approval of an MA from the EMA (and certain other regulators) when considering an application for a UK MA.</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27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For other countries outside of the EU and the U.S., such as countries in Eastern Europe, Latin America or Asia, the requirements governing the conduct of preclinical trials, clinical trials, manufacturing,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228"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56"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the federal Health Insurance Portability and Accountability Act of 1996, as amended, and its implanting regulations, which are collectively referred to as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30"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In addition to federal regulation, many states have begun to focus on efforts to regulate privacy and data security. For example, in California the California Consumer Protection Act, or CCPA, which went into effect on January 1, 2020 and was expanded by the California Consumer Privacy Rights Act, or CPRA, which went into effect on January 1, 2023, collectively establishes a privacy framework for covered businesses by creating an expanded definition</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of personal information, establishing new data privacy rights for consumers in the State of California, imposing special rules on the collection of consumer data from minors, and creating a new and potentially severe statutory damages framework for violations and for businesses that fail to implement reasonable security procedures and practices to prevent data breaches. Numerous other states have enacted or proposed comprehensive privacy laws that are similar to the CCPA. The California Confidentiality of Medical Information Act also applies to pharmaceutical companies, including requirements for written authorization to use and disclose medical information and restrictions on the circumstances under which medical information can be used for marketing purposes. Furthermore, all fifty states, the District of Columbia, Puerto Rico, and U.S. territories have enacted data breach notification laws. These various state laws differ from one another and impose significant compliance efforts.</w:t>
      </w:r>
    </w:p>
    <w:p>
      <w:pPr>
        <w:spacing w:after="0" w:line="231"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EEA Member States, the UK, Switzerland and other jurisdictions have also adopted data protection laws and regulations, which impose significant compliance obligations. In the EEA and the UK, the collection and use of personal data, including clinical trial data, is governed by the provisions of the General Data Protection Regulation, or GDPR. The GDPR, together with national legislation, regulations and guidelines of the EEA Member States, the UK and Switzerland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the UK or Switzerland, data breach notifications, security and confidentiality, responding and handling data subject rights, ensuring appropriate assessments are carried out on processing operations and documented. Under these laws data protection authorities can impose substantial potential fines for breaches of the data protection obligations. European data protection authorities may interpret the GDPR and national laws differently and impose additional requirements, which add to the complexity of processing personal data in or from the EEA, UK or Switzerland. Guidance on implementation and compliance practices are often updated or otherwise revised. Additionally, multiple jurisdictions outside the EEA, UK, and Switzerland have adopted data protection regulations with similar requirements for companies.</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7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Sales of our drugs will depend, in part, on the extent to which our drugs will be covered by third-party payors, such as government health programs, commercial insurance and managed healthcare organizations. In the U.S. and markets in other countries, patients and health care providers generally rely on third-party payors to reimburse all or part of prescription medications and associated healthcare costs. Thus, even if a drug has marketing approval in a country, sales of the drug will depend, in part, on the extent to which third-party payors, including government health programs, including Medicare and Medicaid in the U.S., commercial health insurers and managed care organizations, provide coverage for the cost of the patient’s use of the drug, and establish adequate reimbursement levels for the product. In the U.S.,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may limit coverage to specific products on an approved list, also known as a formulary, which might not include all of the approved products for a particular indication. The insurance coverage and reimbursement status of newly-approved products is uncertain. Failure to obtain or maintain adequate coverage and reimbursement for any of our drug and drug candidates, if approved, could limit our ability to market those products and decrease our ability to generate revenue. Factors payors, including government health programs globally, consider in determining reimbursement are based on whether the product is:</w:t>
      </w:r>
    </w:p>
    <w:p>
      <w:pPr>
        <w:spacing w:after="0" w:line="222" w:lineRule="exact"/>
        <w:rPr>
          <w:sz w:val="20"/>
          <w:szCs w:val="20"/>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6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6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6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66"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These third-party payors are increasingly reducing or restricting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usage of such drugs and have a material adverse effect on our sales, results of operations and financial condition.</w:t>
      </w:r>
    </w:p>
    <w:p>
      <w:pPr>
        <w:spacing w:after="0" w:line="21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w:t>
      </w:r>
    </w:p>
    <w:p>
      <w:pPr>
        <w:spacing w:after="0" w:line="21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Any negotiated prices for our drugs covered by a Part D prescription drug plan may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236"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w:t>
      </w:r>
    </w:p>
    <w:p>
      <w:pPr>
        <w:spacing w:after="0" w:line="219"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As noted above, the marketability of any products for which we receive regulatory approval for commercial sale may suffer if the government and third-party payors fail to provide coverage and reimbursement. Obtaining coverage and reimbursement for newly approved drugs and biologics is a time-consuming and costly process, and</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73" w:lineRule="auto"/>
        <w:rPr>
          <w:sz w:val="20"/>
          <w:szCs w:val="20"/>
          <w:color w:val="auto"/>
        </w:rPr>
      </w:pPr>
      <w:r>
        <w:rPr>
          <w:rFonts w:ascii="Times New Roman" w:cs="Times New Roman" w:eastAsia="Times New Roman" w:hAnsi="Times New Roman"/>
          <w:sz w:val="17"/>
          <w:szCs w:val="17"/>
          <w:color w:val="auto"/>
        </w:rPr>
        <w:t>coverage may be more limited than the purposes for which a drug is approved by the FDA or comparable foreign regulatory authorities. Assuming coverage is obtained for a given product by a third-party payor, the resulting reimbursement payment rates may not be adequate or may require co-payments that patients find unacceptably high. Additionally, coverage policies and third-party reimbursement rates may change at any time. Patients who are prescribed medications for the treatment of their conditions, and their prescribing physicians, generally rely on third-party payors to reimburse all or part of the costs associated with their prescription drugs. Patients are unlikely to use products unless coverage is provided and reimbursement is adequate to cover all or a significant portion of the cost of prescribed products.</w:t>
      </w:r>
    </w:p>
    <w:p>
      <w:pPr>
        <w:spacing w:after="0" w:line="19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 do not follow price structures of the U.S. and generally tend to be significantly lower.</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5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The Affordable Care Act, for example, enacted in 2010, has had a significant impact on the health care industry. The Affordable Care Act expanded coverage for the uninsured while at the same time containing overall healthcare costs. With regard to pharmaceutical products, the Affordable Care Act, among other things,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w:t>
      </w:r>
    </w:p>
    <w:p>
      <w:pPr>
        <w:spacing w:after="0" w:line="228"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August 2022, the Inflation Reduction Act of 2022, or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235"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176" w:lineRule="exact"/>
        <w:rPr>
          <w:sz w:val="20"/>
          <w:szCs w:val="20"/>
          <w:color w:val="auto"/>
        </w:rPr>
      </w:pPr>
    </w:p>
    <w:p>
      <w:pPr>
        <w:ind w:left="1380" w:right="79" w:hanging="331"/>
        <w:spacing w:after="0" w:line="221" w:lineRule="auto"/>
        <w:tabs>
          <w:tab w:leader="none" w:pos="138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August 2, 2011, the Budget Control Act of 2011, and subsequent legislation, among other things, included aggregate reductions of Medicare payments to providers of 2% per fiscal year. These reductions went into effect on April 1, 2013 and, due to subsequent legislative amendments to the statute, will remain in effect through 2031.</w:t>
      </w:r>
    </w:p>
    <w:p>
      <w:pPr>
        <w:spacing w:after="0" w:line="187" w:lineRule="exact"/>
        <w:rPr>
          <w:rFonts w:ascii="Times New Roman" w:cs="Times New Roman" w:eastAsia="Times New Roman" w:hAnsi="Times New Roman"/>
          <w:sz w:val="29"/>
          <w:szCs w:val="29"/>
          <w:color w:val="auto"/>
          <w:vertAlign w:val="superscript"/>
        </w:rPr>
      </w:pPr>
    </w:p>
    <w:p>
      <w:pPr>
        <w:ind w:left="1380" w:right="339" w:hanging="331"/>
        <w:spacing w:after="0" w:line="199" w:lineRule="auto"/>
        <w:tabs>
          <w:tab w:leader="none" w:pos="138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May 23, 2019, CMS published a final rule to allow Medicare Advantage Plans the option of using step therapy for Part B drugs beginning January 1, 2020.</w:t>
      </w:r>
    </w:p>
    <w:p>
      <w:pPr>
        <w:spacing w:after="0" w:line="199" w:lineRule="exact"/>
        <w:rPr>
          <w:rFonts w:ascii="Times New Roman" w:cs="Times New Roman" w:eastAsia="Times New Roman" w:hAnsi="Times New Roman"/>
          <w:sz w:val="29"/>
          <w:szCs w:val="29"/>
          <w:color w:val="auto"/>
          <w:vertAlign w:val="superscript"/>
        </w:rPr>
      </w:pPr>
    </w:p>
    <w:p>
      <w:pPr>
        <w:ind w:left="1380" w:right="659" w:hanging="331"/>
        <w:spacing w:after="0" w:line="199" w:lineRule="auto"/>
        <w:tabs>
          <w:tab w:leader="none" w:pos="138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Creating and Restoring Equal Access to Equivalent Samples Act, or the CREATES Act, was enacted in 2019 requiring sponsors of approved new drug applications and biologics license</w:t>
      </w:r>
    </w:p>
    <w:p>
      <w:pPr>
        <w:sectPr>
          <w:pgSz w:w="11900" w:h="16838" w:orient="portrait"/>
          <w:cols w:equalWidth="0" w:num="1">
            <w:col w:w="9019"/>
          </w:cols>
          <w:pgMar w:left="1440" w:top="513" w:right="1440" w:bottom="1440" w:gutter="0" w:footer="0" w:header="0"/>
        </w:sect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179"/>
        <w:spacing w:after="0" w:line="256" w:lineRule="auto"/>
        <w:rPr>
          <w:sz w:val="20"/>
          <w:szCs w:val="20"/>
          <w:color w:val="auto"/>
        </w:rPr>
      </w:pPr>
      <w:r>
        <w:rPr>
          <w:rFonts w:ascii="Times New Roman" w:cs="Times New Roman" w:eastAsia="Times New Roman" w:hAnsi="Times New Roman"/>
          <w:sz w:val="18"/>
          <w:szCs w:val="18"/>
          <w:color w:val="auto"/>
        </w:rPr>
        <w:t>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17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addition, there have been several changes to the 340B drug pricing program, which imposes ceilings on prices that drug manufacturers can charge for medications sold to certain health care facilities. On November 3, 2023, the U.S. District Court of South Carolina issued an opinion in Genesis Healthcare Inc. v. Becerra et al. that may lead to an expansion of the scope of patients eligible to access prescriptions at 340B pricing. The outcome of this judicial proceeding is uncertain. We continue to review developments impacting the 340B program.</w:t>
      </w:r>
    </w:p>
    <w:p>
      <w:pPr>
        <w:spacing w:after="0" w:line="183"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There has also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a federal level, President Trump reversed some of President Biden’s executive orders including rescinding Executive Order 14087 entitled “Lowering Prescription Drug Costs for Americans.” President Trump may issue new executive orders designed to impact drug pricing. </w:t>
      </w:r>
      <w:r>
        <w:rPr>
          <w:rFonts w:ascii="Arial" w:cs="Arial" w:eastAsia="Arial" w:hAnsi="Arial"/>
          <w:sz w:val="18"/>
          <w:szCs w:val="18"/>
          <w:color w:val="auto"/>
        </w:rPr>
        <w:t> </w:t>
      </w:r>
      <w:r>
        <w:rPr>
          <w:rFonts w:ascii="Times New Roman" w:cs="Times New Roman" w:eastAsia="Times New Roman" w:hAnsi="Times New Roman"/>
          <w:sz w:val="18"/>
          <w:szCs w:val="18"/>
          <w:color w:val="auto"/>
        </w:rPr>
        <w:t>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192"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203" w:lineRule="exact"/>
        <w:rPr>
          <w:sz w:val="20"/>
          <w:szCs w:val="20"/>
          <w:color w:val="auto"/>
        </w:rPr>
      </w:pPr>
    </w:p>
    <w:p>
      <w:pPr>
        <w:ind w:left="60" w:right="139" w:firstLine="648"/>
        <w:spacing w:after="0" w:line="269" w:lineRule="auto"/>
        <w:rPr>
          <w:sz w:val="20"/>
          <w:szCs w:val="20"/>
          <w:color w:val="auto"/>
        </w:rPr>
      </w:pPr>
      <w:r>
        <w:rPr>
          <w:rFonts w:ascii="Times New Roman" w:cs="Times New Roman" w:eastAsia="Times New Roman" w:hAnsi="Times New Roman"/>
          <w:sz w:val="17"/>
          <w:szCs w:val="17"/>
          <w:color w:val="auto"/>
        </w:rPr>
        <w:t>Individual states in the U.S. have also become increasingly active in passing legislation and implementing regulations designed to control pharmaceutical and biological product pricing, including price or reimbursement constraints, discounts, restrictions on certain drug access, marketing cost disclosure, comprehensive price transparency disclosure requirements,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15"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7"/>
          <w:szCs w:val="17"/>
          <w:color w:val="auto"/>
        </w:rPr>
        <w:t>In addition, in some foreign countries, the proposed pricing for a drug must be approved before it may be lawfully marketed. The requirements governing drug pricing vary widely from country to country. Many foreign countries’ health authorities are authorized to restrict the range of medicinal drugs for which their national health insurance systems provide reimbursement to control the prices of medicinal drugs for human use. In addition, countries may approve a specific price for the medicinal drug or it may instead adopt a system of direct or indirect controls on the profitability of the company placing the drug on the market. There can be no assurance that any country that has price controls or reimbursement limitations for pharmaceutical drugs will allow favorable reimbursement and pricing arrangements for any of our drugs. Historically, drugs launched in Europe and elsewhere globally do not follow price structures of the U.S. and generally tend to be significantly lower. More recently, developments in Europe include reforms to national reimbursement and pricing in Germany, France, Italy and the UK, that are expected to increase pressure on prices. For example, the German Federal Ministry of Health announced the SHI Financial Stabilisation Act which includes an extension of price moratorium for another 4 years, increases manufacturer mandatory discounts, and other measures intended to generate savings. Additionally, there is increased interest in cross-border collaboration on technology assessments, data/knowledge sharing, and group price negotiations as a means of controlling costs, such as the Beneluxa Initiative which includes Belgium, Luxembourg, the Netherlands, Austria and Ireland, and also the Nordic Pharmaceutical Forum.</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70"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also be subject to healthcare regulation and enforcement by the federal government and the states and foreign governments where we may market our drug candidates, if approved. These laws include, without limitation, fraud and abuse, false claims, privacy and data security, and sunshine laws and regulations. Many of which differ from each other in significant ways, thus complicating compliance efforts.</w:t>
      </w:r>
    </w:p>
    <w:p>
      <w:pPr>
        <w:spacing w:after="0" w:line="227"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For example, in the United States, 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or civil monetary penalties. The majority of states also have anti-kickback laws, which establish similar prohibitions and, in some cases, may apply to items or services reimbursed by any third-party payor, including commercial insurers.</w:t>
      </w:r>
    </w:p>
    <w:p>
      <w:pPr>
        <w:spacing w:after="0" w:line="234"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In addition, the federal civil and criminal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drug for unapproved uses and other sales and marketing practices.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an action on behalf of the federal government alleging violations of the federal False Claims Act and to share in any monetary recovery. In September 2024, a federal district court in Florida ruled that the qui tam provision of the False Claims Act is unconstitutional, for violating the Constitution’s Appointments Clause. The U.S. government has appealed that decision. But if the decision is upheld and/or other federal courts adopt its reasoning, those decisions could reduce the number of False Claims Act investigations and lawsuits.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3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28"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numerous states have enacted comprehensive data privacy laws that impact our business in</w:t>
      </w:r>
    </w:p>
    <w:p>
      <w:pPr>
        <w:sectPr>
          <w:pgSz w:w="11900" w:h="16838" w:orient="portrait"/>
          <w:cols w:equalWidth="0" w:num="1">
            <w:col w:w="9019"/>
          </w:cols>
          <w:pgMar w:left="1440" w:top="513" w:right="1440" w:bottom="1440" w:gutter="0" w:footer="0" w:header="0"/>
        </w:sect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different and inconsistent ways, and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216"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We may be subject to consumer protection and unfair competition laws enacted at the country and state level, which broadly regulate marketplace activities and activities that potentially harm consumers.</w:t>
      </w:r>
    </w:p>
    <w:p>
      <w:pPr>
        <w:spacing w:after="0" w:line="18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There has also been a recent global trend of increased regulation of payments made to physicians and other healthcare providers. For example, in the United States, the Affordable Care Act, among other things, imposes reporting requirements on drug manufacturers for payments made by them to physicians, certain other licensed healthcare practitioners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Drug manufacturers are required to submit annual reports to the CMS, which publicly posts the data on its website. Certain countries as well as U.S. states also mandate implementation of compliance programs, impose restrictions on drug manufacturer marketing practices and/or require the tracking and reporting of gifts, compensation and other remuneration to physicians.</w:t>
      </w:r>
    </w:p>
    <w:p>
      <w:pPr>
        <w:spacing w:after="0" w:line="216" w:lineRule="exact"/>
        <w:rPr>
          <w:sz w:val="20"/>
          <w:szCs w:val="20"/>
          <w:color w:val="auto"/>
        </w:rPr>
      </w:pPr>
    </w:p>
    <w:p>
      <w:pPr>
        <w:ind w:left="60" w:right="239" w:firstLine="648"/>
        <w:spacing w:after="0" w:line="281" w:lineRule="auto"/>
        <w:rPr>
          <w:sz w:val="20"/>
          <w:szCs w:val="20"/>
          <w:color w:val="auto"/>
        </w:rPr>
      </w:pPr>
      <w:r>
        <w:rPr>
          <w:rFonts w:ascii="Times New Roman" w:cs="Times New Roman" w:eastAsia="Times New Roman" w:hAnsi="Times New Roman"/>
          <w:sz w:val="17"/>
          <w:szCs w:val="17"/>
          <w:color w:val="auto"/>
        </w:rPr>
        <w:t>We are also subject to federal price reporting laws, which require manufacturers to calculate and report complex pricing metrics to government programs, where such reported prices may be used in the calculation of reimbursement and/or discounts on approved products. Likewise, we must comply with federal consumer protection and unfair competition laws. These laws broadly regulate marketplace activities and activities that potentially harm consumers.</w:t>
      </w:r>
    </w:p>
    <w:p>
      <w:pPr>
        <w:spacing w:after="0" w:line="191"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Additionally, we may be subject to analogous state and foreign laws and regulations, such as fraud and abuse, anti-kickback, false claims laws,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Such laws are enforced by various governmental agencies and through private actions. Some laws require pharmaceutical companies to comply with the pharmaceutical industry’s voluntary compliance guidelines and the relevant country-level government compliance guidance that otherwise restricts payments that may be made to healthcare providers and other potential referral sources, require drug manufacturers to report information related to pricing and marketing information, such as the tracking and reporting of gifts, compensations, and other remuneration and items of value provided to physicians and other healthcare providers and entities, require the registration of pharmaceutical sales representatives, and restrict marketing practices or require disclosure of marketing expenditures.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provide an inclusive, collaborative and safe work environment for our employees, who enjoy innovative work and development opportunities. As of January 31, 2025, we had 649 full- and part-time employees globally, approximately 569 of whom are employed in the U.S. and approximately 80 are employed in foreign countries. Of those employees, 350 are engaged in research and development activities and 212 hold Doctorate or Master’s degrees. To allow us flexibility in meeting varying workflow demands, we also engage consultants and temporary workers when needed.</w:t>
      </w:r>
    </w:p>
    <w:p>
      <w:pPr>
        <w:spacing w:after="0" w:line="22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believe our employees are among the most important assets to our company and are key to achieving our goals and expectations. Accordingly, we focus significant attention on attracting and retaining talented individuals. Our management teams and function leaders regularly review employee engagement and satisfaction surveys and monitor employee turnover rates. To recruit and retain our employees, we offer robust compensation packages, including competitive base pay, incentive compensation and equity programs, and provide a broad range of benefits, including 401(k) plan (pension outside the U.S.), healthcare and insurance benefits, paid time off, paid family and medical leave, flexible work schedules, and various innovative health and wellness programs. In addition, we are committed to the professional development of our employees, who can take advantage of various learning opportunities, such as our mentorship, lunch &amp; learn and skill builder accelerator programs, as well as various training programs.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None of our U.S. employees are represented by a labor union or covered by a collective bargaining agreement. Outside the U.S., our employees in France, Germany and Italy, respectively, are covered by a collective bargaining agreement applicable to our industry as required by applicable local law. We consider our relationship with our employees to be good.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7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were incorporated in the State of Delaware in October 2008 under the name ImmunoCo, Inc. In May 2010, we changed our name to Hoyle Pharmaceuticals, Inc., and in June 2011, we changed our name again to Blueprint Medicines Corporation. Our principal executive offices are located at 45 Sidney Street, Cambridge, Massachusetts 02139, and our telephone number is (617) 374-7580.</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56"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Our Internet website address is http://www.blueprintmedicines.com. The information contained on, or that can be accessed through, our website is not a part of or incorporated by reference in this Annual Report on Form 10-K. We have included our website address in this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review our electronically filed reports and other information that we file with the SEC on the SEC’s website at http://www.sec.gov.</w:t>
      </w:r>
    </w:p>
    <w:p>
      <w:pPr>
        <w:spacing w:after="0" w:line="215"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information to our investors using one or more of the following: SEC filings, press releases, public conference calls and webcasts and our corporate website (https://www.blueprintmedicines.com/), including without limitation the “Investors &amp; Media” and “Presentations &amp; Publications” sections of our website. We use these channels, as well as social media channels such as “X” (formerly Twitter @BlueprintMeds) and LinkedIn, to communicate with the public about our company, our business, our approved drugs and drug candidates and other matters. It is possible that the information we post on our corporate website or other social media could be deemed to be material information. Therefore, we encourage investors, the media, and others interested in our company to review the information we post on the “Investors &amp; Media” and “Presentations &amp; Publications” sections of our corporate website and on the social media channels listed on the “Investors &amp; Media” section of our corporate website. The contents of our corporate website and social media channels are not, however, a part of this Annual Report on Form 10-K.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We believe the risks described below include risks that are material to us as well as other risks that may adversely affect our business, financial condition, results of operations and growth prospects. Please see review the discussion regarding some of the forward-looking statements that are qualified by these risk factors contained elsewhere in this Annual Report on Form 10-K. If any of the following risks occur, our business, financial condition, results of operations and future growth prospects could be materially and adversely affected.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12"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grow as a commercial company and the marketing and sale of AYVAKIT/AYVAKYT or any future approved drugs may be unsuccessful or less successful than anticipated.</w:t>
      </w:r>
    </w:p>
    <w:p>
      <w:pPr>
        <w:spacing w:after="0" w:line="159" w:lineRule="exact"/>
        <w:rPr>
          <w:sz w:val="20"/>
          <w:szCs w:val="20"/>
          <w:color w:val="auto"/>
        </w:rPr>
      </w:pPr>
    </w:p>
    <w:p>
      <w:pPr>
        <w:ind w:left="60" w:right="459" w:firstLine="648"/>
        <w:spacing w:after="0" w:line="312" w:lineRule="auto"/>
        <w:rPr>
          <w:sz w:val="20"/>
          <w:szCs w:val="20"/>
          <w:color w:val="auto"/>
        </w:rPr>
      </w:pPr>
      <w:r>
        <w:rPr>
          <w:rFonts w:ascii="Times New Roman" w:cs="Times New Roman" w:eastAsia="Times New Roman" w:hAnsi="Times New Roman"/>
          <w:sz w:val="17"/>
          <w:szCs w:val="17"/>
          <w:color w:val="auto"/>
        </w:rPr>
        <w:t>We have had two approved precision therapies, AYVAKIT/AYVAKYT and GAVRETO. While we have been commercializing AYVAKIT in the U.S. and AYVAKYT in Europe and prior to the sale of the related assets to Rigel</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pursuant to the Rigel Agreement, co-commercializing GAVRETO with Roche in the U.S., we only became a commercial company in 2020, and our track record of demonstrating our ability to successfully overcome the many risks and uncertainties encountered by companies commercializing drugs in the biopharmaceutical industry is somewhat limited. To execute our business plan, in addition to successfully marketing and selling our approved drugs, we will need to successfully:</w:t>
      </w:r>
    </w:p>
    <w:p>
      <w:pPr>
        <w:spacing w:after="0" w:line="183" w:lineRule="exact"/>
        <w:rPr>
          <w:sz w:val="20"/>
          <w:szCs w:val="20"/>
          <w:color w:val="auto"/>
        </w:rPr>
      </w:pPr>
    </w:p>
    <w:p>
      <w:pPr>
        <w:ind w:left="1340" w:right="139" w:hanging="318"/>
        <w:spacing w:after="0" w:line="282"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our relationships with healthcare providers who will be treating patients who may receive our drugs and any future drugs;</w:t>
      </w:r>
    </w:p>
    <w:p>
      <w:pPr>
        <w:spacing w:after="0" w:line="148" w:lineRule="exact"/>
        <w:rPr>
          <w:rFonts w:ascii="Times New Roman" w:cs="Times New Roman" w:eastAsia="Times New Roman" w:hAnsi="Times New Roman"/>
          <w:sz w:val="18"/>
          <w:szCs w:val="18"/>
          <w:color w:val="auto"/>
        </w:rPr>
      </w:pPr>
    </w:p>
    <w:p>
      <w:pPr>
        <w:ind w:left="1340" w:right="519" w:hanging="318"/>
        <w:spacing w:after="0" w:line="282"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adequate pricing and reimbursement for AYVAKIT/AYVAKYT and any future drugs;</w:t>
      </w:r>
    </w:p>
    <w:p>
      <w:pPr>
        <w:spacing w:after="0" w:line="161" w:lineRule="exact"/>
        <w:rPr>
          <w:rFonts w:ascii="Times New Roman" w:cs="Times New Roman" w:eastAsia="Times New Roman" w:hAnsi="Times New Roman"/>
          <w:sz w:val="18"/>
          <w:szCs w:val="18"/>
          <w:color w:val="auto"/>
        </w:rPr>
      </w:pPr>
    </w:p>
    <w:p>
      <w:pPr>
        <w:ind w:left="1340" w:right="159" w:hanging="318"/>
        <w:spacing w:after="0" w:line="266"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key collaborations;</w:t>
      </w:r>
    </w:p>
    <w:p>
      <w:pPr>
        <w:spacing w:after="0" w:line="225" w:lineRule="exact"/>
        <w:rPr>
          <w:rFonts w:ascii="Times New Roman" w:cs="Times New Roman" w:eastAsia="Times New Roman" w:hAnsi="Times New Roman"/>
          <w:sz w:val="18"/>
          <w:szCs w:val="18"/>
          <w:color w:val="auto"/>
        </w:rPr>
      </w:pPr>
    </w:p>
    <w:p>
      <w:pPr>
        <w:ind w:left="1340" w:right="419" w:hanging="318"/>
        <w:spacing w:after="0" w:line="266"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operations or enter into collaboration, partnerships or distribution arrangements in geographies where we may not have current operations or expertise; and</w:t>
      </w:r>
    </w:p>
    <w:p>
      <w:pPr>
        <w:spacing w:after="0" w:line="175" w:lineRule="exact"/>
        <w:rPr>
          <w:rFonts w:ascii="Times New Roman" w:cs="Times New Roman" w:eastAsia="Times New Roman" w:hAnsi="Times New Roman"/>
          <w:sz w:val="18"/>
          <w:szCs w:val="18"/>
          <w:color w:val="auto"/>
        </w:rPr>
      </w:pPr>
    </w:p>
    <w:p>
      <w:pPr>
        <w:ind w:left="1340" w:right="519" w:hanging="318"/>
        <w:spacing w:after="0" w:line="282"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marketing approvals, and commercialization.</w:t>
      </w:r>
    </w:p>
    <w:p>
      <w:pPr>
        <w:spacing w:after="0" w:line="162"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72" w:lineRule="exact"/>
        <w:rPr>
          <w:sz w:val="20"/>
          <w:szCs w:val="20"/>
          <w:color w:val="auto"/>
        </w:rPr>
      </w:pPr>
    </w:p>
    <w:p>
      <w:pPr>
        <w:jc w:val="both"/>
        <w:ind w:left="60" w:right="5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AYVAKIT/AYVAKYT, as well as any other drugs that we may bring to the market, will depend upon the degree of market acceptance by physicians, patients, third-party payors and others in the medical community.</w:t>
      </w:r>
    </w:p>
    <w:p>
      <w:pPr>
        <w:spacing w:after="0" w:line="18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AYVAKIT/AYVAKYT,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as well as any current or future drug candidates for which we receive marketing approval, will depend on a number of factors, including:</w:t>
      </w:r>
    </w:p>
    <w:p>
      <w:pPr>
        <w:spacing w:after="0" w:line="183" w:lineRule="exact"/>
        <w:rPr>
          <w:sz w:val="20"/>
          <w:szCs w:val="20"/>
          <w:color w:val="auto"/>
        </w:rPr>
      </w:pPr>
    </w:p>
    <w:p>
      <w:pPr>
        <w:ind w:left="1380" w:hanging="331"/>
        <w:spacing w:after="0"/>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the drug’s approved labeling;</w:t>
      </w:r>
    </w:p>
    <w:p>
      <w:pPr>
        <w:spacing w:after="0" w:line="189"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eligible patients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patients who are prescribed our drugs remain on treatment;</w:t>
      </w:r>
    </w:p>
    <w:p>
      <w:pPr>
        <w:spacing w:after="0" w:line="225" w:lineRule="exact"/>
        <w:rPr>
          <w:rFonts w:ascii="Times New Roman" w:cs="Times New Roman" w:eastAsia="Times New Roman" w:hAnsi="Times New Roman"/>
          <w:sz w:val="18"/>
          <w:szCs w:val="18"/>
          <w:color w:val="auto"/>
        </w:rPr>
      </w:pPr>
    </w:p>
    <w:p>
      <w:pPr>
        <w:ind w:left="1340" w:right="619" w:hanging="318"/>
        <w:spacing w:after="0" w:line="282"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drugs and any current or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current and future drugs, or competing products and treatments;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reimbursement.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83" w:lineRule="exact"/>
        <w:rPr>
          <w:sz w:val="20"/>
          <w:szCs w:val="20"/>
          <w:color w:val="auto"/>
        </w:rPr>
      </w:pPr>
    </w:p>
    <w:p>
      <w:pPr>
        <w:ind w:left="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71"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We continue to build out our commercial capabilities and infrastructures and have been growing our sales and distribution experience and capabilities for marketing and market access. To successfully commercialize our approved drugs or any current or future drug candidates for which we receive marketing approval, we will need to continue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9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include:</w:t>
      </w:r>
    </w:p>
    <w:p>
      <w:pPr>
        <w:spacing w:after="0" w:line="212" w:lineRule="exact"/>
        <w:rPr>
          <w:sz w:val="20"/>
          <w:szCs w:val="20"/>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sales and marketing personnel;</w:t>
      </w:r>
    </w:p>
    <w:p>
      <w:pPr>
        <w:spacing w:after="0" w:line="225" w:lineRule="exact"/>
        <w:rPr>
          <w:rFonts w:ascii="Times New Roman" w:cs="Times New Roman" w:eastAsia="Times New Roman" w:hAnsi="Times New Roman"/>
          <w:sz w:val="18"/>
          <w:szCs w:val="18"/>
          <w:color w:val="auto"/>
        </w:rPr>
      </w:pPr>
    </w:p>
    <w:p>
      <w:pPr>
        <w:ind w:left="1340" w:right="499" w:hanging="318"/>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to persuade adequate numbers of physicians to prescribe our drugs;</w:t>
      </w:r>
    </w:p>
    <w:p>
      <w:pPr>
        <w:spacing w:after="0" w:line="161" w:lineRule="exact"/>
        <w:rPr>
          <w:rFonts w:ascii="Times New Roman" w:cs="Times New Roman" w:eastAsia="Times New Roman" w:hAnsi="Times New Roman"/>
          <w:sz w:val="18"/>
          <w:szCs w:val="18"/>
          <w:color w:val="auto"/>
        </w:rPr>
      </w:pPr>
    </w:p>
    <w:p>
      <w:pPr>
        <w:ind w:left="1340" w:right="819" w:hanging="318"/>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maintaining an independent sales and marketing organization;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to sales and marketing activities.</w:t>
      </w:r>
    </w:p>
    <w:p>
      <w:pPr>
        <w:spacing w:after="0" w:line="225" w:lineRule="exact"/>
        <w:rPr>
          <w:sz w:val="20"/>
          <w:szCs w:val="20"/>
          <w:color w:val="auto"/>
        </w:rPr>
      </w:pPr>
    </w:p>
    <w:p>
      <w:pPr>
        <w:jc w:val="both"/>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pacing w:after="0" w:line="179"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7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7"/>
          <w:szCs w:val="17"/>
          <w:color w:val="auto"/>
        </w:rPr>
        <w:t>The precise incidence and/or prevalence for SM, GIST, chronic urticaria, asthma, allergic rhinitis, mast cell activation syndrome (MCAS), and other allergy/inflammation indications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healthcare claims data, patient foundations or third-party market research, and may prove to be incorrect. Further, new studies may change the estimated incidence or prevalence of these diseases and the number of patients may turn out to be lower than expected. For example, new claims data and epidemiology data suggest that SM prevalence is greater than previously thought; however, other future studies could contradict such findings. Additionally, the potentially addressable patient population for our approved drugs and drug candidates may be limited or may not be amenable to treatment with our precision therapies.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Accordingly, the incidence and/or prevalence of the diseases we aim to address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76"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developing or discovering drugs before or more successfully than we do.</w:t>
      </w:r>
    </w:p>
    <w:p>
      <w:pPr>
        <w:spacing w:after="0" w:line="186"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our areas of focus, including allergy/inflammation and hematology/oncology. Some of these competitive drugs and therapies are based on scientific approaches that are the same as or similar to our approach, and others are based on entirely different approaches, which could be more successful than ours.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224" w:lineRule="exact"/>
        <w:rPr>
          <w:sz w:val="20"/>
          <w:szCs w:val="20"/>
          <w:color w:val="auto"/>
        </w:rPr>
      </w:pPr>
    </w:p>
    <w:p>
      <w:pPr>
        <w:ind w:left="60" w:right="159" w:firstLine="648"/>
        <w:spacing w:after="0" w:line="274" w:lineRule="auto"/>
        <w:rPr>
          <w:sz w:val="20"/>
          <w:szCs w:val="20"/>
          <w:color w:val="auto"/>
        </w:rPr>
      </w:pPr>
      <w:r>
        <w:rPr>
          <w:rFonts w:ascii="Times New Roman" w:cs="Times New Roman" w:eastAsia="Times New Roman" w:hAnsi="Times New Roman"/>
          <w:sz w:val="17"/>
          <w:szCs w:val="17"/>
          <w:color w:val="auto"/>
        </w:rPr>
        <w:t>AYVAKIT/AYVAKYT and elenestinib (BLU-263) face competition for advanced SM from Novartis AG’s midostaurin and imatinib, and may face competition from drug candidates in development, including that being developed by Alys Pharmaceuticals Inc., Cogent Biosciences, Inc. and Hoth Therapeutics, Inc. Avapritinib and elenestinib may face non-advanced SM competition from drug candidates in development, including those being developed by AB Science S.A., Alys Pharmaceuticals Inc., Celldex Therapeutics, Inc., Cogent Biosciences, Inc., Hoth Therapeutics, Inc., Invea Therapeutics Inc., and Telios Pharma Inc.</w:t>
      </w:r>
    </w:p>
    <w:p>
      <w:pPr>
        <w:spacing w:after="0" w:line="15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Cogent Biosciences, Inc., Deciphera Pharmaceuticals, LLC, Exelixis, Inc., Ningbo Tai Kang Medical Technology Co. Ltd. and Xencor, Inc.</w:t>
      </w:r>
    </w:p>
    <w:p>
      <w:pPr>
        <w:spacing w:after="0" w:line="18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are developing BLU-808 for chronic urticaria, asthma, allergic rhinitis/conjunctivitis, MCAS, and other allergy/inflammation indications, which if approved, will face competition from omalizumab developed by Genentech and Novartis. In addition, BLU-808 may face competition from drug candidates in development, including those developed by Alivexis, Inc., Allakos Inc., Amgen Inc., AstraZeneca plc, Celldex Therapeutics, Inc., Eli Lilly, Enanta Pharmaceuticals, Inc, Escient Pharmaceuticals, Inc., Evommune, Inc, Hangshou Highlightll Pharma, Incyte Corp., Jasper Therapeutics, Inc., Leo Pharma A/S, LongBio Pharma, Novartis AG, Regeneron Pharmaceuticals, Inc., Sanofi S.A., Third Harmonic Bio, Inc, Taiho Pharmaceutical Co., LTD, and United BioPharma.</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w:t>
      </w:r>
    </w:p>
    <w:p>
      <w:pPr>
        <w:sectPr>
          <w:pgSz w:w="11900" w:h="16838" w:orient="portrait"/>
          <w:cols w:equalWidth="0" w:num="1">
            <w:col w:w="9019"/>
          </w:cols>
          <w:pgMar w:left="1440" w:top="513" w:right="1440"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success of all of our drug candidates, if approved, are likely to be their efficacy, safety, convenience, price, the level of generic competition and the availability of reimbursement from government and other third-party payors.</w:t>
      </w:r>
    </w:p>
    <w:p>
      <w:pPr>
        <w:spacing w:after="0" w:line="158"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59" w:lineRule="exact"/>
        <w:rPr>
          <w:sz w:val="20"/>
          <w:szCs w:val="20"/>
          <w:color w:val="auto"/>
        </w:rPr>
      </w:pPr>
    </w:p>
    <w:p>
      <w:pPr>
        <w:ind w:left="60" w:right="399" w:firstLine="648"/>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87" w:lineRule="exact"/>
        <w:rPr>
          <w:sz w:val="20"/>
          <w:szCs w:val="20"/>
          <w:color w:val="auto"/>
        </w:rPr>
      </w:pPr>
    </w:p>
    <w:p>
      <w:pPr>
        <w:ind w:left="1380" w:right="899" w:hanging="331"/>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approved drugs or drug candidates that we may develop and commercialize;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approved drugs or drug candidates that we may develop.</w:t>
      </w:r>
    </w:p>
    <w:p>
      <w:pPr>
        <w:spacing w:after="0" w:line="225" w:lineRule="exact"/>
        <w:rPr>
          <w:sz w:val="20"/>
          <w:szCs w:val="20"/>
          <w:color w:val="auto"/>
        </w:rPr>
      </w:pPr>
    </w:p>
    <w:p>
      <w:pPr>
        <w:jc w:val="both"/>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60" w:lineRule="exact"/>
        <w:rPr>
          <w:sz w:val="20"/>
          <w:szCs w:val="20"/>
          <w:color w:val="auto"/>
        </w:rPr>
      </w:pPr>
    </w:p>
    <w:p>
      <w:pPr>
        <w:ind w:left="60" w:right="1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Increasing demand for compassionate use of our drug candidates could negatively affect our reputation and harm our business.</w:t>
      </w:r>
    </w:p>
    <w:p>
      <w:pPr>
        <w:spacing w:after="0" w:line="171"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174"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8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or a new indication for a drug product for which we establish marketing capabilities is delayed or does not occur for any reason, we would have prematurely or unnecessarily incurred these commercialization expenses, which may be costly.</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7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If we do not establish, maintain and, if necessary, expand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5"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advance our drug candidates to clinical development, obtain regulatory approval for our drug candidates, including for avapritinib in additional geographies, and ultimately commercialize them, or experience significant delays in doing so, our business will be materially harmed.</w:t>
      </w:r>
    </w:p>
    <w:p>
      <w:pPr>
        <w:spacing w:after="0" w:line="161"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ability to generate material net cash inflows from our operations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The success of our approved drugs and drug candidates will depend on several factors, including the following:</w:t>
      </w:r>
    </w:p>
    <w:p>
      <w:pPr>
        <w:spacing w:after="0" w:line="187" w:lineRule="exact"/>
        <w:rPr>
          <w:sz w:val="20"/>
          <w:szCs w:val="20"/>
          <w:color w:val="auto"/>
        </w:rPr>
      </w:pPr>
    </w:p>
    <w:p>
      <w:pPr>
        <w:ind w:left="1340" w:right="139" w:hanging="318"/>
        <w:spacing w:after="0" w:line="258"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initiation and completion of, clinical trials, including our ongoing and planned clinical trials for our drugs and drug candidates as monotherapies and in combination with other agents;</w:t>
      </w:r>
    </w:p>
    <w:p>
      <w:pPr>
        <w:spacing w:after="0" w:line="18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for our other drug candidates;</w:t>
      </w:r>
    </w:p>
    <w:p>
      <w:pPr>
        <w:spacing w:after="0" w:line="225" w:lineRule="exact"/>
        <w:rPr>
          <w:rFonts w:ascii="Times New Roman" w:cs="Times New Roman" w:eastAsia="Times New Roman" w:hAnsi="Times New Roman"/>
          <w:sz w:val="18"/>
          <w:szCs w:val="18"/>
          <w:color w:val="auto"/>
        </w:rPr>
      </w:pPr>
    </w:p>
    <w:p>
      <w:pPr>
        <w:ind w:left="1340" w:right="279" w:hanging="318"/>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and transitioning any conditional marketing authorizations to full approvals;</w:t>
      </w:r>
    </w:p>
    <w:p>
      <w:pPr>
        <w:spacing w:after="0" w:line="161" w:lineRule="exact"/>
        <w:rPr>
          <w:rFonts w:ascii="Times New Roman" w:cs="Times New Roman" w:eastAsia="Times New Roman" w:hAnsi="Times New Roman"/>
          <w:sz w:val="18"/>
          <w:szCs w:val="18"/>
          <w:color w:val="auto"/>
        </w:rPr>
      </w:pPr>
    </w:p>
    <w:p>
      <w:pPr>
        <w:ind w:left="1340" w:right="79" w:hanging="318"/>
        <w:spacing w:after="0" w:line="280" w:lineRule="auto"/>
        <w:tabs>
          <w:tab w:leader="none" w:pos="13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66" w:lineRule="exact"/>
        <w:rPr>
          <w:rFonts w:ascii="Times New Roman" w:cs="Times New Roman" w:eastAsia="Times New Roman" w:hAnsi="Times New Roman"/>
          <w:sz w:val="17"/>
          <w:szCs w:val="17"/>
          <w:color w:val="auto"/>
        </w:rPr>
      </w:pPr>
    </w:p>
    <w:p>
      <w:pPr>
        <w:ind w:left="1340" w:right="239" w:hanging="318"/>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drugs and drug candidates;</w:t>
      </w:r>
    </w:p>
    <w:p>
      <w:pPr>
        <w:spacing w:after="0" w:line="161" w:lineRule="exact"/>
        <w:rPr>
          <w:rFonts w:ascii="Times New Roman" w:cs="Times New Roman" w:eastAsia="Times New Roman" w:hAnsi="Times New Roman"/>
          <w:sz w:val="18"/>
          <w:szCs w:val="18"/>
          <w:color w:val="auto"/>
        </w:rPr>
      </w:pPr>
    </w:p>
    <w:p>
      <w:pPr>
        <w:ind w:left="1340" w:right="99" w:hanging="318"/>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approved drugs and drug candidates, if and when approved, whether alone or in collaboration with others;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299" w:hanging="318"/>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approved drugs and drug candidates, if and when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drugs and drug candidates following approval.</w:t>
      </w:r>
    </w:p>
    <w:p>
      <w:pPr>
        <w:spacing w:after="0" w:line="225" w:lineRule="exact"/>
        <w:rPr>
          <w:sz w:val="20"/>
          <w:szCs w:val="20"/>
          <w:color w:val="auto"/>
        </w:rPr>
      </w:pPr>
    </w:p>
    <w:p>
      <w:pPr>
        <w:ind w:left="60" w:right="119" w:firstLine="648"/>
        <w:spacing w:after="0" w:line="280"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spacing w:after="0" w:line="16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In addition, current commercially available diagnostic tests to identify appropriate patients for our clinical trials or any approved drug candidates may become unavailable in the future.</w:t>
      </w:r>
    </w:p>
    <w:p>
      <w:pPr>
        <w:spacing w:after="0" w:line="189"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225" w:lineRule="exact"/>
        <w:rPr>
          <w:sz w:val="20"/>
          <w:szCs w:val="20"/>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under study;</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If we are unable to include patients with the driver of the disease, including the applicable genomic alteration for diseases in genomically defined patient populations, this could compromise our ability to seek participation in the</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FDA’s expedited review and approval programs, including breakthrough therapy designation and fast track designation, or otherwise to seek to accelerate clinical development and regulatory timelines.</w:t>
      </w:r>
    </w:p>
    <w:p>
      <w:pPr>
        <w:spacing w:after="0" w:line="158"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p>
      <w:pPr>
        <w:spacing w:after="0" w:line="175"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w:t>
      </w:r>
    </w:p>
    <w:p>
      <w:pPr>
        <w:spacing w:after="0" w:line="187"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expect to rely on third-party contract research organizations, or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the FDA determine that an inspection is necessary for approval of a marketing application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3"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interpretations or agency discretion during the development period, changes in or the enactment of additional statutes or regulations, or changes in regulatory review for each submitted new drug application, or NDA, for a drug candidate, may cause delays in the approval or rejection of an application. Moreover,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Additionally,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spacing w:after="0" w:line="197"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Our drug candidates could be delayed in receiving, or fail to receive, regulatory approval for many reasons, including the following:</w:t>
      </w:r>
    </w:p>
    <w:p>
      <w:pPr>
        <w:spacing w:after="0" w:line="148" w:lineRule="exact"/>
        <w:rPr>
          <w:sz w:val="20"/>
          <w:szCs w:val="20"/>
          <w:color w:val="auto"/>
        </w:rPr>
      </w:pPr>
    </w:p>
    <w:p>
      <w:pPr>
        <w:ind w:left="1380" w:right="79" w:hanging="331"/>
        <w:spacing w:after="0" w:line="282"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1380" w:right="619" w:hanging="331"/>
        <w:spacing w:after="0" w:line="282"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1380" w:right="479" w:hanging="331"/>
        <w:spacing w:after="0" w:line="282"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79" w:hanging="331"/>
        <w:spacing w:after="0" w:line="312" w:lineRule="auto"/>
        <w:tabs>
          <w:tab w:leader="none" w:pos="1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drug candidates may not be sufficient to support the submission of an NDA or other submission or to obtain regulatory approval in the U.S. or elsewhere;</w:t>
      </w:r>
    </w:p>
    <w:p>
      <w:pPr>
        <w:spacing w:after="0" w:line="139" w:lineRule="exact"/>
        <w:rPr>
          <w:rFonts w:ascii="Times New Roman" w:cs="Times New Roman" w:eastAsia="Times New Roman" w:hAnsi="Times New Roman"/>
          <w:sz w:val="17"/>
          <w:szCs w:val="17"/>
          <w:color w:val="auto"/>
        </w:rPr>
      </w:pPr>
    </w:p>
    <w:p>
      <w:pPr>
        <w:ind w:left="1380" w:right="279" w:hanging="331"/>
        <w:spacing w:after="0" w:line="266" w:lineRule="auto"/>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7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drugs,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Additionally, the receipt of regulatory approval for one indication does not ensure the likelihood of success for regulatory approval of expanded indications for a marketed product. Any of the foregoing scenarios could materially harm the commercial prospects for our drug candidates.</w:t>
      </w:r>
    </w:p>
    <w:p>
      <w:pPr>
        <w:spacing w:after="0" w:line="18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drug candidates, the commercial prospects for our approved drugs or drug candidates may be harmed and our ability to generate revenues will be materially impaired.</w:t>
      </w:r>
    </w:p>
    <w:p>
      <w:pPr>
        <w:spacing w:after="0" w:line="17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Currently, federal agencies in the U.S. are operating under a continuing resolution that is set to expire on March 14, 2025. Without appropriation of additional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0"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180" w:lineRule="exact"/>
        <w:rPr>
          <w:sz w:val="20"/>
          <w:szCs w:val="20"/>
          <w:color w:val="auto"/>
        </w:rPr>
      </w:pPr>
    </w:p>
    <w:p>
      <w:pPr>
        <w:ind w:left="1380" w:right="119" w:hanging="331"/>
        <w:spacing w:after="0" w:line="266"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75" w:lineRule="exact"/>
        <w:rPr>
          <w:rFonts w:ascii="Times New Roman" w:cs="Times New Roman" w:eastAsia="Times New Roman" w:hAnsi="Times New Roman"/>
          <w:sz w:val="18"/>
          <w:szCs w:val="18"/>
          <w:color w:val="auto"/>
        </w:rPr>
      </w:pPr>
    </w:p>
    <w:p>
      <w:pPr>
        <w:ind w:left="1380" w:right="439" w:hanging="331"/>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225" w:lineRule="exact"/>
        <w:rPr>
          <w:rFonts w:ascii="Times New Roman" w:cs="Times New Roman" w:eastAsia="Times New Roman" w:hAnsi="Times New Roman"/>
          <w:sz w:val="18"/>
          <w:szCs w:val="18"/>
          <w:color w:val="auto"/>
        </w:rPr>
      </w:pPr>
    </w:p>
    <w:p>
      <w:pPr>
        <w:ind w:left="1380" w:right="299" w:hanging="331"/>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issues, formulation issues, pricing or reimbursement issues or other factors that make a drug candidate uneconomical; and</w:t>
      </w:r>
    </w:p>
    <w:p>
      <w:pPr>
        <w:spacing w:after="0" w:line="161" w:lineRule="exact"/>
        <w:rPr>
          <w:rFonts w:ascii="Times New Roman" w:cs="Times New Roman" w:eastAsia="Times New Roman" w:hAnsi="Times New Roman"/>
          <w:sz w:val="18"/>
          <w:szCs w:val="18"/>
          <w:color w:val="auto"/>
        </w:rPr>
      </w:pPr>
    </w:p>
    <w:p>
      <w:pPr>
        <w:ind w:left="1380" w:right="279" w:hanging="331"/>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drug candidates from being commercialized.</w:t>
      </w:r>
    </w:p>
    <w:p>
      <w:pPr>
        <w:spacing w:after="0" w:line="16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8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investigational and approved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89" w:lineRule="exact"/>
        <w:rPr>
          <w:sz w:val="20"/>
          <w:szCs w:val="20"/>
          <w:color w:val="auto"/>
        </w:rPr>
      </w:pPr>
    </w:p>
    <w:p>
      <w:pPr>
        <w:ind w:left="60" w:right="239" w:firstLine="648"/>
        <w:spacing w:after="0" w:line="271" w:lineRule="auto"/>
        <w:rPr>
          <w:sz w:val="20"/>
          <w:szCs w:val="20"/>
          <w:color w:val="auto"/>
        </w:rPr>
      </w:pPr>
      <w:r>
        <w:rPr>
          <w:rFonts w:ascii="Times New Roman" w:cs="Times New Roman" w:eastAsia="Times New Roman" w:hAnsi="Times New Roman"/>
          <w:sz w:val="17"/>
          <w:szCs w:val="17"/>
          <w:color w:val="auto"/>
        </w:rPr>
        <w:t>Further, our approved drugs and drug candidates could cause undesirable side effects in preclinical studies or clinical trials related to on-target toxicity. If on-target toxicity is observed, or if our drugs or drug candidates have characteristics that are unexpected, such as off-target toxicity,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have later been found to cause side effects that prevented further development of the compound.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83" w:lineRule="exact"/>
        <w:rPr>
          <w:sz w:val="20"/>
          <w:szCs w:val="20"/>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drug;</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1" w:lineRule="exact"/>
        <w:rPr>
          <w:rFonts w:ascii="Times New Roman" w:cs="Times New Roman" w:eastAsia="Times New Roman" w:hAnsi="Times New Roman"/>
          <w:sz w:val="18"/>
          <w:szCs w:val="18"/>
          <w:color w:val="auto"/>
        </w:rPr>
      </w:pPr>
    </w:p>
    <w:p>
      <w:pPr>
        <w:ind w:left="1380" w:right="23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61" w:lineRule="exact"/>
        <w:rPr>
          <w:rFonts w:ascii="Times New Roman" w:cs="Times New Roman" w:eastAsia="Times New Roman" w:hAnsi="Times New Roman"/>
          <w:sz w:val="18"/>
          <w:szCs w:val="18"/>
          <w:color w:val="auto"/>
        </w:rPr>
      </w:pPr>
    </w:p>
    <w:p>
      <w:pPr>
        <w:ind w:left="1380" w:right="55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is distributed or administered, conduct additional clinical trials or change the labeling of such drug;</w:t>
      </w:r>
    </w:p>
    <w:p>
      <w:pPr>
        <w:spacing w:after="0" w:line="161" w:lineRule="exact"/>
        <w:rPr>
          <w:rFonts w:ascii="Times New Roman" w:cs="Times New Roman" w:eastAsia="Times New Roman" w:hAnsi="Times New Roman"/>
          <w:sz w:val="18"/>
          <w:szCs w:val="18"/>
          <w:color w:val="auto"/>
        </w:rPr>
      </w:pPr>
    </w:p>
    <w:p>
      <w:pPr>
        <w:jc w:val="both"/>
        <w:ind w:left="1380" w:right="99" w:hanging="331"/>
        <w:spacing w:after="0" w:line="258"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9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from the marketplace;</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drugs and drug candidates;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83"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granted breakthrough therapy designation to AYVAKIT for the treatment of certain patients with GIST, advanced SM, and moderate to severe indolent SM and RET-altered cancers. The FDA also granted fast track designation to BLU-782 for the treatment of FOP, which we have out licensed to Clementia.</w:t>
      </w:r>
    </w:p>
    <w:p>
      <w:pPr>
        <w:spacing w:after="0" w:line="190"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Designation as a fast track or breakthrough therapy is within the discretion of the FDA. Accordingly, even if we believe one of our drug candidates meets the criteria for designation as a fast track or breakthrough therapy, the FDA</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w:t>
      </w:r>
    </w:p>
    <w:p>
      <w:pPr>
        <w:spacing w:after="0" w:line="18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seek approval of our drug candidates, where applicable, under the FDA’s accelerated approval pathway. A product may be eligible for accelerated approval if it is designed to treat a serious or life-threatening disease or condition and generally provides a meaningful advantage over available therapies. In addition, it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the Food and Drug Omnibus Reform Act of 2022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 Additionally, if we are not able to obtain full approval of any accelerated approval product, including through the completion of post-marketing studies, we or our partners may decide to withdraw marketing of such products.</w:t>
      </w:r>
    </w:p>
    <w:p>
      <w:pPr>
        <w:spacing w:after="0" w:line="184"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or EC, has granted orphan medicinal product designation to avapritinib for the treatment of GIST and the treatment of mastocytosis. Both the FDA and EC have granted orphan drug designation to elenestinib for the treatment of mastocytosis. As part of our business strategy, we may seek orphan drug designation for some of our other drug candidates, and we may be unsuccessful. Regulatory authorities in some jurisdictions, including the U.S.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Similarly, in the EU, the EC grants orphan medicinal product designation after receiving the opinion of the European Medicines Agency’s, or EMA, Committee for Orphan Medicinal Products on an orphan medicinal product designation application. Orphan medicinal product designation is intended to promote the development of medicinal products that are intended for the diagnosis, prevention or treatment of life threatening or chronically debilitating conditions affecting not more than five (5) in ten thousand (10,000) persons in the EU or for products intended for the diagnosis, prevention, or treatment of a life threatening, seriously debilitating or serious and chronic condition when, without incentives, it is unlikely that sales of the product in the EU would generate sufficient return to justify the necessary investment in developing the product. In each case, in order to obtain orphan designation, there must be no satisfactory method of diagnosis, prevention, or treatment authorized for marketing in the EU for the applicable orphan</w:t>
      </w:r>
    </w:p>
    <w:p>
      <w:pPr>
        <w:sectPr>
          <w:pgSz w:w="11900" w:h="16838" w:orient="portrait"/>
          <w:cols w:equalWidth="0" w:num="1">
            <w:col w:w="9019"/>
          </w:cols>
          <w:pgMar w:left="1440" w:top="513" w:right="1440" w:bottom="1440" w:gutter="0" w:footer="0" w:header="0"/>
        </w:sect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condition (or, if such a method exists, the product would be of significant benefit to those affected by the condition). In the EU, orphan medicinal product designation entitles a party to financial incentives such as reduction of fees or fee waivers.</w:t>
      </w:r>
    </w:p>
    <w:p>
      <w:pPr>
        <w:spacing w:after="0" w:line="140"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EC or the FDA from approving another marketing application for the same drug and indication for that time period, except in limited circumstances. The applicable period is seven years in the U.S. and ten years in the EU. The EU exclusivity period can be reduced to six years if, at the end of the fifth year, the drug no longer meets the criteria for orphan medicinal product designation or if the drug is sufficiently profitable so that market exclusivity is no longer justified.</w:t>
      </w:r>
    </w:p>
    <w:p>
      <w:pPr>
        <w:spacing w:after="0" w:line="173" w:lineRule="exact"/>
        <w:rPr>
          <w:sz w:val="20"/>
          <w:szCs w:val="20"/>
          <w:color w:val="auto"/>
        </w:rPr>
      </w:pPr>
    </w:p>
    <w:p>
      <w:pPr>
        <w:ind w:left="60" w:right="279" w:firstLine="648"/>
        <w:spacing w:after="0" w:line="281" w:lineRule="auto"/>
        <w:rPr>
          <w:sz w:val="20"/>
          <w:szCs w:val="20"/>
          <w:color w:val="auto"/>
        </w:rPr>
      </w:pPr>
      <w:r>
        <w:rPr>
          <w:rFonts w:ascii="Times New Roman" w:cs="Times New Roman" w:eastAsia="Times New Roman" w:hAnsi="Times New Roman"/>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6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91"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drug candidates.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use our novel target discovery engine to identify small molecule inhibitors and targeted protein degraders, and design highly potent and selective therapeutic candidates where there is an opportunity to impact large patient populations.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However, we may not be able to identify any drug candidates for our pipeline through such transactions.</w:t>
      </w:r>
    </w:p>
    <w:p>
      <w:pPr>
        <w:spacing w:after="0" w:line="187" w:lineRule="exact"/>
        <w:rPr>
          <w:sz w:val="20"/>
          <w:szCs w:val="20"/>
          <w:color w:val="auto"/>
        </w:rPr>
      </w:pPr>
    </w:p>
    <w:p>
      <w:pPr>
        <w:jc w:val="both"/>
        <w:ind w:left="60" w:right="379" w:firstLine="648"/>
        <w:spacing w:after="0" w:line="289" w:lineRule="auto"/>
        <w:rPr>
          <w:sz w:val="20"/>
          <w:szCs w:val="20"/>
          <w:color w:val="auto"/>
        </w:rPr>
      </w:pPr>
      <w:r>
        <w:rPr>
          <w:rFonts w:ascii="Times New Roman" w:cs="Times New Roman" w:eastAsia="Times New Roman" w:hAnsi="Times New Roman"/>
          <w:sz w:val="17"/>
          <w:szCs w:val="17"/>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7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intend to develop drug candidates in combination with other therapies, which exposes us to additional risks.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intend to develop, launch and commercialize BLU-808, elenestinib,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w:t>
      </w:r>
    </w:p>
    <w:p>
      <w:pPr>
        <w:spacing w:after="0" w:line="187" w:lineRule="exact"/>
        <w:rPr>
          <w:sz w:val="20"/>
          <w:szCs w:val="20"/>
          <w:color w:val="auto"/>
        </w:rPr>
      </w:pPr>
    </w:p>
    <w:p>
      <w:pPr>
        <w:jc w:val="both"/>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w:t>
      </w:r>
    </w:p>
    <w:p>
      <w:pPr>
        <w:spacing w:after="0" w:line="18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Government Legislations and Regulations</w:t>
      </w:r>
    </w:p>
    <w:p>
      <w:pPr>
        <w:spacing w:after="0" w:line="225" w:lineRule="exact"/>
        <w:rPr>
          <w:sz w:val="20"/>
          <w:szCs w:val="20"/>
          <w:color w:val="auto"/>
        </w:rPr>
      </w:pPr>
    </w:p>
    <w:p>
      <w:pPr>
        <w:ind w:left="6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3"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approval of current or future drug candidates, where applicable, under the FDA’s accelerated approval pathway. Any current or future drug candidate for which we receive accelerated approval from the FDA or similar conditional approval from the EMA, including AYVAKYT, or comparable regulatory authorities in other jurisdictions may be required to undergo one or more confirmatory clinical trials, as a condition of accelerated approval, or be required to perform adequate and well-controlled post-marketing clinical trials to confirm the product’s clinical benefit. These post-market confirmatory trials must be completed according to timelines agreed upon with the FDA, and if they are not completed in accordance with these timelines than it could result in withdrawal of the indication.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 In addition, under FDORA the FDA is now permitted to require, as appropriate, that post-marketing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w:t>
      </w:r>
    </w:p>
    <w:p>
      <w:pPr>
        <w:spacing w:after="0" w:line="192"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as well as continued compliance with current Good Manufacturing Practices (cGMPs) and Good Clinical Practices (GCPs) for any clinical trials that we conduct post-approval.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 party manufacturers or manufacturing processes, or failure to comply with regulatory requirements, may result in, among other things:</w:t>
      </w:r>
    </w:p>
    <w:p>
      <w:pPr>
        <w:spacing w:after="0" w:line="200" w:lineRule="exact"/>
        <w:rPr>
          <w:sz w:val="20"/>
          <w:szCs w:val="20"/>
          <w:color w:val="auto"/>
        </w:rPr>
      </w:pPr>
    </w:p>
    <w:p>
      <w:pPr>
        <w:spacing w:after="0" w:line="203" w:lineRule="exact"/>
        <w:rPr>
          <w:sz w:val="20"/>
          <w:szCs w:val="20"/>
          <w:color w:val="auto"/>
        </w:rPr>
      </w:pPr>
    </w:p>
    <w:p>
      <w:pPr>
        <w:ind w:left="1380" w:right="479" w:hanging="331"/>
        <w:spacing w:after="0" w:line="282"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“dear doctor” letters or drug recalls;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119" w:hanging="331"/>
        <w:spacing w:after="0" w:line="282"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marketing approvals;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2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Drug Supply Chain Security Act, or DSCSA, was enacted in 2013 with the aim of building an electronic system to identify and trace certain prescription drugs and biologics distributed in the United States. The DSCSA mandates phased-in and resource-intensive obligations for pharmaceutical manufacturers, wholesale distributors, and dispensers over a 10-year period that culminated in November 2023. The FDA established a one-year stabilization period until November 2024 for trading partners to continue to build and validate interoperable systems and processes to meet certain requirements of the DSCSA. In late 2024, the FDA announced it is allowing a further exemption period for eligible trading partners who have successfully completed or made documented efforts to complete data connections with their immediate trading partners, but still face challenges exchanging data. The exemption period for eligible manufacturers and repackagers now extends until May 27, 2025. The DSCSA requirements include the quarantine and prompt investigation of a suspect product, to determine if it is illegitimate, notifying trading partners and the FDA of any illegitimate product, and compliance with product tracking and tracing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3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 and could expose our company to substantial civil or criminal penalties.</w:t>
      </w:r>
    </w:p>
    <w:p>
      <w:pPr>
        <w:spacing w:after="0" w:line="188"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may have obtained approvals for certain of our products, such drug or drug candidate may become subject to unfavorable pricing regulations or third-party coverage and reimbursement policies, which would harm our business.</w:t>
      </w:r>
    </w:p>
    <w:p>
      <w:pPr>
        <w:spacing w:after="0" w:line="17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See section entitled “</w:t>
      </w:r>
      <w:r>
        <w:rPr>
          <w:rFonts w:ascii="Times New Roman" w:cs="Times New Roman" w:eastAsia="Times New Roman" w:hAnsi="Times New Roman"/>
          <w:sz w:val="18"/>
          <w:szCs w:val="18"/>
          <w:i w:val="1"/>
          <w:iCs w:val="1"/>
          <w:color w:val="auto"/>
        </w:rPr>
        <w:t>Business – Coverage and Reimbursement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w:t>
      </w:r>
    </w:p>
    <w:p>
      <w:pPr>
        <w:spacing w:after="0" w:line="19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U.S.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addition, both Congress and</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 xml:space="preserve">the Trump administration have indicated that they will continue to seek new legislative measures to control drug costs. See section entitled </w:t>
      </w:r>
      <w:r>
        <w:rPr>
          <w:rFonts w:ascii="Times New Roman" w:cs="Times New Roman" w:eastAsia="Times New Roman" w:hAnsi="Times New Roman"/>
          <w:sz w:val="18"/>
          <w:szCs w:val="18"/>
          <w:i w:val="1"/>
          <w:iCs w:val="1"/>
          <w:color w:val="auto"/>
        </w:rPr>
        <w:t>“Business – Healthcare Reform.”</w:t>
      </w:r>
    </w:p>
    <w:p>
      <w:pPr>
        <w:spacing w:after="0" w:line="162"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 For example, by Executive Order, FDA works with states and Indian Tribes that propose to develop Section 804 Importation Programs in accordance with the Medicare Prescription Drug, Improvement, and Modernization Act of 2003. The FDA released implementing regulations on September 24, 2020, which went into effect on November 30, 2020, providing guidance for states to build and submit importation plans for drugs from Canada. On January 5, 2024, the FDA issued to Florida the first approval for a state importation plan. Several states now have pending applications with the FDA, including Colorado, Maine, New Hampshire and New Mexico. If successfully implemented, importation of drugs from Canada may materially and adversely affect the price we receive for any of our product candidates. In addition, a handful of states have passed legislation to establish state drug importation programs. Legislation or regulations allowing the reimportation of drugs, if enacted and successfully implemented, could decrease the price we receive for any products that we may develop and adversely affect our future revenues and prospects for profitability.</w:t>
      </w:r>
    </w:p>
    <w:p>
      <w:pPr>
        <w:spacing w:after="0" w:line="19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Creating and Restoring Equal Access to Equivalent Samples Act, or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187"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62" w:lineRule="exact"/>
        <w:rPr>
          <w:sz w:val="20"/>
          <w:szCs w:val="20"/>
          <w:color w:val="auto"/>
        </w:rPr>
      </w:pPr>
    </w:p>
    <w:p>
      <w:pPr>
        <w:ind w:left="60" w:right="279" w:firstLine="638"/>
        <w:spacing w:after="0" w:line="282" w:lineRule="auto"/>
        <w:tabs>
          <w:tab w:leader="none" w:pos="13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AYVAKIT/AVAKYT and any current and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approved products;</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8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as amended by the Health Information Technology for Economic and Clinical Health Act of 2009 (HITECH), the Physician Payment Sunshine Act,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Times New Roman" w:cs="Times New Roman" w:eastAsia="Times New Roman" w:hAnsi="Times New Roman"/>
          <w:sz w:val="18"/>
          <w:szCs w:val="18"/>
          <w:i w:val="1"/>
          <w:iCs w:val="1"/>
          <w:color w:val="auto"/>
        </w:rPr>
        <w:t>Business – Other Healthcare Laws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60" w:right="99" w:firstLine="648"/>
        <w:spacing w:after="0" w:line="265" w:lineRule="auto"/>
        <w:rPr>
          <w:sz w:val="20"/>
          <w:szCs w:val="20"/>
          <w:color w:val="auto"/>
        </w:rPr>
      </w:pPr>
      <w:r>
        <w:rPr>
          <w:rFonts w:ascii="Times New Roman" w:cs="Times New Roman" w:eastAsia="Times New Roman" w:hAnsi="Times New Roman"/>
          <w:sz w:val="17"/>
          <w:szCs w:val="17"/>
          <w:color w:val="auto"/>
        </w:rPr>
        <w:t>In the U.S., to help patients who have no or inadequate insurance access our drug, we have a patient assistance program that we administer in conjunction with our patient support program vendor. In addition, we have a co-pay support program for commercially insured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Office of the Inspector General, or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39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w:t>
      </w:r>
    </w:p>
    <w:p>
      <w:pPr>
        <w:spacing w:after="0" w:line="188"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187" w:lineRule="exact"/>
        <w:rPr>
          <w:sz w:val="20"/>
          <w:szCs w:val="20"/>
          <w:color w:val="auto"/>
        </w:rPr>
      </w:pPr>
    </w:p>
    <w:p>
      <w:pPr>
        <w:ind w:left="60" w:right="459" w:firstLine="648"/>
        <w:spacing w:after="0" w:line="312" w:lineRule="auto"/>
        <w:rPr>
          <w:sz w:val="20"/>
          <w:szCs w:val="20"/>
          <w:color w:val="auto"/>
        </w:rPr>
      </w:pPr>
      <w:r>
        <w:rPr>
          <w:rFonts w:ascii="Times New Roman" w:cs="Times New Roman" w:eastAsia="Times New Roman" w:hAnsi="Times New Roman"/>
          <w:sz w:val="17"/>
          <w:szCs w:val="17"/>
          <w:color w:val="auto"/>
        </w:rPr>
        <w:t>Ensuring that our future business arrangements with third parties comply with applicable healthcare laws and regulations could involve substantial costs. It is possible that governmental authorities will conclude that our business</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88"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Department of Veterans Affairs (VA)’s Federal Supply Schedule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83"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9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 </w:t>
      </w:r>
    </w:p>
    <w:p>
      <w:pPr>
        <w:spacing w:after="0" w:line="192"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83"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7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90"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89"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78" w:lineRule="exact"/>
        <w:rPr>
          <w:sz w:val="20"/>
          <w:szCs w:val="20"/>
          <w:color w:val="auto"/>
        </w:rPr>
      </w:pPr>
    </w:p>
    <w:p>
      <w:pPr>
        <w:ind w:left="1340" w:hanging="318"/>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drug candidates in foreign markets;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25" w:lineRule="exact"/>
        <w:rPr>
          <w:rFonts w:ascii="Times New Roman" w:cs="Times New Roman" w:eastAsia="Times New Roman" w:hAnsi="Times New Roman"/>
          <w:sz w:val="18"/>
          <w:szCs w:val="18"/>
          <w:color w:val="auto"/>
        </w:rPr>
      </w:pPr>
    </w:p>
    <w:p>
      <w:pPr>
        <w:jc w:val="both"/>
        <w:ind w:left="1340" w:right="579" w:hanging="318"/>
        <w:spacing w:after="0" w:line="258" w:lineRule="auto"/>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including, for example, the European General Data Protection Regulation 2016/679, commonly referred to as GDPR;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Foreign sales of our drug candidates could also be adversely affected by the imposition of governmental controls, political and economic instability, trade restrictions and changes in tariffs.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w:t>
      </w:r>
    </w:p>
    <w:p>
      <w:pPr>
        <w:spacing w:after="0" w:line="18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precision therapy company in the process of growing our operations. We have incurred significant operating losses since our inception and may never become and remain profitable.</w:t>
      </w:r>
    </w:p>
    <w:p>
      <w:pPr>
        <w:spacing w:after="0" w:line="159" w:lineRule="exact"/>
        <w:rPr>
          <w:sz w:val="20"/>
          <w:szCs w:val="20"/>
          <w:color w:val="auto"/>
        </w:rPr>
      </w:pPr>
    </w:p>
    <w:p>
      <w:pPr>
        <w:ind w:left="60" w:right="279" w:firstLine="648"/>
        <w:spacing w:after="0" w:line="275" w:lineRule="auto"/>
        <w:rPr>
          <w:sz w:val="20"/>
          <w:szCs w:val="20"/>
          <w:color w:val="auto"/>
        </w:rPr>
      </w:pPr>
      <w:r>
        <w:rPr>
          <w:rFonts w:ascii="Times New Roman" w:cs="Times New Roman" w:eastAsia="Times New Roman" w:hAnsi="Times New Roman"/>
          <w:sz w:val="17"/>
          <w:szCs w:val="17"/>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w:t>
      </w:r>
    </w:p>
    <w:p>
      <w:pPr>
        <w:sectPr>
          <w:pgSz w:w="11900" w:h="16838" w:orient="portrait"/>
          <w:cols w:equalWidth="0" w:num="1">
            <w:col w:w="9019"/>
          </w:cols>
          <w:pgMar w:left="1440" w:top="513" w:right="1440"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spacing w:after="0" w:line="176"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 and license agreements, future royalty and revenue monetization, and a term loan. Through December 31, 2024, we have received an aggregate of $3.9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$1.1 billion in upfront payments and milestone payments under our collaborations with CStone and Zai Lab, our now terminated collaborations with Roche, our license agreement with Clementia, our agreement with Rigel, and our former collaboration with Alexion Pharma Holding, or Alexion and $400.0 million in gross proceeds from a term loan from Sixth Street Partners. In addition, since January 2020, we also have generated revenue through sales of our drug products.</w:t>
      </w:r>
    </w:p>
    <w:p>
      <w:pPr>
        <w:spacing w:after="0" w:line="194"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$67.1 million for the year ended December 31, 2024. Our net losses were $507.0 million and $557.5 million for the years ended December 31, 2023 and 2022, respectively. As of December 31, 2024, we had an accumulated deficit of $2,407.0 million.</w:t>
      </w:r>
    </w:p>
    <w:p>
      <w:pPr>
        <w:spacing w:after="0" w:line="17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Substantially all of our operating losses have resulted from costs incurred in connection with our research and development programs and from selling, general and administrative costs associated with our operations. We expect to continue to incur significant expenses and operating losses over the next few years. We anticipate that our expenses may continue to increase in connection with our ongoing activities. Our prior losses, combined with expected future losses, have had and will continue to have an adverse effect on our stockholders’ equity and working capital. We expect our research and development expenses to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94"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Our ability to generate substantial revenue depends on a number of factors, including, but not limited to, our ability to:</w:t>
      </w:r>
    </w:p>
    <w:p>
      <w:pPr>
        <w:spacing w:after="0" w:line="162" w:lineRule="exact"/>
        <w:rPr>
          <w:sz w:val="20"/>
          <w:szCs w:val="20"/>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225" w:lineRule="exact"/>
        <w:rPr>
          <w:rFonts w:ascii="Times New Roman" w:cs="Times New Roman" w:eastAsia="Times New Roman" w:hAnsi="Times New Roman"/>
          <w:sz w:val="18"/>
          <w:szCs w:val="18"/>
          <w:color w:val="auto"/>
        </w:rPr>
      </w:pPr>
    </w:p>
    <w:p>
      <w:pPr>
        <w:ind w:left="1340" w:right="659" w:hanging="318"/>
        <w:spacing w:after="0" w:line="282" w:lineRule="auto"/>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drug candidates, including for avapritinib in additional geographies;</w:t>
      </w:r>
    </w:p>
    <w:p>
      <w:pPr>
        <w:spacing w:after="0" w:line="148" w:lineRule="exact"/>
        <w:rPr>
          <w:rFonts w:ascii="Times New Roman" w:cs="Times New Roman" w:eastAsia="Times New Roman" w:hAnsi="Times New Roman"/>
          <w:sz w:val="18"/>
          <w:szCs w:val="18"/>
          <w:color w:val="auto"/>
        </w:rPr>
      </w:pPr>
    </w:p>
    <w:p>
      <w:pPr>
        <w:ind w:left="1340" w:right="459" w:hanging="318"/>
        <w:spacing w:after="0" w:line="282" w:lineRule="auto"/>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expand commercial manufacturing capabilities or make arrangements with third-party manufacturers to ensure clinical supply and commercial manufacturing;</w:t>
      </w:r>
    </w:p>
    <w:p>
      <w:pPr>
        <w:spacing w:after="0" w:line="161" w:lineRule="exact"/>
        <w:rPr>
          <w:rFonts w:ascii="Times New Roman" w:cs="Times New Roman" w:eastAsia="Times New Roman" w:hAnsi="Times New Roman"/>
          <w:sz w:val="18"/>
          <w:szCs w:val="18"/>
          <w:color w:val="auto"/>
        </w:rPr>
      </w:pPr>
    </w:p>
    <w:p>
      <w:pPr>
        <w:ind w:left="1340" w:right="379" w:hanging="318"/>
        <w:spacing w:after="0" w:line="266" w:lineRule="auto"/>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if necessary, expand a sales, marketing and distribution infrastructure to commercialize AYVAKIT/AYVAKYT and any current or future drug candidates for which we obtain marketing approval;</w:t>
      </w:r>
    </w:p>
    <w:p>
      <w:pPr>
        <w:spacing w:after="0" w:line="175" w:lineRule="exact"/>
        <w:rPr>
          <w:rFonts w:ascii="Times New Roman" w:cs="Times New Roman" w:eastAsia="Times New Roman" w:hAnsi="Times New Roman"/>
          <w:sz w:val="18"/>
          <w:szCs w:val="18"/>
          <w:color w:val="auto"/>
        </w:rPr>
      </w:pPr>
    </w:p>
    <w:p>
      <w:pPr>
        <w:ind w:left="1340" w:right="639" w:hanging="318"/>
        <w:spacing w:after="0" w:line="258" w:lineRule="auto"/>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in the medical community and with third-party payors for AYVAKIT/AYVAKYT and any current or future drug candidates for which we receive marketing approval; and</w:t>
      </w:r>
    </w:p>
    <w:p>
      <w:pPr>
        <w:spacing w:after="0" w:line="182" w:lineRule="exact"/>
        <w:rPr>
          <w:rFonts w:ascii="Times New Roman" w:cs="Times New Roman" w:eastAsia="Times New Roman" w:hAnsi="Times New Roman"/>
          <w:sz w:val="18"/>
          <w:szCs w:val="18"/>
          <w:color w:val="auto"/>
        </w:rPr>
      </w:pPr>
    </w:p>
    <w:p>
      <w:pPr>
        <w:ind w:left="1340" w:right="119" w:hanging="318"/>
        <w:spacing w:after="0" w:line="266" w:lineRule="auto"/>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with companies that may have significantly greater financial resources and expertise in research and development, manufacturing, preclinical testing, conducting clinical trials, obtaining regulatory approvals and marketing approved drugs.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firstLine="648"/>
        <w:spacing w:after="0" w:line="274" w:lineRule="auto"/>
        <w:rPr>
          <w:sz w:val="20"/>
          <w:szCs w:val="20"/>
          <w:color w:val="auto"/>
        </w:rPr>
      </w:pPr>
      <w:r>
        <w:rPr>
          <w:rFonts w:ascii="Times New Roman" w:cs="Times New Roman" w:eastAsia="Times New Roman" w:hAnsi="Times New Roman"/>
          <w:sz w:val="17"/>
          <w:szCs w:val="17"/>
          <w:color w:val="auto"/>
        </w:rPr>
        <w:t>We expect to incur significant sales and marketing costs as we commercialize AYVAKIT/AYVAKYT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material net cash inflows from our operations, we will not become profitable and may be unable to continue operations without continued funding.</w:t>
      </w:r>
    </w:p>
    <w:p>
      <w:pPr>
        <w:spacing w:after="0" w:line="169" w:lineRule="exact"/>
        <w:rPr>
          <w:sz w:val="20"/>
          <w:szCs w:val="20"/>
          <w:color w:val="auto"/>
        </w:rPr>
      </w:pPr>
    </w:p>
    <w:p>
      <w:pPr>
        <w:ind w:left="60" w:right="3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71"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pharmaceuticals is capital intensive. We are currently advancing multiple drug candidates and development programs through clinical and preclinical development. Our expenses may increase in connection with our ongoing activities, particularly as we continue the research and development of, initiate or continue clinical trials of, and seek marketing approval for our drug candidates, including marketing approval for avapritinib in additional geographies.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and may increase as a result of many factors, including:</w:t>
      </w:r>
    </w:p>
    <w:p>
      <w:pPr>
        <w:spacing w:after="0" w:line="225" w:lineRule="exact"/>
        <w:rPr>
          <w:sz w:val="20"/>
          <w:szCs w:val="20"/>
          <w:color w:val="auto"/>
        </w:rPr>
      </w:pPr>
    </w:p>
    <w:p>
      <w:pPr>
        <w:ind w:left="1340" w:right="139" w:hanging="318"/>
        <w:spacing w:after="0" w:line="282"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commercialization efforts and market acceptance for AYVAKIT/AYVAKYT or any of our current or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40" w:right="359" w:hanging="318"/>
        <w:spacing w:after="0" w:line="258"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82" w:lineRule="exact"/>
        <w:rPr>
          <w:rFonts w:ascii="Times New Roman" w:cs="Times New Roman" w:eastAsia="Times New Roman" w:hAnsi="Times New Roman"/>
          <w:sz w:val="18"/>
          <w:szCs w:val="18"/>
          <w:color w:val="auto"/>
        </w:rPr>
      </w:pPr>
    </w:p>
    <w:p>
      <w:pPr>
        <w:ind w:left="1340" w:right="99" w:hanging="318"/>
        <w:spacing w:after="0" w:line="266"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75" w:lineRule="exact"/>
        <w:rPr>
          <w:rFonts w:ascii="Times New Roman" w:cs="Times New Roman" w:eastAsia="Times New Roman" w:hAnsi="Times New Roman"/>
          <w:sz w:val="18"/>
          <w:szCs w:val="18"/>
          <w:color w:val="auto"/>
        </w:rPr>
      </w:pPr>
    </w:p>
    <w:p>
      <w:pPr>
        <w:ind w:left="1340" w:right="299" w:hanging="318"/>
        <w:spacing w:after="0" w:line="282"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48" w:lineRule="exact"/>
        <w:rPr>
          <w:rFonts w:ascii="Times New Roman" w:cs="Times New Roman" w:eastAsia="Times New Roman" w:hAnsi="Times New Roman"/>
          <w:sz w:val="18"/>
          <w:szCs w:val="18"/>
          <w:color w:val="auto"/>
        </w:rPr>
      </w:pPr>
    </w:p>
    <w:p>
      <w:pPr>
        <w:ind w:left="1340" w:right="239" w:hanging="318"/>
        <w:spacing w:after="0" w:line="282"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1" w:lineRule="exact"/>
        <w:rPr>
          <w:rFonts w:ascii="Times New Roman" w:cs="Times New Roman" w:eastAsia="Times New Roman" w:hAnsi="Times New Roman"/>
          <w:sz w:val="18"/>
          <w:szCs w:val="18"/>
          <w:color w:val="auto"/>
        </w:rPr>
      </w:pPr>
    </w:p>
    <w:p>
      <w:pPr>
        <w:ind w:left="1340" w:right="359" w:hanging="318"/>
        <w:spacing w:after="0" w:line="282"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in additional geographies;</w:t>
      </w:r>
    </w:p>
    <w:p>
      <w:pPr>
        <w:spacing w:after="0" w:line="161" w:lineRule="exact"/>
        <w:rPr>
          <w:rFonts w:ascii="Times New Roman" w:cs="Times New Roman" w:eastAsia="Times New Roman" w:hAnsi="Times New Roman"/>
          <w:sz w:val="18"/>
          <w:szCs w:val="18"/>
          <w:color w:val="auto"/>
        </w:rPr>
      </w:pPr>
    </w:p>
    <w:p>
      <w:pPr>
        <w:ind w:left="1340" w:right="99" w:hanging="318"/>
        <w:spacing w:after="0" w:line="255"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CStone, and our license agreements with Clementia, IDRx (which has recently entered into an agreement to be acquired by GSK plc) and our agreement with Rigel, as well as our ability to establish and maintain additional collaborations, partnerships or licenses on favorable terms, if at all;</w:t>
      </w:r>
    </w:p>
    <w:p>
      <w:pPr>
        <w:spacing w:after="0" w:line="186" w:lineRule="exact"/>
        <w:rPr>
          <w:rFonts w:ascii="Times New Roman" w:cs="Times New Roman" w:eastAsia="Times New Roman" w:hAnsi="Times New Roman"/>
          <w:sz w:val="18"/>
          <w:szCs w:val="18"/>
          <w:color w:val="auto"/>
        </w:rPr>
      </w:pPr>
    </w:p>
    <w:p>
      <w:pPr>
        <w:ind w:left="1340" w:right="99" w:hanging="318"/>
        <w:spacing w:after="0" w:line="266"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our financing agreements, or any collaboration, partnership, financing or license agreements that we may enter into in the future;</w:t>
      </w:r>
    </w:p>
    <w:p>
      <w:pPr>
        <w:spacing w:after="0" w:line="175" w:lineRule="exact"/>
        <w:rPr>
          <w:rFonts w:ascii="Times New Roman" w:cs="Times New Roman" w:eastAsia="Times New Roman" w:hAnsi="Times New Roman"/>
          <w:sz w:val="18"/>
          <w:szCs w:val="18"/>
          <w:color w:val="auto"/>
        </w:rPr>
      </w:pPr>
    </w:p>
    <w:p>
      <w:pPr>
        <w:ind w:left="1340" w:right="799" w:hanging="318"/>
        <w:spacing w:after="0" w:line="282"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279" w:hanging="318"/>
        <w:spacing w:after="0" w:line="282"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1" w:lineRule="exact"/>
        <w:rPr>
          <w:rFonts w:ascii="Times New Roman" w:cs="Times New Roman" w:eastAsia="Times New Roman" w:hAnsi="Times New Roman"/>
          <w:sz w:val="18"/>
          <w:szCs w:val="18"/>
          <w:color w:val="auto"/>
        </w:rPr>
      </w:pPr>
    </w:p>
    <w:p>
      <w:pPr>
        <w:ind w:left="1340" w:right="779" w:hanging="318"/>
        <w:spacing w:after="0" w:line="282"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25" w:lineRule="exact"/>
        <w:rPr>
          <w:sz w:val="20"/>
          <w:szCs w:val="20"/>
          <w:color w:val="auto"/>
        </w:rPr>
      </w:pPr>
    </w:p>
    <w:p>
      <w:pPr>
        <w:ind w:left="60" w:right="159" w:firstLine="693"/>
        <w:spacing w:after="0" w:line="250" w:lineRule="auto"/>
        <w:rPr>
          <w:sz w:val="20"/>
          <w:szCs w:val="20"/>
          <w:color w:val="auto"/>
        </w:rPr>
      </w:pPr>
      <w:r>
        <w:rPr>
          <w:rFonts w:ascii="Times New Roman" w:cs="Times New Roman" w:eastAsia="Times New Roman" w:hAnsi="Times New Roman"/>
          <w:sz w:val="18"/>
          <w:szCs w:val="18"/>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193" w:lineRule="exact"/>
        <w:rPr>
          <w:sz w:val="20"/>
          <w:szCs w:val="20"/>
          <w:color w:val="auto"/>
        </w:rPr>
      </w:pPr>
    </w:p>
    <w:p>
      <w:pPr>
        <w:ind w:left="60" w:right="239" w:firstLine="648"/>
        <w:spacing w:after="0" w:line="281" w:lineRule="auto"/>
        <w:rPr>
          <w:sz w:val="20"/>
          <w:szCs w:val="20"/>
          <w:color w:val="auto"/>
        </w:rPr>
      </w:pPr>
      <w:r>
        <w:rPr>
          <w:rFonts w:ascii="Times New Roman" w:cs="Times New Roman" w:eastAsia="Times New Roman" w:hAnsi="Times New Roman"/>
          <w:sz w:val="17"/>
          <w:szCs w:val="17"/>
          <w:color w:val="auto"/>
        </w:rPr>
        <w:t>If we are unable to obtain funding if needed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60"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59" w:lineRule="exact"/>
        <w:rPr>
          <w:sz w:val="20"/>
          <w:szCs w:val="20"/>
          <w:color w:val="auto"/>
        </w:rPr>
      </w:pPr>
    </w:p>
    <w:p>
      <w:pPr>
        <w:ind w:left="60" w:right="59" w:firstLine="648"/>
        <w:spacing w:after="0" w:line="249" w:lineRule="auto"/>
        <w:rPr>
          <w:sz w:val="20"/>
          <w:szCs w:val="20"/>
          <w:color w:val="auto"/>
        </w:rPr>
      </w:pPr>
      <w:r>
        <w:rPr>
          <w:rFonts w:ascii="Times New Roman" w:cs="Times New Roman" w:eastAsia="Times New Roman" w:hAnsi="Times New Roman"/>
          <w:sz w:val="18"/>
          <w:szCs w:val="18"/>
          <w:color w:val="auto"/>
        </w:rPr>
        <w:t>Until such time, as we can generate material net cash inflows from our operations, we expect to finance our cash needs primarily through a combination of public and private equity offerings, debt financings, collaborations, strategic alliances, licensing arrangements and future revenue monetizations. We do not have any committed external source of funds, other than our collaboration with CStone and the license agreements with Clementia and IDRx (which recently entered into an agreement to be acquired by GSK plc), the Financing Agreement with Sixth Street Partners, and the Rigel Agreement, which are limited in scope and duration and subject to the achievement of milestones or royalties on sales of licensed products, if any. In addition, we may sell additional shares of our common stock pursuant to our at-the-market (ATM) Facility with Cowen.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96"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Further, due to the uncertainty of pharmaceutical development, the high historical failure rates generally associated with drug development and uncertainty of successful commercialization, we may not receive any regulatory, development, sales-based milestones or royalty payments under any such collaborations, strategic alliances, licensing arrangements or future revenue monetizations.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the terms of the Financing Agreement with Sixth Street Partners could adversely affect our operations and limit our ability to plan for or respond to changes in our business. If we are unable to comply with restrictions in the Financing Agreement, the repayment of our existing indebtedness could be accelerated.</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Under the Financing Agreement with Sixth Street Partners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 (i) a tranche A delayed draw loan in an aggregate principal amount of $100.0 million and (ii) a tranche B delayed draw term loan in an aggregate principal amount of up to $150.0 million. In August 2023, we received tranche A of the senior secured delayed draw term loan facility in the amount of $100.0 million in gross proceeds. In May 2024, we received tranche B of the senior secured delayed draw term loan facility in the amount of $150.0 million in gross proceeds. We may also at any time request an incremental term loan in an amount not to exceed $260.0 million on terms to be agreed and subject to the consent of the lenders providing such incremental term loan. As borrowings under the facility bear interest at a variable rate, we are exposed to market risk for changes in interest rates.</w:t>
      </w:r>
    </w:p>
    <w:p>
      <w:pPr>
        <w:spacing w:after="0" w:line="176"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spacing w:after="0" w:line="158"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Financing Agreement could restrict our ability to grow our business or enter into transactions that we believe would be beneficial to our business.</w:t>
      </w:r>
    </w:p>
    <w:p>
      <w:pPr>
        <w:spacing w:after="0" w:line="18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ind w:left="60" w:right="7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licenses and other agreements with third parties for the development and commercialization of several of our drugs and drug candidates. If such collaborations or arrangements are not successful, we may not be able to capitalize on the market potential of these drugs and drug candidates.</w:t>
      </w:r>
    </w:p>
    <w:p>
      <w:pPr>
        <w:spacing w:after="0" w:line="182"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We have entered into collaborations, licenses and other agreements with CStone, VantAI, Clementia, and Rigel for the development and commercialization of several of our drugs and drug candidates, and may enter into additional collaborations, licenses and other arrangements with other third parties in the future. The success of these arrangements will depend heavily on the efforts and activities of our collaborators, licensing partners and other contracting parties. Collaborators and other contracting parties generally have significant discretion in determining the efforts and resources that they will apply to these arrangements.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or other arrangement regarding clinical development and commercialization matters can lead to delays in the development process or commercializing the applicable drug or drug candidate and, in some cases, termination of the collaboration or other arrangement or result in litigation or arbitration, which would be time-consuming and expensive. Licensors generally have sole discretion in determining the efforts and resources that they will apply to the licensed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Collaborations and licenses with pharmaceutical or biotechnology companies and other third parties often are terminated or allowed to expire by the other party. Any termination or expiration of our collaboration or license agreements with CStone, VantAI, Clementia or IDRx (which has recently entered into an agreement to be acquired by GSK plc), or of any future collaboration or license agreement, could adversely affect us financially or harm our business reputation. For example, in February 2023, Roche provided written notice of its election to terminate for convenience our collaboration agreement for the development and commercialization of GAVRETO worldwide, excluding the CStone Territory. The termination became effective on February 22, 2024.</w:t>
      </w:r>
    </w:p>
    <w:p>
      <w:pPr>
        <w:spacing w:after="0" w:line="171" w:lineRule="exact"/>
        <w:rPr>
          <w:sz w:val="20"/>
          <w:szCs w:val="20"/>
          <w:color w:val="auto"/>
        </w:rPr>
      </w:pPr>
    </w:p>
    <w:p>
      <w:pPr>
        <w:ind w:left="60" w:right="5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5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9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9" w:lineRule="exact"/>
        <w:rPr>
          <w:sz w:val="20"/>
          <w:szCs w:val="20"/>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Some of these factors may be beyond our control.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74" w:lineRule="exact"/>
        <w:rPr>
          <w:sz w:val="20"/>
          <w:szCs w:val="20"/>
          <w:color w:val="auto"/>
        </w:rPr>
      </w:pPr>
    </w:p>
    <w:p>
      <w:pPr>
        <w:ind w:left="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8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7"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The facilities used by our contract manufacturing organizations, or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w:t>
      </w:r>
    </w:p>
    <w:p>
      <w:pPr>
        <w:sectPr>
          <w:pgSz w:w="11900" w:h="16838" w:orient="portrait"/>
          <w:cols w:equalWidth="0" w:num="1">
            <w:col w:w="9019"/>
          </w:cols>
          <w:pgMar w:left="1440" w:top="513" w:right="1440" w:bottom="1440" w:gutter="0" w:footer="0" w:header="0"/>
        </w:sect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 our drug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18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83" w:lineRule="exact"/>
        <w:rPr>
          <w:sz w:val="20"/>
          <w:szCs w:val="20"/>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25" w:lineRule="exact"/>
        <w:rPr>
          <w:rFonts w:ascii="Times New Roman" w:cs="Times New Roman" w:eastAsia="Times New Roman" w:hAnsi="Times New Roman"/>
          <w:sz w:val="18"/>
          <w:szCs w:val="18"/>
          <w:color w:val="auto"/>
        </w:rPr>
      </w:pPr>
    </w:p>
    <w:p>
      <w:pPr>
        <w:ind w:left="1340" w:right="159" w:hanging="318"/>
        <w:spacing w:after="0" w:line="282"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61" w:lineRule="exact"/>
        <w:rPr>
          <w:rFonts w:ascii="Times New Roman" w:cs="Times New Roman" w:eastAsia="Times New Roman" w:hAnsi="Times New Roman"/>
          <w:sz w:val="18"/>
          <w:szCs w:val="18"/>
          <w:color w:val="auto"/>
        </w:rPr>
      </w:pPr>
    </w:p>
    <w:p>
      <w:pPr>
        <w:ind w:left="1340" w:right="499" w:hanging="318"/>
        <w:spacing w:after="0" w:line="282"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48" w:lineRule="exact"/>
        <w:rPr>
          <w:sz w:val="20"/>
          <w:szCs w:val="20"/>
          <w:color w:val="auto"/>
        </w:rPr>
      </w:pPr>
    </w:p>
    <w:p>
      <w:pPr>
        <w:ind w:left="60" w:right="179" w:firstLine="648"/>
        <w:spacing w:after="0" w:line="269" w:lineRule="auto"/>
        <w:rPr>
          <w:sz w:val="20"/>
          <w:szCs w:val="20"/>
          <w:color w:val="auto"/>
        </w:rPr>
      </w:pPr>
      <w:r>
        <w:rPr>
          <w:rFonts w:ascii="Times New Roman" w:cs="Times New Roman" w:eastAsia="Times New Roman" w:hAnsi="Times New Roman"/>
          <w:sz w:val="17"/>
          <w:szCs w:val="17"/>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COVID-19 pandemic, there was public concern over the availability and accessibility of critical medical products, and the CARES Act enhanced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If we experience shortages in the supply of our marketed products, our results could be materially impacted.</w:t>
      </w:r>
    </w:p>
    <w:p>
      <w:pPr>
        <w:spacing w:after="0" w:line="17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174"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substance and drug product used in avapritinib are our sole source of supply, and the loss of any of these suppliers could significantly harm our business.</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API, drug substance and drug product used in our drug and drug candidates are supplied to us primarily from single-source suppliers. We do not currently own or operate manufacturing facilities for the production of our drugs or any drug candidates that may be approved in the future. As a result, we primarily rely on single-source third-party suppliers to manufacture and supply our drugs, which may not be able to produce sufficient inventory to meet commercial demand in a timely manner, or at all.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or approved drugs and our financial condition. Therefore, there can be no assurances that we will be able to obtain sufficient quantities of our drugs or any other drug candidates that may be approved in the future, which could have a material adverse effect on our business as a whole.</w:t>
      </w:r>
    </w:p>
    <w:p>
      <w:pPr>
        <w:spacing w:after="0" w:line="194"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For all of our drug candidates, we may from time to time explore opportunities to identify and qualify additional manufacturers to provide such API, drug substance and drug product prior to submission of an NDA to the FDA and/or a marketing authorization application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2025.</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88"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8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have relied on certain third parties located in China to manufacture and supply certain raw materials used in our drugs and our drug candidates, and we expect to continue to use such third-party manufacturers for such purposes. In addition, certain of our drug candidates are being evaluated at clinical trial sites in China under our collaboration with CStone and through CROs located in China. A natural disaster, epidemic or pandemic disease outbreaks, trade war, political unrest or other events in China could disrupt the business or operations of CROs, collaborators, manufacturers or other third parties with whom we conduct business now or in the future. Any disruption in China or future legislative proposals in the U.S., such as the previously considered BIOSECURE bill, that, if enacted, could significantly impact our ability to work with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discovery platform technology or obtain and maintain patent protection for our technology, drugs and drug candidates or if the scope of the patent protection obtained is not sufficiently broad, our competitors could develop and commercialize technology, drugs and drug candidates similar or identical to ours, and our ability to successfully commercialize our technology, drugs and drug candidates may be impaired.</w:t>
      </w:r>
    </w:p>
    <w:p>
      <w:pPr>
        <w:spacing w:after="0" w:line="184"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drugs and drug candidates and our core technologies, including our novel target discovery engine, our proprietary compound library, targeted protein degrader platform and other know-how. We seek to protect our proprietary and intellectual property position by, among other methods, filing patent applications in the U.S. and abroad related to our proprietary compounds, as well as the uses of these compounds in the treatment of diseases, formulations, solid forms, and manufacturing processes and other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65"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35"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70"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processes,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6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w:t>
      </w:r>
    </w:p>
    <w:p>
      <w:pPr>
        <w:sectPr>
          <w:pgSz w:w="11900" w:h="16838" w:orient="portrait"/>
          <w:cols w:equalWidth="0" w:num="1">
            <w:col w:w="9019"/>
          </w:cols>
          <w:pgMar w:left="1440" w:top="513" w:right="1440"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protection. Moreover, there may be circumstances, when we do not have the right to control the preparation, filing and prosecution of patent applications, or to maintain the patents, covering technology, drug or drug candidates that we license from third parties. Therefore, these patents and applications may not be prosecuted and enforced in a manner consistent with the best interests of our business.</w:t>
      </w:r>
    </w:p>
    <w:p>
      <w:pPr>
        <w:spacing w:after="0" w:line="153"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drugs or drug candidates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and if our patents are successfully challenged, we may face generic competition prior to the expiration dates of our U.S. Orange Book listed patents.</w:t>
      </w:r>
    </w:p>
    <w:p>
      <w:pPr>
        <w:spacing w:after="0" w:line="16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65"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188" w:lineRule="exact"/>
        <w:rPr>
          <w:sz w:val="20"/>
          <w:szCs w:val="20"/>
          <w:color w:val="auto"/>
        </w:rPr>
      </w:pPr>
    </w:p>
    <w:p>
      <w:pPr>
        <w:ind w:left="60" w:right="6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36"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89"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7"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71"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counter infringement or unauthorized use, including against abbreviated new drug application, or ANDA, filers, we may be required to resort to litigation, that includes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9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90" w:lineRule="exact"/>
        <w:rPr>
          <w:sz w:val="20"/>
          <w:szCs w:val="20"/>
          <w:color w:val="auto"/>
        </w:rPr>
      </w:pPr>
    </w:p>
    <w:p>
      <w:pPr>
        <w:ind w:left="60" w:right="259" w:firstLine="648"/>
        <w:spacing w:after="0" w:line="271"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0"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in applicable cases maintain, patent term extension or non-patent exclusivity in the U.S. under the Hatch-Waxman Act and in foreign countries under similar legislation, thereby potentially extending the marketing exclusivity term of our products or product candidates, our business may be materially harmed.</w:t>
      </w:r>
    </w:p>
    <w:p>
      <w:pPr>
        <w:spacing w:after="0" w:line="67" w:lineRule="exact"/>
        <w:rPr>
          <w:sz w:val="20"/>
          <w:szCs w:val="20"/>
          <w:color w:val="auto"/>
        </w:rPr>
      </w:pPr>
    </w:p>
    <w:p>
      <w:pPr>
        <w:ind w:left="60" w:right="79" w:firstLine="500"/>
        <w:spacing w:after="0" w:line="250"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products or product candidates, one of the U.S. patents covering each of such products or product candidates or the use thereof may be 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94" w:lineRule="exact"/>
        <w:rPr>
          <w:sz w:val="20"/>
          <w:szCs w:val="20"/>
          <w:color w:val="auto"/>
        </w:rPr>
      </w:pPr>
    </w:p>
    <w:p>
      <w:pPr>
        <w:ind w:left="60" w:right="79" w:firstLine="500"/>
        <w:spacing w:after="0" w:line="261" w:lineRule="auto"/>
        <w:rPr>
          <w:sz w:val="20"/>
          <w:szCs w:val="20"/>
          <w:color w:val="auto"/>
        </w:rPr>
      </w:pPr>
      <w:r>
        <w:rPr>
          <w:rFonts w:ascii="Times New Roman" w:cs="Times New Roman" w:eastAsia="Times New Roman" w:hAnsi="Times New Roman"/>
          <w:sz w:val="18"/>
          <w:szCs w:val="18"/>
          <w:color w:val="auto"/>
        </w:rPr>
        <w:t>If we are unable to obtain patent term extension,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166" w:lineRule="exact"/>
        <w:rPr>
          <w:sz w:val="20"/>
          <w:szCs w:val="20"/>
          <w:color w:val="auto"/>
        </w:rPr>
      </w:pPr>
    </w:p>
    <w:p>
      <w:pPr>
        <w:ind w:left="60" w:right="79" w:firstLine="500"/>
        <w:spacing w:after="0" w:line="256" w:lineRule="auto"/>
        <w:rPr>
          <w:sz w:val="20"/>
          <w:szCs w:val="20"/>
          <w:color w:val="auto"/>
        </w:rPr>
      </w:pPr>
      <w:r>
        <w:rPr>
          <w:rFonts w:ascii="Times New Roman" w:cs="Times New Roman" w:eastAsia="Times New Roman" w:hAnsi="Times New Roman"/>
          <w:sz w:val="18"/>
          <w:szCs w:val="18"/>
          <w:color w:val="auto"/>
        </w:rPr>
        <w:t>It is possible that we will not obtain patent term extension under the Hatch-Waxman Act for a U.S. patent covering a product candidate even where that patent is eligible for patent term extension, or if we obtain such an extension, it may be for a shorter period than we had sought. Further, for certain of our licensed patents, we do not have the right to control prosecution, including filing with the USPTO, an application for patent term extension under the Hatch-Waxman Act. Thus, if one of our licensed patents is eligible for patent term extension under the Hatch-Waxman Act, we may not be able to control whether an application to obtain a patent term extension is filed, or an extension obtained, from the USPTO.</w:t>
      </w:r>
    </w:p>
    <w:p>
      <w:pPr>
        <w:spacing w:after="0" w:line="187" w:lineRule="exact"/>
        <w:rPr>
          <w:sz w:val="20"/>
          <w:szCs w:val="20"/>
          <w:color w:val="auto"/>
        </w:rPr>
      </w:pPr>
    </w:p>
    <w:p>
      <w:pPr>
        <w:ind w:left="60" w:right="99" w:firstLine="500"/>
        <w:spacing w:after="0" w:line="253"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a patent covering one of our approved products is not listed in the Orange Book, a manufacturer of generic drugs would not have to provide advance notice to us of any ANDA filed with the FDA to obtain permission to sell a generic version of such product.</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500"/>
        <w:spacing w:after="0" w:line="256" w:lineRule="auto"/>
        <w:rPr>
          <w:sz w:val="20"/>
          <w:szCs w:val="20"/>
          <w:color w:val="auto"/>
        </w:rPr>
      </w:pPr>
      <w:r>
        <w:rPr>
          <w:rFonts w:ascii="Times New Roman" w:cs="Times New Roman" w:eastAsia="Times New Roman" w:hAnsi="Times New Roman"/>
          <w:sz w:val="18"/>
          <w:szCs w:val="18"/>
          <w:color w:val="auto"/>
        </w:rPr>
        <w:t>Depending upon the timing and specifics of marketing approval of our products, the FDA and other applicable regulatory authorities may grant certain non-patent exclusivities. However, we may be unable to secure or maintain additional non-patent exclusivity for our products or maintain any non-patent exclusivity. Similarly, although we intend to seek new chemical entity exclusivity, and potentially other exclusivities, for product candidates we are developing, we may not be successful in doing so. Moreover, these non-patent exclusivities, if granted, are limited and other companies may be able to submit marketing applications and receive approval earlier than we anticipate.</w:t>
      </w:r>
    </w:p>
    <w:p>
      <w:pPr>
        <w:spacing w:after="0" w:line="170"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216"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95"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79" w:lineRule="exact"/>
        <w:rPr>
          <w:sz w:val="20"/>
          <w:szCs w:val="20"/>
          <w:color w:val="auto"/>
        </w:rPr>
      </w:pPr>
    </w:p>
    <w:p>
      <w:pPr>
        <w:ind w:left="60" w:right="2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171"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(UPC) for the European Union, that was ratified on June 1,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w:t>
      </w:r>
    </w:p>
    <w:p>
      <w:pPr>
        <w:sectPr>
          <w:pgSz w:w="11900" w:h="16838" w:orient="portrait"/>
          <w:cols w:equalWidth="0" w:num="1">
            <w:col w:w="9019"/>
          </w:cols>
          <w:pgMar w:left="1440" w:top="513" w:right="1440" w:bottom="1440" w:gutter="0" w:footer="0" w:header="0"/>
        </w:sect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179"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45" w:lineRule="exact"/>
        <w:rPr>
          <w:sz w:val="20"/>
          <w:szCs w:val="20"/>
          <w:color w:val="auto"/>
        </w:rPr>
      </w:pPr>
    </w:p>
    <w:p>
      <w:pPr>
        <w:ind w:left="60" w:right="179" w:firstLine="648"/>
        <w:spacing w:after="0" w:line="251"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recently created UPC for the European Union, that was ratified on June 1,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19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59"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the intellectual property we maintain, particularly patents. Obtaining and enforcing patents in the biotechnology and pharmaceutical industry involve both technological and legal complexity and is therefore costly, time-consuming and inherently uncertain. Recent patent reform legislation in the U.S. and other countries, including the Leahy-Smith America Invents Act, or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94" w:lineRule="exact"/>
        <w:rPr>
          <w:sz w:val="20"/>
          <w:szCs w:val="20"/>
          <w:color w:val="auto"/>
        </w:rPr>
      </w:pPr>
    </w:p>
    <w:p>
      <w:pPr>
        <w:ind w:left="60" w:right="199" w:firstLine="648"/>
        <w:spacing w:after="0" w:line="270" w:lineRule="auto"/>
        <w:rPr>
          <w:sz w:val="20"/>
          <w:szCs w:val="20"/>
          <w:color w:val="auto"/>
        </w:rPr>
      </w:pPr>
      <w:r>
        <w:rPr>
          <w:rFonts w:ascii="Times New Roman" w:cs="Times New Roman" w:eastAsia="Times New Roman" w:hAnsi="Times New Roman"/>
          <w:sz w:val="17"/>
          <w:szCs w:val="17"/>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1"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45"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and targeted degrader platform, we consider trade secrets and know-how to be our primary intellectual property. We seek to protect our proprietary technology and processes, in part, by entering into confidentiality agreements with our collaborators, scientific advisors, employees and consultants, and</w:t>
      </w:r>
    </w:p>
    <w:p>
      <w:pPr>
        <w:sectPr>
          <w:pgSz w:w="11900" w:h="16838" w:orient="portrait"/>
          <w:cols w:equalWidth="0" w:num="1">
            <w:col w:w="9019"/>
          </w:cols>
          <w:pgMar w:left="1440" w:top="513" w:right="1440"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19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5" w:lineRule="exact"/>
        <w:rPr>
          <w:sz w:val="20"/>
          <w:szCs w:val="20"/>
          <w:color w:val="auto"/>
        </w:rPr>
      </w:pPr>
    </w:p>
    <w:p>
      <w:pPr>
        <w:ind w:left="60" w:right="139" w:firstLine="648"/>
        <w:spacing w:after="0" w:line="249"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including Employee Matters, Managing Growth and Others</w:t>
      </w:r>
    </w:p>
    <w:p>
      <w:pPr>
        <w:spacing w:after="0" w:line="225" w:lineRule="exact"/>
        <w:rPr>
          <w:sz w:val="20"/>
          <w:szCs w:val="20"/>
          <w:color w:val="auto"/>
        </w:rPr>
      </w:pPr>
    </w:p>
    <w:p>
      <w:pPr>
        <w:ind w:left="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5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or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3"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9"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As of January 31, 2025, we had 649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231" w:lineRule="exact"/>
        <w:rPr>
          <w:sz w:val="20"/>
          <w:szCs w:val="20"/>
          <w:color w:val="auto"/>
        </w:rPr>
      </w:pPr>
    </w:p>
    <w:p>
      <w:pPr>
        <w:ind w:left="60" w:right="2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1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For example, the COVID-19 pandemic caused extreme volatility and disruptions in the capital and credit markets. In addition, geopolitical developments, such as the Israeli-Palestinian conflict, Russian invasion of Ukraine or deterioration in the bilateral relationship between the U.S. and China could contribute to disruption, instability and volatility in the global markets, as well as increased inflation, increased U.S. trade tariffs and trade disputes with other countries, which in turn could adversely impact our operations and those of third parties upon which we rely. Geopolitical conflicts could also have an adverse impact on third parties located in the involved jurisdictions, which could in turn have an adverse impact on our business. For example, certain of our distributors are located in Israel, and may be adversely impacted by the Israeli-Palestinian conflict. Related sanctions, export controls or other actions that may be initiated by nations including the U.S., the EU, Israel or Russia (e.g., potential cyberattacks, disruption of energy flows) could adversely affect our business, our supply chain, CROs, CMOs, clinical trial sites, collaborative partners, distributors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Political developments can also lead to uncertainty around regulations and rules that may materially affect our business. For example, as the UK regulatory system is now independent from the EU, a long-term effect of Brexit could be that the UK significantly alters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 and elsewhere. Additionally, the impacts of the change in the U.S. presidential administration also remains unknown.</w:t>
      </w:r>
    </w:p>
    <w:p>
      <w:pPr>
        <w:spacing w:after="0" w:line="183"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Rising inflation rates could negatively impact our revenues and profitability if increases in the prices of our products or a decrease in 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rates fluctuations could have an adverse impact on our operating results.</w:t>
      </w:r>
    </w:p>
    <w:p>
      <w:pPr>
        <w:spacing w:after="0" w:line="21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contract with vendors that are located in Asia and Europe, which are denominated in foreign currencies. 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8"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collaborators, service providers, contractors or consultants, may fail or suffer cybersecurity incidents or data breaches, which could result in a material disruption of our drugs’ and drug candidates’ development programs and have a material adverse effect on our reputation, business, financial condition or results of operations.</w:t>
      </w:r>
    </w:p>
    <w:p>
      <w:pPr>
        <w:spacing w:after="0" w:line="180" w:lineRule="exact"/>
        <w:rPr>
          <w:sz w:val="20"/>
          <w:szCs w:val="20"/>
          <w:color w:val="auto"/>
        </w:rPr>
      </w:pPr>
    </w:p>
    <w:p>
      <w:pPr>
        <w:ind w:left="60" w:right="359" w:firstLine="648"/>
        <w:spacing w:after="0" w:line="280" w:lineRule="auto"/>
        <w:rPr>
          <w:sz w:val="20"/>
          <w:szCs w:val="20"/>
          <w:color w:val="auto"/>
        </w:rPr>
      </w:pPr>
      <w:r>
        <w:rPr>
          <w:rFonts w:ascii="Times New Roman" w:cs="Times New Roman" w:eastAsia="Times New Roman" w:hAnsi="Times New Roman"/>
          <w:sz w:val="17"/>
          <w:szCs w:val="17"/>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8"/>
          <w:szCs w:val="18"/>
          <w:color w:val="auto"/>
        </w:rPr>
        <w:t>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(including phishing attacks) and other means to affect service reliability and threaten the confidentiality, integrity and availability of information. Cyber-attacks also could include wrongful conduct by employees or vendors, phishing attempts or e-mail fraud to cause payments or information to be transmitted to an unintended recipient and could include the use of artificial intelligence (AI), and machine learning to launch more automated, targeted and coordinated attacks on targets. The prevalent use of mobile devices also increases the risk of data security incidents. Although our business strategy, results of operations, and financial condition have not, to date, been materially affected by risks from cybersecurity threats, we and third parties upon whom we rely, like other companies in our industry, have, experienced threats and security incidents, including phishing attacks. Such events could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cybersecurity incident or data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cybersecurity incidents, data breaches, cyberattacks and other related security events.</w:t>
      </w:r>
    </w:p>
    <w:p>
      <w:pPr>
        <w:spacing w:after="0" w:line="19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cybersecurity incidents that result in the unauthorized access, release or transfer of sensitive information, including physician data, patient data, or any personally identifiable information, may require that we notify affected stakeholders and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Further, our contracts may not contain limitations of liability, and even where they do, there can be no assurance that limitations of liability in our contracts are sufficient to protect us from liabilities, damages, or claims related to our privacy and data security obligations. Although we maintain cyber liability insurance, this insurance may not provide adequate coverage against potential liabilities related to any experienced cybersecurity incident or breach.</w:t>
      </w:r>
    </w:p>
    <w:p>
      <w:pPr>
        <w:spacing w:after="0" w:line="194"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Cybersecurity incidents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use of new and evolving technologies, such as artificial intelligence, in our business may result in spending material resources and presents risks and uncertainties that can impact our business including by posing security and other risks to our confidential and/or proprietary information, including personal information, and as a result we may be exposed to reputational harm and liability.</w:t>
      </w:r>
    </w:p>
    <w:p>
      <w:pPr>
        <w:spacing w:after="0" w:line="18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increasing use of AI, and machine learning technology in the biopharmaceutical industry presents new risks and challenges. If we enable or offer solutions that draw controversy due to perceived or actual negative societal impact, we may experience brand or reputational harm, competitive harm or legal liability. The use of AI based software may lead to intellectual property risks, including intellectual property infringement and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w:t>
      </w:r>
    </w:p>
    <w:p>
      <w:pPr>
        <w:spacing w:after="0" w:line="187" w:lineRule="exact"/>
        <w:rPr>
          <w:sz w:val="20"/>
          <w:szCs w:val="20"/>
          <w:color w:val="auto"/>
        </w:rPr>
      </w:pPr>
    </w:p>
    <w:p>
      <w:pPr>
        <w:jc w:val="both"/>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We expect to see increasing government and supranational regulation related to artificial intelligence use and ethics, which may also significantly increase the burden</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and cost of research, development and compliance in this area. For example, in Europe, the EU’s Artificial Intelligence Act (“AI Act”) — which entered into force on August 1, 2024 and, with some exceptions, will begin to apply as of August 2, 2026 — imposes significant obligations on providers and deployers of high-risk artificial intelligence systems, and encourages providers and deployers of artificial intelligence systems to account for EU ethical principles in their development and use of these systems. Furthermore, in the U.S., a number of states have proposed and passed laws regulating various uses of AI, and federal regulators have issued guidance affecting the use of AI in regulated sectors. If we develop or use AI systems that are governed by these AI laws, it may necessitate ensuring higher standards of data quality, transparency, and human oversight, as well as adhering to specific and potentially burdensome and costly ethical, accountability, and administrative requirements.</w:t>
      </w:r>
    </w:p>
    <w:p>
      <w:pPr>
        <w:spacing w:after="0" w:line="191"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The rapid evolution of artificial intelligence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71" w:lineRule="exact"/>
        <w:rPr>
          <w:sz w:val="20"/>
          <w:szCs w:val="20"/>
          <w:color w:val="auto"/>
        </w:rPr>
      </w:pPr>
    </w:p>
    <w:p>
      <w:pPr>
        <w:jc w:val="both"/>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2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victims of cyber-security incident or are breached, and unauthorized access is obtained to our data or our information technology systems, we may incur significant legal and financial exposure and liabilities.</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do not have control over the operations of the facilities of our cloud service providers and our third-party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203"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202"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Privacy and data security remain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Additional regulations and guidance requiring data localization and restrictions on data transfer increase complexity for global corporations. Globally, virtually every jurisdiction in which we operate has established its own data security and privacy frameworks with which we must comply. Notably, for example, in Europe, the European General Data Protection Regulation 2016/679, which is commonly referred to as GDPR applies to any company established in the European Economic Area, or EEA, as well as any company outside the EEA that collects or otherwise processes personal data in connection with the offering goods or services to individuals in the EEA or the monitoring of their behavior. The GDPR imposes data protection obligations on processors and controllers of personal data, including, for example, disclosures about how personal information is to be used, stricter requirements for processing special category data (such as health data), having a valid legal basis or condition to process personal data, maintaining records</w:t>
      </w:r>
    </w:p>
    <w:p>
      <w:pPr>
        <w:sectPr>
          <w:pgSz w:w="11900" w:h="16838" w:orient="portrait"/>
          <w:cols w:equalWidth="0" w:num="1">
            <w:col w:w="9019"/>
          </w:cols>
          <w:pgMar w:left="1440" w:top="513" w:right="1440" w:bottom="1440" w:gutter="0" w:footer="0" w:header="0"/>
        </w:sect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of our processing activities and documenting data protection impact assessments where there is high risk processing, limitations on retention of information, mandatory data breach notification requirements, ensuring appropriate technical and organizational measures are put in place to safeguard personal data and onerous obligations on services providers. Penalties under the GDPR include fines of up to €20 million or 4% of total worldwide annual turnover, whichever is higher. EEA Member States have adopted national laws to implement the GDPR which may partially deviate from the GDPR. Further, competent authorities in the EEA Member States may interpret GDPR obligations slightly differently from country to country. For these reasons, we do not expect to operate in a uniform legal landscape in the EEA.</w:t>
      </w:r>
    </w:p>
    <w:p>
      <w:pPr>
        <w:spacing w:after="0" w:line="216"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Further to the UK’s exit from the European Union on January 31, 2020, the UK incorporated the GDPR (as it existed on December 31, 2020 but subject to certain UK specific amendments)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issued a decision recognizing the UK as providing adequate protection under the EU GDPR and, therefore, transfers of personal data originating in the EEA to the UK remain unrestricted. Likewise The UK government has confirmed that personal data transfers from the UK to the EEA remain free flowing. The UK Government has introduced a Data Protection and Digital Information Bill which failed in the UK legislative process. A new Data (Use and Access) Bill (UK Bill) has been introduced into parliament. If passed, the final version of the UK Bill may have the effect of further altering the similarities between the UK and EEA data protection regime and threaten the UK Adequacy Decision from the European Commission.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235" w:lineRule="exact"/>
        <w:rPr>
          <w:sz w:val="20"/>
          <w:szCs w:val="20"/>
          <w:color w:val="auto"/>
        </w:rPr>
      </w:pPr>
    </w:p>
    <w:p>
      <w:pPr>
        <w:ind w:left="60" w:right="319" w:firstLine="648"/>
        <w:spacing w:after="0" w:line="255" w:lineRule="auto"/>
        <w:rPr>
          <w:sz w:val="20"/>
          <w:szCs w:val="20"/>
          <w:color w:val="auto"/>
        </w:rPr>
      </w:pPr>
      <w:r>
        <w:rPr>
          <w:rFonts w:ascii="Times New Roman" w:cs="Times New Roman" w:eastAsia="Times New Roman" w:hAnsi="Times New Roman"/>
          <w:sz w:val="18"/>
          <w:szCs w:val="18"/>
          <w:color w:val="auto"/>
        </w:rPr>
        <w:t>Given the breadth and depth of changes in data protection obligations,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UK or EEA.</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Further, European data protection laws also regulates the transfer of personal data from the EEA, the UK and Switzerland to third countries that are not considered to provide adequate protections to personal data. On June 4, 2021, the European Commission, or the EC, issued Standard Contractual Clauses, or the SCCs, for data transfers from controllers or processors in the EEA (or otherwise subject to the EU GDPR) to controllers or processors established outside the EEA (and not subject to the EU GDPR). The UK is not subject to the EC’s SCCs but has published its own standard clauses, the International Data Transfer Agreement, which enables transfers from the UK. We will be required to implement these new safeguards when conducting restricted data transfers under the EU GDPR and UK GDPR and doing so will require significant effort and cost. Where relying on the SCCs or UK IDTA for data transfers, we may also be required to carry out transfer impact assessments to assess whether the recipient is subject to local laws which allow public authority access to personal data.</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July 10, 2023, the EU adopted an adequacy decision for a new “Data Privacy Framework,” which replaces the Privacy Shield, which the European Court of Justice invalidated in 2020 for personal data transferred from the EU to the U.S. On July 17, 2023 the U.S. Department of Commerce released registration means and requirements for U.S. companies to register. The Framework provides additional certification mechanisms to provide for UK and Swiss data transfers. We have registered and have active membership under the Framework, allowing for transfer of HR and non-HR data from Switzerland, UK and EEA member states. We will be required to maintain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216"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While we have taken steps to mitigate the impact on us with respect to transfers of data, such as registering with the U.S. governing bodies managing the Data Privacy Framework, and implementing the SCCs where necessary in new contracts with our service providers, customers, subsidiaries, the validity of these transfer mechanisms remains uncertain. The previous data transfer mechanisms providing adequacy to enable cross-border transfers between the US and the EEA have been invalidated, and the Data Privacy Framework has already been challenged in several</w:t>
      </w:r>
    </w:p>
    <w:p>
      <w:pPr>
        <w:sectPr>
          <w:pgSz w:w="11900" w:h="16838" w:orient="portrait"/>
          <w:cols w:equalWidth="0" w:num="1">
            <w:col w:w="9019"/>
          </w:cols>
          <w:pgMar w:left="1440" w:top="513" w:right="1440"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jurisdictions. Complying with this guidance as it exists today and evolves will be expensive and time consuming and may ultimately prevent us from transferring personal data outside Europe which would cause significant business disruption for ourselves and our customers and potentially require the changes in the way our products are configured, hosted and supported.</w:t>
      </w:r>
    </w:p>
    <w:p>
      <w:pPr>
        <w:spacing w:after="0" w:line="22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addition, we are subject to Swiss data protection laws, including the Federal Act on Data Protection, or FADP. While the FADP provides broad protections to personal data, the Swiss federal Parliament enacted a revised version of the FADP which came into effect in September 2023. The new version of the FADP aligns Swiss data protection law with the GDPR. We have updated our agreements to reflect the new requirements per the FADP, but further modifications or changes may require revisiting these agreements.</w:t>
      </w:r>
    </w:p>
    <w:p>
      <w:pPr>
        <w:spacing w:after="0" w:line="22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It is unclear whether and/or when the Draft Regulation will enter into force.</w:t>
      </w:r>
    </w:p>
    <w:p>
      <w:pPr>
        <w:spacing w:after="0" w:line="227" w:lineRule="exact"/>
        <w:rPr>
          <w:sz w:val="20"/>
          <w:szCs w:val="20"/>
          <w:color w:val="auto"/>
        </w:rPr>
      </w:pPr>
    </w:p>
    <w:p>
      <w:pPr>
        <w:ind w:left="60" w:right="159" w:firstLine="693"/>
        <w:spacing w:after="0" w:line="280" w:lineRule="auto"/>
        <w:rPr>
          <w:sz w:val="20"/>
          <w:szCs w:val="20"/>
          <w:color w:val="auto"/>
        </w:rPr>
      </w:pPr>
      <w:r>
        <w:rPr>
          <w:rFonts w:ascii="Times New Roman" w:cs="Times New Roman" w:eastAsia="Times New Roman" w:hAnsi="Times New Roman"/>
          <w:sz w:val="17"/>
          <w:szCs w:val="17"/>
          <w:color w:val="auto"/>
        </w:rPr>
        <w:t>Further, the EU Artificial Intelligence Act or AI Act came into force on August 1, 2024 with provisions effective between 2025 and 2026. The AI Act prescribes requirements on companies that publish, deploy or use AI systems to perform assessments and to ensure governance of process to ensure the transparency, fairness and accuracy of AI systems.</w:t>
      </w:r>
    </w:p>
    <w:p>
      <w:pPr>
        <w:spacing w:after="0" w:line="20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Preparing for and complying with the evolving application of the GDPR, national laws in Switzerland and the UK, ePrivacy Regulation (if and when it becomes effective) and the EU AI Act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w:t>
      </w:r>
    </w:p>
    <w:p>
      <w:pPr>
        <w:spacing w:after="0" w:line="228"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In addition to European data protection requirements, we are subject to US federal and state laws relating to privacy and data security. At the federal level,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w:t>
      </w:r>
    </w:p>
    <w:p>
      <w:pPr>
        <w:spacing w:after="0" w:line="205"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personal information. For example, the California Consumer Privacy Act (CCPA), which took effect on January 1, 2020 and imposed sweeping privacy and security obligations on many companies doing business in California that meet one of three thresholds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was amended by the California Privacy Rights Act (CPRA) which became effective on January 1, 2023. The CPRA imposed additional obligations on companies covered by the legislation and significantly modified the CCPA, including by expanding consumers’ rights with respect to certain sensitive personal information. The CPRA also created a new state agency that is vested with authority to implement and enforce the CCPA. The effects of the CCPA are significant and requires us to incur substantial costs and expenses in an effort to comply and increase our potential exposure to regulatory enforcement and/or litigation.</w:t>
      </w:r>
    </w:p>
    <w:p>
      <w:pPr>
        <w:spacing w:after="0" w:line="234"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CCPA, similar laws have been passed in numerous other states, reflecting a trend toward more stringent privacy legislation in the U.S., which may accelerate. Further, other states have proposed new privacy laws which, if enacted, may add additional complexity, variation in requirements, restrictions and potential legal risk, require additional investment of resources in compliance programs, impact strategies and the availability of previously</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22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Furthermore, a smaller number of states have passed or are considering laws that are specifically focused upon health privacy, such as Washington’s My Health My Data Act which took effect on March 31, 2024 and regulates the collection and sharing of health information. This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w:t>
      </w:r>
    </w:p>
    <w:p>
      <w:pPr>
        <w:spacing w:after="0" w:line="216"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These various privacy and security laws may impact our business activities, including our identification of research subjects, relationships with business partners and ultimately the marketing and distribution of our products. The effects of the CCPA and other state and federal privacy laws are significant and may require us to modify our data processing practices and policies and to incur substantial costs and potential liability in an effort to comply with such legislation. State laws are changing rapidly and there is discussion in the U.S. Congress of a new comprehensive federal data privacy law to which we may become subject, if enacted.</w:t>
      </w:r>
    </w:p>
    <w:p>
      <w:pPr>
        <w:spacing w:after="0" w:line="21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widespread use of generative AI and natural language processing tools have significant risk when used in the healthcare space. We are exposed to risks associated with employees utilizing generative AI in methods and ways that are contrary to the framework laid out by the Executive Order or the subsequent complementary laws. We will need to invest resources to ensure appropriate development and use of any generative AI, or like-technology, and to develop internal compliance policies and procedures addressing this use.</w:t>
      </w:r>
    </w:p>
    <w:p>
      <w:pPr>
        <w:spacing w:after="0" w:line="210" w:lineRule="exact"/>
        <w:rPr>
          <w:sz w:val="20"/>
          <w:szCs w:val="20"/>
          <w:color w:val="auto"/>
        </w:rPr>
      </w:pPr>
    </w:p>
    <w:p>
      <w:pPr>
        <w:ind w:left="60" w:right="139" w:firstLine="648"/>
        <w:spacing w:after="0" w:line="262" w:lineRule="auto"/>
        <w:rPr>
          <w:sz w:val="20"/>
          <w:szCs w:val="20"/>
          <w:color w:val="auto"/>
        </w:rPr>
      </w:pPr>
      <w:r>
        <w:rPr>
          <w:rFonts w:ascii="Times New Roman" w:cs="Times New Roman" w:eastAsia="Times New Roman" w:hAnsi="Times New Roman"/>
          <w:sz w:val="18"/>
          <w:szCs w:val="18"/>
          <w:color w:val="auto"/>
        </w:rPr>
        <w:t>The Department of Justice, or DOJ, issued the final rule carrying out Executive Order 14117, Preventing Access to Americans’ Bulk Sensitive Personal Data and United States Government-Related Data by Countries of Concern. This rule imposes restrictions on data considered sensitive to certain countries. As a result, we are exposed to risks associated with required data sharing between ourselves and a vendor in a country of concern, and we will need to invest resources to ensure appropriate safeguards are in place prior to any sharing of sensitive data.</w:t>
      </w:r>
    </w:p>
    <w:p>
      <w:pPr>
        <w:spacing w:after="0" w:line="22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Cybersecurity presents an ongoing risk vector for our company. A cybersecurity incident or data breach impacting our internal systems or network could compromise sensitive information of patients and employees, requiring additional resources to enable us to ensure remediation and proper notification. Additionally, we rely on vendors to provide many services where they collect, use or process sensitive data on our behalf or jointly. An incident compromising the databases of our internal network or our vendor’s information may materially impact our ability to continue development of our products or have appropriate data to complete FDA submissions. If data related to drug development is compromised, the integrity of that data might be impacted in such a way to render it unusable or potentially modified to a degree it will not be reliable. This type of attack may have material financial impacts resulting from a cybersecurity incident or data breach disclosing or making unavailable IP related to our drug development through a ransomware attack or similar method. The continued development and management of our Information Security function may require additional investment of resources to mature our ability to prevent and respond to cybersecurity incidents or data breaches.</w:t>
      </w:r>
    </w:p>
    <w:p>
      <w:pPr>
        <w:spacing w:after="0" w:line="23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83"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0" w:lineRule="auto"/>
        <w:rPr>
          <w:sz w:val="20"/>
          <w:szCs w:val="20"/>
          <w:color w:val="auto"/>
        </w:rPr>
      </w:pPr>
      <w:r>
        <w:rPr>
          <w:rFonts w:ascii="Times New Roman" w:cs="Times New Roman" w:eastAsia="Times New Roman" w:hAnsi="Times New Roman"/>
          <w:sz w:val="18"/>
          <w:szCs w:val="18"/>
          <w:color w:val="auto"/>
        </w:rPr>
        <w:t>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w:t>
      </w:r>
    </w:p>
    <w:p>
      <w:pPr>
        <w:spacing w:after="0" w:line="10" w:lineRule="exact"/>
        <w:rPr>
          <w:sz w:val="20"/>
          <w:szCs w:val="20"/>
          <w:color w:val="auto"/>
        </w:rPr>
      </w:pPr>
    </w:p>
    <w:p>
      <w:pPr>
        <w:ind w:left="60" w:right="219"/>
        <w:spacing w:after="0" w:line="249" w:lineRule="auto"/>
        <w:rPr>
          <w:sz w:val="20"/>
          <w:szCs w:val="20"/>
          <w:color w:val="auto"/>
        </w:rPr>
      </w:pPr>
      <w:r>
        <w:rPr>
          <w:rFonts w:ascii="Times New Roman" w:cs="Times New Roman" w:eastAsia="Times New Roman" w:hAnsi="Times New Roman"/>
          <w:sz w:val="18"/>
          <w:szCs w:val="18"/>
          <w:color w:val="auto"/>
        </w:rPr>
        <w:t>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9" w:lineRule="exact"/>
        <w:rPr>
          <w:sz w:val="20"/>
          <w:szCs w:val="20"/>
          <w:color w:val="auto"/>
        </w:rPr>
      </w:pPr>
    </w:p>
    <w:p>
      <w:pPr>
        <w:jc w:val="both"/>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6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specified research expenditures attributable to domestic research over a period of five years and fifteen years for research activities attributable to foreign research. The inability to deduct research and development expenditures in their entirety will continue to have a material impact on the carryover of taxable losses used to offset future taxable income, and in turn will impact our cash flows in future years.</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Additionally, the Organization for Economic Co-operation and Development, or the OECD, the EC, and individual taxing jurisdictions where we and our affiliates do business have recently focused on issues related to the taxation of multinational corporations. In December 2021, the OECD released its comprehensive plan to create an agreed set of international rules for fighting base erosion and profit shifting, including the implementation of minimum taxes. As a result, tax laws in the U.S. and other countries in which we operate could change and any such changes could materially affect our business, prospects, operating results and financial condition. As of December 31, 2024, the Company does not meet the revenue threshold requirements set forth by the OECD and as such has not included any tax impact.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in the future be volatile and fluctuate substantially.</w:t>
      </w:r>
    </w:p>
    <w:p>
      <w:pPr>
        <w:spacing w:after="0" w:line="229" w:lineRule="exact"/>
        <w:rPr>
          <w:sz w:val="20"/>
          <w:szCs w:val="20"/>
          <w:color w:val="auto"/>
        </w:rPr>
      </w:pPr>
    </w:p>
    <w:p>
      <w:pPr>
        <w:jc w:val="both"/>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February 11, 2025. As a result of this volatility, our stockholders could incur substantial losses.</w:t>
      </w:r>
    </w:p>
    <w:p>
      <w:pPr>
        <w:spacing w:after="0" w:line="180" w:lineRule="exact"/>
        <w:rPr>
          <w:sz w:val="20"/>
          <w:szCs w:val="20"/>
          <w:color w:val="auto"/>
        </w:rPr>
      </w:pPr>
    </w:p>
    <w:p>
      <w:pPr>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The stock market in general has recently experienced relatively large price and volume fluctuations.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75" w:lineRule="exact"/>
        <w:rPr>
          <w:sz w:val="20"/>
          <w:szCs w:val="20"/>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our drugs and drug candidates, if approved;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pacing w:after="0" w:line="225" w:lineRule="exact"/>
        <w:rPr>
          <w:rFonts w:ascii="Times New Roman" w:cs="Times New Roman" w:eastAsia="Times New Roman" w:hAnsi="Times New Roman"/>
          <w:sz w:val="18"/>
          <w:szCs w:val="18"/>
          <w:color w:val="auto"/>
        </w:rPr>
      </w:pPr>
    </w:p>
    <w:p>
      <w:pPr>
        <w:ind w:left="1380" w:right="1179" w:hanging="331"/>
        <w:spacing w:after="0" w:line="282"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trade wars, political unrest or other similar events;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or developments in, any litigation matters;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Future sales or issuances of common stock or other equity related securities may also adversely affect the market price of our common stock. In February 2022, we entered into the Sales Agreement with Cowen through which we may, from time to time, issue and sell shares of our common stock having an aggregate offering price of up to $300.0 million, subject to the terms and conditions of the Sales Agreement. Through December 31, 2024, we sold 544,719 shares of common stock pursuant to the Sales Agreement, at an average price of $91.88 per share, with aggregate net</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proceeds of $48.9 million. If we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spacing w:after="0" w:line="1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In addition, we are, and may from time-to-time become, involved in lawsuits and other disputes that could have a material impact on us. See the section titled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in Note 19,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our consolidated financial statements included in this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regarding currently pending litigation. It is possible that we may not prevail in any such lawsuits and disputes even after expending significant amounts of money and company resources in defending our positions in such lawsuits and disputes. The outcome of such lawsuits and disputes is inherently uncertain and may have a negative impact on our business, financial condition and results of operations.</w:t>
      </w:r>
    </w:p>
    <w:p>
      <w:pPr>
        <w:spacing w:after="0" w:line="188"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program with Cowen. Decreases in these sales could affect the cost or availability of equity capital, which could in turn have an adverse effect on our business, including current operations, future growth, revenues, net income and the market prices of our common shares.</w:t>
      </w:r>
    </w:p>
    <w:p>
      <w:pPr>
        <w:spacing w:after="0" w:line="186" w:lineRule="exact"/>
        <w:rPr>
          <w:sz w:val="20"/>
          <w:szCs w:val="20"/>
          <w:color w:val="auto"/>
        </w:rPr>
      </w:pPr>
    </w:p>
    <w:p>
      <w:pPr>
        <w:ind w:left="60" w:right="159" w:firstLine="648"/>
        <w:spacing w:after="0" w:line="273" w:lineRule="auto"/>
        <w:rPr>
          <w:sz w:val="20"/>
          <w:szCs w:val="20"/>
          <w:color w:val="auto"/>
        </w:rPr>
      </w:pPr>
      <w:r>
        <w:rPr>
          <w:rFonts w:ascii="Times New Roman" w:cs="Times New Roman" w:eastAsia="Times New Roman" w:hAnsi="Times New Roman"/>
          <w:sz w:val="17"/>
          <w:szCs w:val="17"/>
          <w:color w:val="auto"/>
        </w:rPr>
        <w:t>In February 2022, we commenced a new ATM program, the ATM Facility with Cowen to raise additional capital. Under our ATM Facility, we entered into the Sales Agreement, pursuant to which we can sell common shares, up to a maximum aggregate market value of $300.0 million, through one or more at-the-market offerings. Through December 31, 2024, we sold 544,719 shares of common stock pursuant to the Sales Agreement, at an average price of $91.88 per share, with aggregate net proceeds of $48.9 million. Given volatility in the capital markets, we may not be willing or able to continue to raise equity capital through our ATM program. We may, therefore, need to turn to other sources of funding that may have terms that are not favorable to us, or reduce our business operations, if we need additional capital.</w:t>
      </w:r>
    </w:p>
    <w:p>
      <w:pPr>
        <w:spacing w:after="0" w:line="171"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spacing w:after="0" w:line="17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any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18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publish negative evaluations of or downgrade our common stock, the price of our common stock could decline.</w:t>
      </w:r>
    </w:p>
    <w:p>
      <w:pPr>
        <w:spacing w:after="0" w:line="159" w:lineRule="exact"/>
        <w:rPr>
          <w:sz w:val="20"/>
          <w:szCs w:val="20"/>
          <w:color w:val="auto"/>
        </w:rPr>
      </w:pPr>
    </w:p>
    <w:p>
      <w:pPr>
        <w:ind w:left="60" w:right="299" w:firstLine="648"/>
        <w:spacing w:after="0" w:line="289" w:lineRule="auto"/>
        <w:rPr>
          <w:sz w:val="20"/>
          <w:szCs w:val="20"/>
          <w:color w:val="auto"/>
        </w:rPr>
      </w:pPr>
      <w:r>
        <w:rPr>
          <w:rFonts w:ascii="Times New Roman" w:cs="Times New Roman" w:eastAsia="Times New Roman" w:hAnsi="Times New Roman"/>
          <w:sz w:val="17"/>
          <w:szCs w:val="17"/>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analysts cease to cover our common stock, we could lose visibility in the market for our common stock, which in turn could cause our common stock price to decline.</w:t>
      </w:r>
    </w:p>
    <w:p>
      <w:pPr>
        <w:spacing w:after="0" w:line="15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1380" w:right="99" w:hanging="331"/>
        <w:spacing w:after="0" w:line="282"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acquiror from making a tender offer or otherwise attempting to obtain control of us.</w:t>
      </w:r>
    </w:p>
    <w:p>
      <w:pPr>
        <w:spacing w:after="0" w:line="15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enhanced procedural mechanics and disclosure requirements in connection with stockholder nominations and submissions of stockholder proposals,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6"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15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Our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Exchange Act or the Securities Act of 1933, as amended (Securities Act). Our bylaws further provide that, unless we consent in writing to an alternative forum, the federal district courts of the U.S. will be the exclusive forum for resolving any complaint asserting a cause of action arising under the Securities Act, which we refer to as the federal forum provision. We have chosen the federal district courts of the U.S. as the exclusive forum for such Securities Act causes of action.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any person or entity purchasing or otherwise acquiring any interest in shares of our common stock is deemed to have notice of and consented to the Delaware forum provision and the federal forum provision.</w:t>
      </w:r>
    </w:p>
    <w:p>
      <w:pPr>
        <w:spacing w:after="0" w:line="216"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bringing a claim that is covered by the Delaware forum provision do not reside in or near the State of Delaware.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0"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4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85" w:lineRule="exact"/>
        <w:rPr>
          <w:sz w:val="20"/>
          <w:szCs w:val="20"/>
          <w:color w:val="auto"/>
        </w:rPr>
      </w:pPr>
    </w:p>
    <w:p>
      <w:pPr>
        <w:ind w:left="60" w:right="3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3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92" w:lineRule="exact"/>
        <w:rPr>
          <w:sz w:val="20"/>
          <w:szCs w:val="20"/>
          <w:color w:val="auto"/>
        </w:rPr>
      </w:pPr>
    </w:p>
    <w:p>
      <w:pPr>
        <w:jc w:val="both"/>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w:t>
      </w:r>
    </w:p>
    <w:p>
      <w:pPr>
        <w:sectPr>
          <w:pgSz w:w="11900" w:h="16838" w:orient="portrait"/>
          <w:cols w:equalWidth="0" w:num="1">
            <w:col w:w="9019"/>
          </w:cols>
          <w:pgMar w:left="1440" w:top="513" w:right="1440"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88"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9" w:lineRule="exact"/>
        <w:rPr>
          <w:sz w:val="20"/>
          <w:szCs w:val="20"/>
          <w:color w:val="auto"/>
        </w:rPr>
      </w:pPr>
    </w:p>
    <w:p>
      <w:pPr>
        <w:jc w:val="both"/>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In addition, the terms of the Financing Agreement preclude us, and the terms of any future debt agreements may preclude us from paying cash dividends. As a result, capital appreciation, if any, of our common stock will be the sole source of gain for our stockholders for the foreseeable future.</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our capital stock may be subject to additional tax.</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As part of the Inflation Reduction Act of 2022, for tax years beginning on or after December 31, 2022, U.S. Congress enacted a 1% excise tax on certain stock repurchases or similar transactions effected by publicly traded domestic corporations such as ours This tax could make stock repurchases less desirable (and therefore less likely) as compared with other possible uses of our funds, and could reduce the amount of cash available if we do determine to pursue a stock repurchase.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ind w:left="60" w:right="139" w:firstLine="648"/>
        <w:spacing w:after="0" w:line="269" w:lineRule="auto"/>
        <w:rPr>
          <w:sz w:val="20"/>
          <w:szCs w:val="20"/>
          <w:color w:val="auto"/>
        </w:rPr>
      </w:pPr>
      <w:r>
        <w:rPr>
          <w:rFonts w:ascii="Times New Roman" w:cs="Times New Roman" w:eastAsia="Times New Roman" w:hAnsi="Times New Roman"/>
          <w:sz w:val="17"/>
          <w:szCs w:val="17"/>
          <w:color w:val="auto"/>
        </w:rPr>
        <w:t>Under Section 382 of the Internal Revenue Code of 1986, as amended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2024, we had federal net operating loss carryforwards of approximately $859.2 million, and our ability to utilize those net operating loss carryforwards could be limited by an “ownership change” as described above, which could result in increased tax liability to us. In addition, pursuant to the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spacing w:after="0" w:line="18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April 2022, the Company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 The Company engaged its external tax advisor to determine if the Company had equity activity through December 31, 2022 that would give rise to a greater than 50 percentage point ownership change. The previous Section 382 model, through December 31, 2021, was updated for reported transactions among the Company’s 5% owners. The analysis concluded that there was no additional Company equity activity through December 31, 2022 that would rise to the level of a greater than 50 percentage point ownership change. The Company has not performed an analysis through December 31, 2024 at this time.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E2E38"/>
        </w:rPr>
        <w:t>Governance Related to Cybersecurity Risks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involvement and input from our audit committee, performs an annual enterprise-wide risk management (ERM) assessment to identify and manage key existing and emerging risks for our company. Our ERM process seeks to identify both the potential impacts to our company of a particular risk and the likelihood and proximity of any such risk. Our management team is responsible for implementing and overseeing our ERM process. Cybersecurity is among the risks identified for board of directors’ level risk oversight as a result of our most recent ERM assessment, with our audit committee of the board of directors having been delegated responsibility for overseeing our policies, practices and assessments with respect to cybersecurity and other information technology risks.</w:t>
      </w:r>
    </w:p>
    <w:p>
      <w:pPr>
        <w:spacing w:after="0" w:line="25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2E2E38"/>
        </w:rPr>
        <w:t>Our information security team is led by the SVP of IS, who reports to our chief financial officer. Our SVP of IS has over 25 years of experience managing and securing technology infrastructure. The information security team has responsibility for the planning and execution of our processes to manage cybersecurity and other information technology risks. The information security team also institutes and maintains controls for our systems, applications, and databases.</w:t>
      </w:r>
    </w:p>
    <w:p>
      <w:pPr>
        <w:spacing w:after="0" w:line="247" w:lineRule="exact"/>
        <w:rPr>
          <w:sz w:val="20"/>
          <w:szCs w:val="20"/>
          <w:color w:val="auto"/>
        </w:rPr>
      </w:pPr>
    </w:p>
    <w:p>
      <w:pPr>
        <w:ind w:left="60" w:right="219" w:firstLine="648"/>
        <w:spacing w:after="0" w:line="272" w:lineRule="auto"/>
        <w:rPr>
          <w:sz w:val="20"/>
          <w:szCs w:val="20"/>
          <w:color w:val="auto"/>
        </w:rPr>
      </w:pPr>
      <w:r>
        <w:rPr>
          <w:rFonts w:ascii="Times New Roman" w:cs="Times New Roman" w:eastAsia="Times New Roman" w:hAnsi="Times New Roman"/>
          <w:sz w:val="17"/>
          <w:szCs w:val="17"/>
          <w:color w:val="auto"/>
        </w:rPr>
        <w:t>The audit committee receives periodic updates on our cybersecurity risks from our information security team, which include biannual presentations on the status of our cybersecurity risk management program by the SVP IS. These reports include updates on our performance preparing for, preventing, detecting, responding to and recovering from cyber incidents, if any. In addition, as needed, management updates the audit committee regarding any notable cybersecurity incidents. We have also implemented an annual process for employees to complete security awareness training.</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229" w:lineRule="exact"/>
        <w:rPr>
          <w:sz w:val="20"/>
          <w:szCs w:val="20"/>
          <w:color w:val="auto"/>
        </w:rPr>
      </w:pPr>
    </w:p>
    <w:p>
      <w:pPr>
        <w:ind w:left="60" w:right="619" w:firstLine="648"/>
        <w:spacing w:after="0" w:line="258" w:lineRule="auto"/>
        <w:rPr>
          <w:sz w:val="20"/>
          <w:szCs w:val="20"/>
          <w:color w:val="auto"/>
        </w:rPr>
      </w:pPr>
      <w:r>
        <w:rPr>
          <w:rFonts w:ascii="Times New Roman" w:cs="Times New Roman" w:eastAsia="Times New Roman" w:hAnsi="Times New Roman"/>
          <w:sz w:val="18"/>
          <w:szCs w:val="18"/>
          <w:color w:val="auto"/>
        </w:rPr>
        <w:t>Our processes to identify, assess, and manage risks presented by cybersecurity threats are informed by the National Institute of Standards and Technology Cybersecurity Framework. Our SVP of IS, with support from the information security team, is informed about and monitors the prevention, detection, mitigation, and remediation of cybersecurity risks and incidents through various means, which include leveraging external third parties for security testing.</w:t>
      </w:r>
    </w:p>
    <w:p>
      <w:pPr>
        <w:spacing w:after="0" w:line="1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information security team monitors security alerts from information security research sources and peer networking, and we have implemented processes and technologies for monitoring our networks for exfiltration of sensitive company information. Before contracting with third parties or purchasing third party technology or other solutions that involve exposure to sensitive company information the team assesses vendor risk, including by requesting SOC2 reports and/or security documentation from a vendor, where appropriate, and we receive and review security updates and alerts from these third parties. Penetration testing is performed periodically across our network boundaries to identify issues for remediation. Additionally, we maintain off-site back-ups and disaster recovery plans to restore our information and systems in the event of a disruptive event.</w:t>
      </w:r>
    </w:p>
    <w:p>
      <w:pPr>
        <w:spacing w:after="0" w:line="192" w:lineRule="exact"/>
        <w:rPr>
          <w:sz w:val="20"/>
          <w:szCs w:val="20"/>
          <w:color w:val="auto"/>
        </w:rPr>
      </w:pPr>
    </w:p>
    <w:p>
      <w:pPr>
        <w:jc w:val="both"/>
        <w:ind w:left="60" w:right="159" w:firstLine="648"/>
        <w:spacing w:after="0" w:line="258" w:lineRule="auto"/>
        <w:rPr>
          <w:sz w:val="20"/>
          <w:szCs w:val="20"/>
          <w:color w:val="auto"/>
        </w:rPr>
      </w:pPr>
      <w:r>
        <w:rPr>
          <w:rFonts w:ascii="Times New Roman" w:cs="Times New Roman" w:eastAsia="Times New Roman" w:hAnsi="Times New Roman"/>
          <w:sz w:val="18"/>
          <w:szCs w:val="18"/>
          <w:color w:val="2E2E38"/>
        </w:rPr>
        <w:t xml:space="preserve">The information security team also has processes in place to inform and update management and, as needed, the audit committee about </w:t>
      </w:r>
      <w:r>
        <w:rPr>
          <w:rFonts w:ascii="Times New Roman" w:cs="Times New Roman" w:eastAsia="Times New Roman" w:hAnsi="Times New Roman"/>
          <w:sz w:val="18"/>
          <w:szCs w:val="18"/>
          <w:color w:val="000000"/>
        </w:rPr>
        <w:t>cybersecurity incidents that may pose significant risk to the company. Although risks from cybersecurity</w:t>
      </w:r>
      <w:r>
        <w:rPr>
          <w:rFonts w:ascii="Times New Roman" w:cs="Times New Roman" w:eastAsia="Times New Roman" w:hAnsi="Times New Roman"/>
          <w:sz w:val="18"/>
          <w:szCs w:val="18"/>
          <w:color w:val="2E2E38"/>
        </w:rPr>
        <w:t xml:space="preserve"> </w:t>
      </w:r>
      <w:r>
        <w:rPr>
          <w:rFonts w:ascii="Times New Roman" w:cs="Times New Roman" w:eastAsia="Times New Roman" w:hAnsi="Times New Roman"/>
          <w:sz w:val="18"/>
          <w:szCs w:val="18"/>
          <w:color w:val="000000"/>
        </w:rPr>
        <w:t>threats have to date not materially affected us, our business strategy, results of operations or financial condition, we have, from time to time, experienced threats and security incidents relating to our and our third-party vendors’ data and systems. For more information, please see “</w:t>
      </w:r>
      <w:r>
        <w:rPr>
          <w:rFonts w:ascii="Times New Roman" w:cs="Times New Roman" w:eastAsia="Times New Roman" w:hAnsi="Times New Roman"/>
          <w:sz w:val="18"/>
          <w:szCs w:val="18"/>
          <w:i w:val="1"/>
          <w:iCs w:val="1"/>
          <w:color w:val="000000"/>
        </w:rPr>
        <w:t>Item 1A, Risk Factors.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Our headquarters are located at 45 Sidney Street in Cambridge, Massachusetts where we occupy approximately 139,216 rentable square feet of office and laboratory space under a lease that will expire on November 30, 2029, unless terminated sooner.</w:t>
      </w:r>
    </w:p>
    <w:p>
      <w:pPr>
        <w:spacing w:after="0" w:line="176"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also lease approximately 39,000 rentable square feet at our former corporate headquarters at 38 Sidney Street in Cambridge, Massachusetts under a lease that was extended in December 2021, and will now expire on November 30, 2029.</w:t>
      </w:r>
    </w:p>
    <w:p>
      <w:pPr>
        <w:spacing w:after="0" w:line="16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office and laboratory space is sufficient to meet our needs for the foreseeable future and that suitable additional space will be available as and when needed.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ind w:left="60" w:right="219" w:firstLine="648"/>
        <w:spacing w:after="0" w:line="315" w:lineRule="auto"/>
        <w:rPr>
          <w:sz w:val="20"/>
          <w:szCs w:val="20"/>
          <w:color w:val="auto"/>
        </w:rPr>
      </w:pPr>
      <w:r>
        <w:rPr>
          <w:rFonts w:ascii="Times New Roman" w:cs="Times New Roman" w:eastAsia="Times New Roman" w:hAnsi="Times New Roman"/>
          <w:sz w:val="17"/>
          <w:szCs w:val="17"/>
          <w:color w:val="auto"/>
        </w:rPr>
        <w:t>For a description of our material legal proceedings, please see the section titled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xml:space="preserve">” in Note 19, </w:t>
      </w:r>
      <w:r>
        <w:rPr>
          <w:rFonts w:ascii="Times New Roman" w:cs="Times New Roman" w:eastAsia="Times New Roman" w:hAnsi="Times New Roman"/>
          <w:sz w:val="17"/>
          <w:szCs w:val="17"/>
          <w:i w:val="1"/>
          <w:iCs w:val="1"/>
          <w:color w:val="auto"/>
        </w:rPr>
        <w:t xml:space="preserve">Commitments and Contingencies </w:t>
      </w:r>
      <w:r>
        <w:rPr>
          <w:rFonts w:ascii="Times New Roman" w:cs="Times New Roman" w:eastAsia="Times New Roman" w:hAnsi="Times New Roman"/>
          <w:sz w:val="17"/>
          <w:szCs w:val="17"/>
          <w:color w:val="auto"/>
        </w:rPr>
        <w:t>to our consolidated financial statements included in this Annual Report on Form 10-K.</w:t>
      </w:r>
    </w:p>
    <w:p>
      <w:pPr>
        <w:spacing w:after="0" w:line="133"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Information Regarding the Trading of Our Common Stock</w:t>
      </w:r>
    </w:p>
    <w:p>
      <w:pPr>
        <w:spacing w:after="0" w:line="16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under the symbol “BPMC” on the Nasdaq Global Select Market and has been publicly traded since April 30, 2015.</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62"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As of January 31, 2025, there were 7 holders of record of our common stock. This number does not include beneficial owners whose shares are held by nominees in street name.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2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following performance graph compares the performance of our common stock to the Nasdaq Composite Index and to the Nasdaq Biotechnology Index from December 31, 2015 through December 31, 2024. The comparison assumes $100 was invested in our common stock and in each of the foregoing indices after the market closed on December 31, 2015, and it assumes reinvestment of dividends, if any. The stock price performance included in this graph is not necessarily indicative of, nor is it intended to forecast, future stock price performance.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488950</wp:posOffset>
            </wp:positionV>
            <wp:extent cx="5546090" cy="30943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4609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8"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Information about our equity compensation plans will be included in our definitive proxy statement to be filed with the SEC with respect to our 2025 Annual Meeting of Stockholders and is incorporated herein by reference.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We did not purchase any of our registered equity securities during the period covered by this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68" w:lineRule="exact"/>
        <w:rPr>
          <w:sz w:val="20"/>
          <w:szCs w:val="20"/>
          <w:color w:val="auto"/>
        </w:rPr>
      </w:pPr>
    </w:p>
    <w:p>
      <w:pPr>
        <w:ind w:left="60" w:right="4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21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Information pertaining to fiscal year 2022 was included in the Company’s Annual Report on Form 10-K for the year ended December 31, 2023 on pages 105 through 113 under Part II, Item 7, “Management’s Discussion and Analysis of Financial Position and Results of Operations,” which was filed with the Securities and Exchange Commission (the “SEC”) on February 15, 2024.</w:t>
      </w:r>
    </w:p>
    <w:p>
      <w:pPr>
        <w:sectPr>
          <w:pgSz w:w="11900" w:h="16838" w:orient="portrait"/>
          <w:cols w:equalWidth="0" w:num="1">
            <w:col w:w="9019"/>
          </w:cols>
          <w:pgMar w:left="1440" w:top="513" w:right="1440" w:bottom="1440" w:gutter="0" w:footer="0" w:header="0"/>
        </w:sect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60" w:right="259" w:firstLine="648"/>
        <w:spacing w:after="0" w:line="252" w:lineRule="auto"/>
        <w:rPr>
          <w:sz w:val="20"/>
          <w:szCs w:val="20"/>
          <w:color w:val="auto"/>
        </w:rPr>
      </w:pPr>
      <w:r>
        <w:rPr>
          <w:rFonts w:ascii="Times New Roman" w:cs="Times New Roman" w:eastAsia="Times New Roman" w:hAnsi="Times New Roman"/>
          <w:sz w:val="18"/>
          <w:szCs w:val="18"/>
          <w:color w:val="auto"/>
        </w:rPr>
        <w:t>We are a global, fully-integrated biopharmaceutical company that invents life-changing medicines. We seek to alleviate human suffering by solving important medical problems in two core focus areas: allergy/inflammation and oncology/hematology. Our approach targets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systemic mastocytosis (SM) and PDGFRA Exon 18 mutant GIST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w:t>
      </w:r>
    </w:p>
    <w:p>
      <w:pPr>
        <w:spacing w:after="0" w:line="21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Since 2011, we have advanced a drug discovery approach that combines evolving biological insights with our proprietary research platform and drug design capabilities, which currently includes kinase inhibition and targeted protein degradation. We aim to rapidly and reproducibly translate science into durable clinical benefit for broad populations of patients with significant medical needs, including patients with mast cell diseases, breast cancer and other solid tumors. Our focused business model integrates our research engine with robust clinical development and commercial capabilities in allergy/inflammation and solid tumors to create a sustainable cycle of innovation</w:t>
      </w:r>
      <w:r>
        <w:rPr>
          <w:rFonts w:ascii="Times New Roman" w:cs="Times New Roman" w:eastAsia="Times New Roman" w:hAnsi="Times New Roman"/>
          <w:sz w:val="18"/>
          <w:szCs w:val="18"/>
          <w:b w:val="1"/>
          <w:bCs w:val="1"/>
          <w:color w:val="auto"/>
        </w:rPr>
        <w:t>.</w:t>
      </w:r>
    </w:p>
    <w:p>
      <w:pPr>
        <w:spacing w:after="0" w:line="228" w:lineRule="exact"/>
        <w:rPr>
          <w:sz w:val="20"/>
          <w:szCs w:val="20"/>
          <w:color w:val="auto"/>
        </w:rPr>
      </w:pPr>
    </w:p>
    <w:p>
      <w:pPr>
        <w:jc w:val="both"/>
        <w:ind w:left="60" w:right="219" w:firstLine="648"/>
        <w:spacing w:after="0" w:line="276" w:lineRule="auto"/>
        <w:rPr>
          <w:sz w:val="20"/>
          <w:szCs w:val="20"/>
          <w:color w:val="auto"/>
        </w:rPr>
      </w:pPr>
      <w:r>
        <w:rPr>
          <w:rFonts w:ascii="Times New Roman" w:cs="Times New Roman" w:eastAsia="Times New Roman" w:hAnsi="Times New Roman"/>
          <w:sz w:val="17"/>
          <w:szCs w:val="17"/>
          <w:color w:val="auto"/>
        </w:rPr>
        <w:t>As described in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of this Annual Report on Form 10-K, we currently have two products that have received marketing approval, including one partnered product, and multiple investigational programs of various stages advancing towards potential commercialization. In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you can also find a summary of key events from 2023 and 2024 to-date related to our marketed products and our clinical development programs.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6" w:lineRule="exact"/>
        <w:rPr>
          <w:sz w:val="20"/>
          <w:szCs w:val="20"/>
          <w:color w:val="auto"/>
        </w:rPr>
      </w:pPr>
    </w:p>
    <w:p>
      <w:pPr>
        <w:ind w:left="60" w:right="159" w:firstLine="648"/>
        <w:spacing w:after="0" w:line="25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 and license agreements, future royalty and revenue monetization, and a term loan. Through December 31, 2024, we have received an aggregate of $3.9 billion from such transactions, including $1.9 billion in 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$1.1 billion in upfront and milestone payments under our collaborations with CStone and Zai Lab, our now terminated collaborations with Roche, our license agreement with Clementia, our agreement with Rigel and our former collaboration with Alexion Pharma Holding (Alexion) and $400.0 million in gross proceeds from a term loan from Sixth Street Partners. In addition, since January 2020, we have also generated revenue through the sales of our approved drug products.</w:t>
      </w:r>
    </w:p>
    <w:p>
      <w:pPr>
        <w:spacing w:after="0" w:line="22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$67.1 million for the year ended December 31, 2024. Our net losses were $507.0 million and $557.5 million for the years ended December 31, 2023 and 2022, respectively. As of December 31, 2024, we had an accumulated deficit of $2,407.0 million. We expect to continue to incur significant expenses over the next few years, with anticipated variability in these expenses due to our ongoing activities, particularly as we:</w:t>
      </w:r>
    </w:p>
    <w:p>
      <w:pPr>
        <w:spacing w:after="0" w:line="210" w:lineRule="exact"/>
        <w:rPr>
          <w:sz w:val="20"/>
          <w:szCs w:val="20"/>
          <w:color w:val="auto"/>
        </w:rPr>
      </w:pPr>
    </w:p>
    <w:p>
      <w:pPr>
        <w:ind w:left="1380" w:right="319" w:hanging="331"/>
        <w:spacing w:after="0" w:line="312" w:lineRule="auto"/>
        <w:tabs>
          <w:tab w:leader="none" w:pos="13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expand our sales, marketing and distribution infrastructure to continue to commercialize avapritinib and any current or future drug candidates for which we may obtain marketing approval;</w:t>
      </w:r>
    </w:p>
    <w:p>
      <w:pPr>
        <w:spacing w:after="0" w:line="139"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 for avapritinib in additional geographies;</w:t>
      </w:r>
    </w:p>
    <w:p>
      <w:pPr>
        <w:spacing w:after="0" w:line="225" w:lineRule="exact"/>
        <w:rPr>
          <w:rFonts w:ascii="Times New Roman" w:cs="Times New Roman" w:eastAsia="Times New Roman" w:hAnsi="Times New Roman"/>
          <w:sz w:val="18"/>
          <w:szCs w:val="18"/>
          <w:color w:val="auto"/>
        </w:rPr>
      </w:pPr>
    </w:p>
    <w:p>
      <w:pPr>
        <w:ind w:left="1380" w:right="799" w:hanging="331"/>
        <w:spacing w:after="0" w:line="282"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advance clinical development activities for other current or future drug candidates as monotherapies or in combination with other agents;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659" w:hanging="331"/>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drug candidates or development candidates, including elenestinib (BLU-263) and BLU-808;</w:t>
      </w:r>
    </w:p>
    <w:p>
      <w:pPr>
        <w:spacing w:after="0" w:line="161" w:lineRule="exact"/>
        <w:rPr>
          <w:rFonts w:ascii="Times New Roman" w:cs="Times New Roman" w:eastAsia="Times New Roman" w:hAnsi="Times New Roman"/>
          <w:sz w:val="18"/>
          <w:szCs w:val="18"/>
          <w:color w:val="auto"/>
        </w:rPr>
      </w:pPr>
    </w:p>
    <w:p>
      <w:pPr>
        <w:ind w:left="1380" w:right="299" w:hanging="331"/>
        <w:spacing w:after="0" w:line="261"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increasing quantities of drug substance and drug product material for use in preclinical studies, clinical trials and commercialization; and to purchase quantities of other agents for use in our clinical trials as we develop our drugs and drug candidates either as potential combination therapies or for use as comparator agents;</w:t>
      </w:r>
    </w:p>
    <w:p>
      <w:pPr>
        <w:spacing w:after="0" w:line="16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development activities under current or future collaborations;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businesses, technologies, drugs or drug candidates, form strategic alliances or create joint ventures with third parties; and</w:t>
      </w:r>
    </w:p>
    <w:p>
      <w:pPr>
        <w:spacing w:after="0" w:line="161" w:lineRule="exact"/>
        <w:rPr>
          <w:rFonts w:ascii="Times New Roman" w:cs="Times New Roman" w:eastAsia="Times New Roman" w:hAnsi="Times New Roman"/>
          <w:sz w:val="18"/>
          <w:szCs w:val="18"/>
          <w:color w:val="auto"/>
        </w:rPr>
      </w:pPr>
    </w:p>
    <w:p>
      <w:pPr>
        <w:ind w:left="1380" w:right="679" w:hanging="331"/>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clinical, quality, manufacturing, regulatory, commercial and general and administrative personnel.</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0"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7"/>
          <w:szCs w:val="17"/>
          <w:color w:val="auto"/>
        </w:rPr>
        <w:t>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for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 March 2022, the European Commission expanded the marketing authorization for AYVAKYT to include the treatment of adult patients with ASM, SM-AHN, or MCL, after at least one systemic therapy. In May 2023, the FDA approved AYVAKIT for the treatment of adult patients with indolent SM and in December 2023, the European Commission approved AYVAKYT for the treatment of adult patients with indolent SM with moderate to severe symptoms inadequately controlled on symptomatic treatment.</w:t>
      </w:r>
    </w:p>
    <w:p>
      <w:pPr>
        <w:spacing w:after="0" w:line="223" w:lineRule="exact"/>
        <w:rPr>
          <w:sz w:val="20"/>
          <w:szCs w:val="20"/>
          <w:color w:val="auto"/>
        </w:rPr>
      </w:pPr>
    </w:p>
    <w:p>
      <w:pPr>
        <w:ind w:left="60" w:right="51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our revenue primarily consisted of product sales of AYVAKIT/AYVAKYT as well as some collaboration, license and other revenue. Our collaboration, license and other revenue primarily included revenue related to the Rigel Agreement.</w:t>
      </w:r>
    </w:p>
    <w:p>
      <w:pPr>
        <w:spacing w:after="0" w:line="203"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 license and other agreements, including revenues related to the supply of our drug candidates or approved drugs to our various collaboration partners. We anticipate variability in revenue in the future as a result of the timing and amount of product sales, license fees, manufacturing services, and achievement of milestones or other payments under our collaboration, license or other agreements, if any.</w:t>
      </w:r>
    </w:p>
    <w:p>
      <w:pPr>
        <w:spacing w:after="0" w:line="22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In 2025, we anticipate a robust increase in net product revenues compared to 2024, as we continue to add new patients onto AYVAKIT/AYVAKYT, including those with indolent SM and advanced SM.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7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distribution, freight, and indirect overhead costs as well as amounts written down as a result of excess, obsolescence, unmarketability or other reasons. In addition, shipping and handling costs for product shipments are recorded in cost of sales as incurred.</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Prior to receiving the initial FDA approval for AYVAKIT in January 2020, and subsequent approval in June 2021, we manufactured inventory to be sold upon commercialization and recorded approximately $31.0 million related to this inventory as research and development expense. As a result, the manufacturing costs related to the inventory build-up incurred before FDA approval were expensed in prior periods and are therefore excluded from the cost of goods sold for the years ended December 31, 2023 and 2022. This pre-launch inventory was fully sold through during 2023 and as a result, it did not have an impact on the cost of goods sold during the year ended December 31, 2024. We estimate our costs of goods sold related to product sales to be within the low to the mid-single digit percentage range. Cost of goods sold related to sales of drug products to our collaboration partners are at lower margins.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6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 xml:space="preserve">Roche was the principal for recording GAVRETO product sales to customers in the U.S. under our Roche pralsetinib collaboration, and we recognized a portion of the profit as revenue and losses as collaboration loss sharing in our consolidated statements of operations and comprehensive loss. The Roche pralsetinib collaboration agreement was terminated in February 2024. We continued to share any profit or loss from GAVRETO sales in the U.S. until February 22, 2024. For additional information, see Note 11, </w:t>
      </w:r>
      <w:r>
        <w:rPr>
          <w:rFonts w:ascii="Times New Roman" w:cs="Times New Roman" w:eastAsia="Times New Roman" w:hAnsi="Times New Roman"/>
          <w:sz w:val="18"/>
          <w:szCs w:val="18"/>
          <w:i w:val="1"/>
          <w:iCs w:val="1"/>
          <w:color w:val="auto"/>
        </w:rPr>
        <w:t>Collaboration, License and Other Agreements</w:t>
      </w:r>
      <w:r>
        <w:rPr>
          <w:rFonts w:ascii="Times New Roman" w:cs="Times New Roman" w:eastAsia="Times New Roman" w:hAnsi="Times New Roman"/>
          <w:sz w:val="18"/>
          <w:szCs w:val="18"/>
          <w:color w:val="auto"/>
        </w:rPr>
        <w:t>, to our consolidated financial statements included in this Form 10-K.</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8" w:lineRule="exact"/>
        <w:rPr>
          <w:sz w:val="20"/>
          <w:szCs w:val="20"/>
          <w:color w:val="auto"/>
        </w:rPr>
      </w:pPr>
    </w:p>
    <w:p>
      <w:pPr>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67" w:lineRule="exact"/>
        <w:rPr>
          <w:sz w:val="20"/>
          <w:szCs w:val="20"/>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25" w:lineRule="exact"/>
        <w:rPr>
          <w:rFonts w:ascii="Times New Roman" w:cs="Times New Roman" w:eastAsia="Times New Roman" w:hAnsi="Times New Roman"/>
          <w:sz w:val="18"/>
          <w:szCs w:val="18"/>
          <w:color w:val="auto"/>
        </w:rPr>
      </w:pPr>
    </w:p>
    <w:p>
      <w:pPr>
        <w:ind w:left="1380" w:right="859" w:hanging="331"/>
        <w:spacing w:after="0" w:line="282"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Times New Roman" w:cs="Times New Roman" w:eastAsia="Times New Roman" w:hAnsi="Times New Roman"/>
          <w:sz w:val="18"/>
          <w:szCs w:val="18"/>
          <w:color w:val="auto"/>
        </w:rPr>
      </w:pPr>
    </w:p>
    <w:p>
      <w:pPr>
        <w:ind w:left="1380" w:right="139" w:hanging="331"/>
        <w:spacing w:after="0" w:line="312" w:lineRule="auto"/>
        <w:tabs>
          <w:tab w:leader="none" w:pos="13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development activities under our now terminated collaboration for pralsetinib with Roche and research and development activities under our collaboration with VantAI;</w:t>
      </w:r>
    </w:p>
    <w:p>
      <w:pPr>
        <w:spacing w:after="0" w:line="139"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 connection with our research and development activities;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regulatory quality assurance and quality control operations;</w:t>
      </w:r>
    </w:p>
    <w:p>
      <w:pPr>
        <w:spacing w:after="0" w:line="225"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clinical trial materials and pre-validated commercial supply materials; and</w:t>
      </w:r>
    </w:p>
    <w:p>
      <w:pPr>
        <w:spacing w:after="0" w:line="161" w:lineRule="exact"/>
        <w:rPr>
          <w:rFonts w:ascii="Times New Roman" w:cs="Times New Roman" w:eastAsia="Times New Roman" w:hAnsi="Times New Roman"/>
          <w:sz w:val="18"/>
          <w:szCs w:val="18"/>
          <w:color w:val="auto"/>
        </w:rPr>
      </w:pPr>
    </w:p>
    <w:p>
      <w:pPr>
        <w:ind w:left="1380" w:right="399" w:hanging="331"/>
        <w:spacing w:after="0" w:line="266"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lease, information technology and maintenance of facilities expenses, insurance, and other operating costs in support of research and development activities.</w:t>
      </w:r>
    </w:p>
    <w:p>
      <w:pPr>
        <w:spacing w:after="0" w:line="21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0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material net cash inflows will commence from the sale of our current or future drug candidates for which we received marketing approval. This is due to the numerous risks and uncertainties associated with developing drugs, including the uncertainty of:</w:t>
      </w:r>
    </w:p>
    <w:p>
      <w:pPr>
        <w:sectPr>
          <w:pgSz w:w="11900" w:h="16838" w:orient="portrait"/>
          <w:cols w:equalWidth="0" w:num="1">
            <w:col w:w="9019"/>
          </w:cols>
          <w:pgMar w:left="1440" w:top="513" w:right="1440" w:bottom="1440" w:gutter="0" w:footer="0" w:header="0"/>
        </w:sect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toxicology studies;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in, and completion of clinical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to ensure adequate clinical and commercial supply;</w:t>
      </w:r>
    </w:p>
    <w:p>
      <w:pPr>
        <w:spacing w:after="0" w:line="161" w:lineRule="exact"/>
        <w:rPr>
          <w:rFonts w:ascii="Times New Roman" w:cs="Times New Roman" w:eastAsia="Times New Roman" w:hAnsi="Times New Roman"/>
          <w:sz w:val="18"/>
          <w:szCs w:val="18"/>
          <w:color w:val="auto"/>
        </w:rPr>
      </w:pPr>
    </w:p>
    <w:p>
      <w:pPr>
        <w:ind w:left="1380" w:right="479" w:hanging="331"/>
        <w:spacing w:after="0" w:line="282"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drug candidates;</w:t>
      </w:r>
    </w:p>
    <w:p>
      <w:pPr>
        <w:spacing w:after="0" w:line="161" w:lineRule="exact"/>
        <w:rPr>
          <w:rFonts w:ascii="Times New Roman" w:cs="Times New Roman" w:eastAsia="Times New Roman" w:hAnsi="Times New Roman"/>
          <w:sz w:val="18"/>
          <w:szCs w:val="18"/>
          <w:color w:val="auto"/>
        </w:rPr>
      </w:pPr>
    </w:p>
    <w:p>
      <w:pPr>
        <w:ind w:left="1380" w:right="479" w:hanging="331"/>
        <w:spacing w:after="0" w:line="282"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our drug candidates,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AYVAKIT/AYVAKYT and any future drug we may commercialize;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drugs following approval.</w:t>
      </w:r>
    </w:p>
    <w:p>
      <w:pPr>
        <w:spacing w:after="0" w:line="26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drug candidates would significantly change the costs and timing associated with the development of that drug candidate.</w:t>
      </w:r>
    </w:p>
    <w:p>
      <w:pPr>
        <w:spacing w:after="0" w:line="18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w:t>
      </w:r>
    </w:p>
    <w:p>
      <w:pPr>
        <w:spacing w:after="0" w:line="20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allocate our internal research and development expenses to specific drug candidate programs as they are deployed across multiple projects under development.</w:t>
      </w:r>
    </w:p>
    <w:p>
      <w:pPr>
        <w:spacing w:after="0" w:line="21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principal program for the years ended December 31, 2024 and 2023 (in thousands). Other development and pre-development candidate expenses, unallocated expenses and internal research and development expenses have been classified separately.</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78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Avapritinib external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Pralsetinib external expenses*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Elenestinib external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EGFR franchise (BLU-451/525/701/945) external expenses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BLU-222 external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BLU-808 external expenses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development and pre-development candidate expenses and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158,514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148,333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10,181</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427,720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(86,287)</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20" w:right="1059" w:hanging="322"/>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Pralsetinib external expenses include expenses reimbursable to Roche under our now terminated collaboration for pralsetinib with Roche.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expect variability in our research and development expenses in future periods as our drug candidate development programs progress. The costs related to the implementation and expansion of clinical trial sites and related patient enrollment, monitoring, program management and manufacturing expenses for active pharmaceutical ingredient (API), drug product and drug substance for current and future clinical trials will vary depending on clinical data results and our resource allocation priorities. In addition, our research and development expenses may increase with potential new collaborations and future acquisitions.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21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2025, we anticipate a modest increase in our research and development expenses compared to 2024. This is due to increased investment in our priority programs to advance the associated clinical trials, in contrast to our focused approach towards optimizing operational efficiency across our portfolio in 2024.</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68"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insurance fees, legal fees related to intellectual property and corporate matters and fees for accounting and consulting services.</w:t>
      </w:r>
    </w:p>
    <w:p>
      <w:pPr>
        <w:spacing w:after="0" w:line="21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spacing w:after="0" w:line="228"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2025, we anticipate a modest increase in selling, general, and administrative expenses compared to 2024. This increase is driven by our enhanced efforts to expand our global commercial and compliance infrastructure to support the commercialization of AYVAKIT/AYVAKYT.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5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Interest expense, net, consists primarily of interest expense related to our financing arrangements with Sixth Street Partners. Interest expense on liabilities related to the sale of future revenues consists of the periodic interest calculated using the effective interest rate method over the future estimated royalty payments due to Sixth Street Partners over the life of the Future Revenue Purchase Agreement. Interest expense on the term loan with Sixth Street Partners results from the amortization of the debt liability using the effective interest method over the maturity of the term loan. We anticipate variability in interest expense from period to period as a result of the timing and amount of the sales of the underlying products and the changes in interest rates.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consolidated financial statements included in this Form 10-K.</w:t>
      </w:r>
    </w:p>
    <w:p>
      <w:pPr>
        <w:spacing w:after="0" w:line="232"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also includes income earned on cash equivalents and marketable securities. Our interest income may fluctuate depending on the movement of interest rates and our total amount of cash equivalents and marketable securities.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68"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miscellaneous income and expenses unrelated to our core operations, including gains on our equity investment and the impacts of foreign currency exchange differences.</w:t>
      </w:r>
    </w:p>
    <w:p>
      <w:pPr>
        <w:spacing w:after="0" w:line="21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2025, we anticipate an increase in other income, net, compared to 2024. This increase is driven by a gain on our equity investment in IDRx we expect to recognize upon closing of the acquisition of IDRx by GSK plc. For additional information, see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our consolidated financial statements included in this Form 10-K.</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Extinguishment Gain</w:t>
      </w:r>
    </w:p>
    <w:p>
      <w:pPr>
        <w:spacing w:after="0" w:line="268" w:lineRule="exact"/>
        <w:rPr>
          <w:sz w:val="20"/>
          <w:szCs w:val="20"/>
          <w:color w:val="auto"/>
        </w:rPr>
      </w:pPr>
    </w:p>
    <w:p>
      <w:pPr>
        <w:ind w:left="60" w:right="4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Debt extinguishment gain consists of the gain recognized as a result of the Royalty Pharma Termination Agreement entered into on February 22, 2024.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consolidated financial statements included in this Form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tax expense consists of U.S. state and foreign income taxes incurred.</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70"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We evaluate our judgments and estimates in light of changes in circumstances, facts and experience on an ongoing basis.</w:t>
      </w:r>
    </w:p>
    <w:p>
      <w:pPr>
        <w:spacing w:after="0" w:line="23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 xml:space="preserve">Critical accounting estimates are those estimates that, in accordance with generally accepted accounting principles, involve a significant level of estimation uncertainty and have had or are reasonably likely to have a material impact on our consolidated financial statements. Management has determined that our most critical accounting estimates are those relating to revenue recognition, accrued research and development expenses, equity investments, liabilities related to the sale of future royalties and revenues, and modification of debt. We have reviewed our critical accounting estimates with our audit committee. For further discussion about our general accounting policies, see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and Recent Accounting Pronouncements, </w:t>
      </w:r>
      <w:r>
        <w:rPr>
          <w:rFonts w:ascii="Times New Roman" w:cs="Times New Roman" w:eastAsia="Times New Roman" w:hAnsi="Times New Roman"/>
          <w:sz w:val="18"/>
          <w:szCs w:val="18"/>
          <w:color w:val="auto"/>
        </w:rPr>
        <w:t>to our consolidated financial statements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Form 10-K.</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68"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 when we transfer control of goods or services to our customers. Revenue is measured as the amount of consideration we expect to receive in exchange for goods and services. We generate revenue from product sales and revenue transactions under our collaboration, license and other agreements.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54"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For product sales to customers, provisions for returns, rebates and discounts are established in the same period the related product sales are recognized. To determine the appropriate transaction price for our product sales at the time we recognize a sale to a direct customer, we estimate any rebates, chargebacks or discounts that ultimately will be due to</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73" w:lineRule="auto"/>
        <w:rPr>
          <w:sz w:val="20"/>
          <w:szCs w:val="20"/>
          <w:color w:val="auto"/>
        </w:rPr>
      </w:pPr>
      <w:r>
        <w:rPr>
          <w:rFonts w:ascii="Times New Roman" w:cs="Times New Roman" w:eastAsia="Times New Roman" w:hAnsi="Times New Roman"/>
          <w:sz w:val="17"/>
          <w:szCs w:val="17"/>
          <w:color w:val="auto"/>
        </w:rPr>
        <w:t>the direct customer and other customers in the distribution chain under the terms of our contracts. Significant judgments are required in making these estimates. The largest of our sales rebate and discount amounts are rebates associated with sales covered by Medicaid and chargeback contracts in the U.S. We utilize the expected value method to determine the appropriate amount for estimates of variable consideration based on factors such as historical rebate payments for these programs, the current contractual and statutory requirements, specific known market events and sales trends, industry data and forecasted customer buying and payment patterns, the percentage of our products that are sold via these programs, and</w:t>
      </w:r>
    </w:p>
    <w:p>
      <w:pPr>
        <w:spacing w:after="0" w:line="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our product pricing. Actual amounts of consideration ultimately received may differ from our estimates. If actual results vary from our estimates, we adjust these estimates, which would affect net product revenue and earnings in the period such variances become known.</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License and Other Revenue</w:t>
      </w:r>
    </w:p>
    <w:p>
      <w:pPr>
        <w:spacing w:after="0" w:line="26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Revenue recognized from collaboration, license and other agreements includes estimated royalties on drug sales, upfront, milestone, profit sharing and other payments, if any, under any current or future collaboration, license and other agreements, including revenues related to the supply of our drug candidates or approved drugs to our various collaboration partners under these types of contracts.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Expenses</w:t>
      </w:r>
    </w:p>
    <w:p>
      <w:pPr>
        <w:spacing w:after="0" w:line="25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216"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30"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w:t>
      </w:r>
    </w:p>
    <w:p>
      <w:pPr>
        <w:spacing w:after="0" w:line="25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Investments in non-marketable equity securities of privately-held companies that do not have readily determinable fair values and where we have no significant influence are measured at cost, less any impairments, plus or minus changes resulting from observable price changes in orderly transactions for the identical or a similar investment of the same issuer. Each period we assess relevant transactions to identify observable price changes, and regularly monitor these investments to evaluate whether there is an indication of impairment. Judgement is required in identifying the existence of impairment indicators. If indicators of impairment exist, we evaluate whether an investment’s fair value is less than its carrying value using an estimate of fair value.</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Liabilities related to the sale of future royalties and revenues</w:t>
      </w:r>
    </w:p>
    <w:p>
      <w:pPr>
        <w:spacing w:after="0" w:line="268"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We account for net proceeds from sales of our rights to receive future royalty payments and from sales of future revenues as liabilities related to the sale of future royalties and revenues as we have significant continuing involvement in the generation of the related future cash flows. Interest on the liabilities related to the sale of future royalties and revenues is recognized using the effective interest rate method over the life of the related royalty or revenue stream. The liabilities related to the sale of future royalties and revenues and the related interest expenses are based on our current estimates of future royalties and revenues as well as commercial milestones expected to be achieved and received over the life of the arrangement, which we determine by using forecasts of the underlying drug products of the underlying regions. We periodically assess the expected payments and to the extent the amount or timing of the future estimated payments is materially different than previous estimates, we account for any such change by adjusting carrying value of the liabilities related to the sale of future royalties and revenues, and prospectively recognizing the related interest expenses. An increase or decrease of 5% to the interest rate would result in an increase or decrease to our liability related to the sale of future royalties of approximately $0.3 million.</w:t>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Modification of Debt Instruments</w:t>
      </w:r>
    </w:p>
    <w:p>
      <w:pPr>
        <w:spacing w:after="0" w:line="254"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When a debt instrument in which we are the debtor is modified or exchanged, we analyze whether the modification should be accounted for as a modification or an extinguishment. Modified terms are considered substantially different if, after an exchange or modification of debt instruments with the same creditor, the present value of cash flows under the terms of the new debt instrument differs by at least 10% from the present value of the remaining cash flows under the terms of the original debt instrument. If the modified instrument is considered substantially different from the original debt instrument, the modification or exchange is accounted for as an extinguishment. The new instrument is recorded at its fair value and that fair value is used to determine the extinguishment gain or loss.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70"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together with the changes in those items in dollars and as a percentage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0"/>
        </w:trPr>
        <w:tc>
          <w:tcPr>
            <w:tcW w:w="50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249,380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259,444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720,868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735,657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(14,789)</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(19,739)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165,920</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shd w:val="clear" w:color="auto" w:fill="CCEEFF"/>
          </w:tcPr>
          <w:p>
            <w:pPr>
              <w:spacing w:after="0"/>
              <w:rPr>
                <w:sz w:val="19"/>
                <w:szCs w:val="19"/>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(506,016)</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440,153</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(506,984)</w:t>
            </w:r>
          </w:p>
        </w:tc>
        <w:tc>
          <w:tcPr>
            <w:tcW w:w="14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439,895</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Total revenues consist of the following (in thousands):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230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5"/>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1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$ 478,950</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$ 204,207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license and other revenue</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29,874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(15,299)</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$ 508,824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$ 249,380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vMerge w:val="restart"/>
          </w:tcPr>
          <w:p>
            <w:pPr>
              <w:jc w:val="right"/>
              <w:ind w:right="436"/>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6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revenue recognized from sales of AYVAKIT/AYVAKYT during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8"/>
        </w:trPr>
        <w:tc>
          <w:tcPr>
            <w:tcW w:w="5440" w:type="dxa"/>
            <w:vAlign w:val="bottom"/>
          </w:tcPr>
          <w:p>
            <w:pPr>
              <w:spacing w:after="0"/>
              <w:rPr>
                <w:sz w:val="17"/>
                <w:szCs w:val="17"/>
                <w:color w:val="auto"/>
              </w:rPr>
            </w:pPr>
          </w:p>
        </w:tc>
        <w:tc>
          <w:tcPr>
            <w:tcW w:w="8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$ 421,837</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$ 181,971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239,866</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8"/>
              </w:rPr>
              <w:t>132 %</w:t>
            </w: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57,113</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157</w:t>
            </w:r>
          </w:p>
        </w:tc>
      </w:tr>
      <w:tr>
        <w:trPr>
          <w:trHeight w:val="20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$ 478,950</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$ 204,207</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274,743</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8"/>
              </w:rPr>
              <w:t>135 %</w:t>
            </w:r>
          </w:p>
        </w:tc>
      </w:tr>
      <w:tr>
        <w:trPr>
          <w:trHeight w:val="20"/>
        </w:trPr>
        <w:tc>
          <w:tcPr>
            <w:tcW w:w="5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599" w:firstLine="648"/>
        <w:spacing w:after="0" w:line="312" w:lineRule="auto"/>
        <w:rPr>
          <w:sz w:val="20"/>
          <w:szCs w:val="20"/>
          <w:color w:val="auto"/>
        </w:rPr>
      </w:pPr>
      <w:r>
        <w:rPr>
          <w:rFonts w:ascii="Times New Roman" w:cs="Times New Roman" w:eastAsia="Times New Roman" w:hAnsi="Times New Roman"/>
          <w:sz w:val="17"/>
          <w:szCs w:val="17"/>
          <w:color w:val="auto"/>
        </w:rPr>
        <w:t>Product revenue, net increased during the year ended December 31, 2024 as compared to the year ended December 31, 2023 primarily driven by growth in the number of indolent SM and advanced SM patients on therapy.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License and Other Revenue</w:t>
      </w:r>
    </w:p>
    <w:p>
      <w:pPr>
        <w:spacing w:after="0" w:line="254"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 recognized from our collaboration, license and other agreements during the years ended December 31, 2024 and 2023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8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5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Rigel agreement</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CStone collaboration</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(14,008)</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 pralsetinib collaboration</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Roche immunotherapy collaboration</w:t>
            </w:r>
          </w:p>
        </w:tc>
        <w:tc>
          <w:tcPr>
            <w:tcW w:w="1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(25,706)</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3,042</w:t>
            </w:r>
          </w:p>
        </w:tc>
        <w:tc>
          <w:tcPr>
            <w:tcW w:w="20" w:type="dxa"/>
            <w:vAlign w:val="bottom"/>
            <w:shd w:val="clear" w:color="auto" w:fill="CCEEFF"/>
          </w:tcPr>
          <w:p>
            <w:pPr>
              <w:spacing w:after="0"/>
              <w:rPr>
                <w:sz w:val="19"/>
                <w:szCs w:val="19"/>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collaboration, license and other revenue</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Revenue recognized from our collaboration, license and other agreements decreased during the year ended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as compared to the year ended December 31, 2023 primarily due to:</w:t>
      </w:r>
    </w:p>
    <w:p>
      <w:pPr>
        <w:spacing w:after="0" w:line="246" w:lineRule="exact"/>
        <w:rPr>
          <w:sz w:val="20"/>
          <w:szCs w:val="20"/>
          <w:color w:val="auto"/>
        </w:rPr>
      </w:pPr>
    </w:p>
    <w:p>
      <w:pPr>
        <w:ind w:left="720" w:right="79" w:hanging="319"/>
        <w:spacing w:after="0" w:line="261"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Roche immunotherapy collaboration effective in April 2023. As a result of the termination, the percentage of completion to fulfill the performance obligations under the Roche immunotherapy collaboration was increased, and therefore, the remaining transaction price associated with the agreement was recognized as collaboration, license and other revenue during the year ended December 31, 2023; and</w:t>
      </w:r>
    </w:p>
    <w:p>
      <w:pPr>
        <w:spacing w:after="0" w:line="166" w:lineRule="exact"/>
        <w:rPr>
          <w:rFonts w:ascii="Times New Roman" w:cs="Times New Roman" w:eastAsia="Times New Roman" w:hAnsi="Times New Roman"/>
          <w:sz w:val="18"/>
          <w:szCs w:val="18"/>
          <w:color w:val="auto"/>
        </w:rPr>
      </w:pPr>
    </w:p>
    <w:p>
      <w:pPr>
        <w:ind w:left="720" w:right="339" w:hanging="319"/>
        <w:spacing w:after="0" w:line="289" w:lineRule="auto"/>
        <w:tabs>
          <w:tab w:leader="none" w:pos="7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revenue under our CStone collaboration primarily due to a regulatory milestone of $9.0 million achieved during the year ended December 31, 2023 and a reduction in revenue recorded as a result of consideration payable to CStone in connection with commercial supply of pralsetinib for the CStone Territory.</w:t>
      </w:r>
    </w:p>
    <w:p>
      <w:pPr>
        <w:spacing w:after="0" w:line="198"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decrease in collaboration, license and other revenue was partially offset by the revenue recorded under the Rigel Agreement upon completion of the transition during the year ended December 31,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68" w:lineRule="exact"/>
        <w:rPr>
          <w:sz w:val="20"/>
          <w:szCs w:val="20"/>
          <w:color w:val="auto"/>
        </w:rPr>
      </w:pPr>
    </w:p>
    <w:p>
      <w:pPr>
        <w:ind w:left="60" w:right="7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cost of sales during the years ended December 31, 2024 and 2023 (in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4"/>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collaboration and other sales</w:t>
            </w:r>
          </w:p>
        </w:tc>
        <w:tc>
          <w:tcPr>
            <w:tcW w:w="17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7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4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Cost of sales increased during the year ended December 31, 2024 as compared to the year ended</w:t>
      </w:r>
    </w:p>
    <w:p>
      <w:pPr>
        <w:spacing w:after="0" w:line="27" w:lineRule="exact"/>
        <w:rPr>
          <w:sz w:val="20"/>
          <w:szCs w:val="20"/>
          <w:color w:val="auto"/>
        </w:rPr>
      </w:pPr>
    </w:p>
    <w:p>
      <w:pPr>
        <w:jc w:val="both"/>
        <w:ind w:left="60" w:right="279"/>
        <w:spacing w:after="0" w:line="255" w:lineRule="auto"/>
        <w:rPr>
          <w:sz w:val="20"/>
          <w:szCs w:val="20"/>
          <w:color w:val="auto"/>
        </w:rPr>
      </w:pPr>
      <w:r>
        <w:rPr>
          <w:rFonts w:ascii="Times New Roman" w:cs="Times New Roman" w:eastAsia="Times New Roman" w:hAnsi="Times New Roman"/>
          <w:sz w:val="18"/>
          <w:szCs w:val="18"/>
          <w:color w:val="auto"/>
        </w:rPr>
        <w:t>December 31, 2023 primarily due to an increase in the cost of collaboration and other agreement related sales which was driven by GAVRETO product sales to Rigel and collaboration sales to CStone. The increase in cost of product sales was primarily due to an increase in product sales volume.</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5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no collaboration loss sharing was recognized for the sales of GAVRETO to the customers in the U.S. because the commercialization activities of GAVRETO were profitable in the U.S. through its termination date of February 22, 2024 and generated profit sharing revenue of $1.4 million which was recorded as Roche pralsetinib collaboration revenue. During the year ended December 31, 2023, we recorded collaboration loss sharing of $4.3 million.</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68"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research and development expenses during the years ended December 31, 2024 and 2023 (in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9"/>
        </w:trPr>
        <w:tc>
          <w:tcPr>
            <w:tcW w:w="5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Early drug discovery and platform</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and manufacturing related activities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(99,912)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IT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341,433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427,720</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139" w:firstLine="648"/>
        <w:spacing w:after="0" w:line="275" w:lineRule="auto"/>
        <w:rPr>
          <w:sz w:val="20"/>
          <w:szCs w:val="20"/>
          <w:color w:val="auto"/>
        </w:rPr>
      </w:pPr>
      <w:r>
        <w:rPr>
          <w:rFonts w:ascii="Times New Roman" w:cs="Times New Roman" w:eastAsia="Times New Roman" w:hAnsi="Times New Roman"/>
          <w:sz w:val="17"/>
          <w:szCs w:val="17"/>
          <w:color w:val="auto"/>
        </w:rPr>
        <w:t>Research and development expense decreased during the year ended December 31, 2024 as compared to the year ended December 31, 2023, primarily due to a decrease in clinical and manufacturing related activities. This decrease is attributed to our focused approach towards optimizing operational efficiency across our portfolio while prioritizing our top programs, the timing of manufacturing clinical trial materials, and the termination of the Roche pralsetinib collaboration.</w:t>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sales, general and administrative expenses during the years ended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00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4"/>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$ 127,286</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$ 120,756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related expenses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96,604</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43,025</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61,456</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49,575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IT</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(2,529)</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 general and administrative expenses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$ 359,272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$ 295,141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0" w:type="dxa"/>
            <w:vAlign w:val="bottom"/>
            <w:vMerge w:val="restart"/>
          </w:tcPr>
          <w:p>
            <w:pPr>
              <w:jc w:val="right"/>
              <w:ind w:right="413"/>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39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80"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increased during the year ended December 31, 2024 as compared to the year ended December 31, 2023 primarily due to:</w:t>
      </w:r>
    </w:p>
    <w:p>
      <w:pPr>
        <w:spacing w:after="0" w:line="162" w:lineRule="exact"/>
        <w:rPr>
          <w:sz w:val="20"/>
          <w:szCs w:val="20"/>
          <w:color w:val="auto"/>
        </w:rPr>
      </w:pPr>
    </w:p>
    <w:p>
      <w:pPr>
        <w:ind w:left="1380" w:right="1260" w:hanging="331"/>
        <w:spacing w:after="0" w:line="282"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commercial and related activities primarily driven by efforts to support the commercialization of AYVAKIT/AYVAKYT; and</w:t>
      </w:r>
    </w:p>
    <w:p>
      <w:pPr>
        <w:spacing w:after="0" w:line="161" w:lineRule="exact"/>
        <w:rPr>
          <w:rFonts w:ascii="Times New Roman" w:cs="Times New Roman" w:eastAsia="Times New Roman" w:hAnsi="Times New Roman"/>
          <w:sz w:val="18"/>
          <w:szCs w:val="18"/>
          <w:color w:val="auto"/>
        </w:rPr>
      </w:pPr>
    </w:p>
    <w:p>
      <w:pPr>
        <w:ind w:left="1380" w:right="280" w:hanging="331"/>
        <w:spacing w:after="0" w:line="266"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expense primarily driven by the higher valuation of newly granted equity awards as a result of the Company's rising stock price, and an increase in equity awards granted to support headcount growth within our commercial operations.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54" w:lineRule="exact"/>
        <w:rPr>
          <w:sz w:val="20"/>
          <w:szCs w:val="20"/>
          <w:color w:val="auto"/>
        </w:rPr>
      </w:pPr>
    </w:p>
    <w:p>
      <w:pPr>
        <w:ind w:left="60"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interest expense, net, during the years ended December 31, 2024 and 2023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18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5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(68,806)</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(51,605)</w:t>
            </w: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(17,201)</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520"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increased during the year ended December 31, 2024 as compared to the year ended December 31, 2023 primarily due to higher interest charges on the term loan with Sixth Street Partners driven by the additional delayed draw term loan facilities, partially offset by higher interest income earned on our available-for-sale investments during the year ended December 31, 2024 as compared to the year ended December 31, 2023.</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68" w:lineRule="exact"/>
        <w:rPr>
          <w:sz w:val="20"/>
          <w:szCs w:val="20"/>
          <w:color w:val="auto"/>
        </w:rPr>
      </w:pPr>
    </w:p>
    <w:p>
      <w:pPr>
        <w:ind w:left="60"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income (expense), net, during the years ended December 31, 2024 and 2023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17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8"/>
        </w:trPr>
        <w:tc>
          <w:tcPr>
            <w:tcW w:w="5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300" w:firstLine="648"/>
        <w:spacing w:after="0" w:line="258" w:lineRule="auto"/>
        <w:rPr>
          <w:sz w:val="20"/>
          <w:szCs w:val="20"/>
          <w:color w:val="auto"/>
        </w:rPr>
      </w:pPr>
      <w:r>
        <w:rPr>
          <w:rFonts w:ascii="Times New Roman" w:cs="Times New Roman" w:eastAsia="Times New Roman" w:hAnsi="Times New Roman"/>
          <w:sz w:val="18"/>
          <w:szCs w:val="18"/>
          <w:color w:val="auto"/>
        </w:rPr>
        <w:t>Other income, net, increased during the year ended December 31, 2024 as compared to the year ended December 31, 2023 primarily due to the gain recorded associated with our equity investment in IDRx in connection with the Series B preferred stock financing completed by IDRx during the year ended December 31, 2024.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extinguishment gain</w:t>
      </w:r>
    </w:p>
    <w:p>
      <w:pPr>
        <w:spacing w:after="0" w:line="227" w:lineRule="exact"/>
        <w:rPr>
          <w:sz w:val="20"/>
          <w:szCs w:val="20"/>
          <w:color w:val="auto"/>
        </w:rPr>
      </w:pPr>
    </w:p>
    <w:p>
      <w:pPr>
        <w:ind w:left="60" w:righ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December 31, 2024, a debt extinguishment gain of $173.7 million was recognized as a result of the Royalty Pharma Termination Agreement entered into on February 22, 2024.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consolidated financial statements included in this Form 10-K.</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68" w:lineRule="exact"/>
        <w:rPr>
          <w:sz w:val="20"/>
          <w:szCs w:val="20"/>
          <w:color w:val="auto"/>
        </w:rPr>
      </w:pPr>
    </w:p>
    <w:p>
      <w:pPr>
        <w:ind w:left="60"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income tax expense during the years ended December 31, 2024 and 2023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8"/>
        </w:trPr>
        <w:tc>
          <w:tcPr>
            <w:tcW w:w="5380" w:type="dxa"/>
            <w:vAlign w:val="bottom"/>
          </w:tcPr>
          <w:p>
            <w:pPr>
              <w:spacing w:after="0"/>
              <w:rPr>
                <w:sz w:val="17"/>
                <w:szCs w:val="17"/>
                <w:color w:val="auto"/>
              </w:rPr>
            </w:pPr>
          </w:p>
        </w:tc>
        <w:tc>
          <w:tcPr>
            <w:tcW w:w="7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5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40"/>
          </w:cols>
          <w:pgMar w:left="1440" w:top="513" w:right="1419" w:bottom="1440" w:gutter="0" w:footer="0" w:header="0"/>
        </w:sectPr>
      </w:pPr>
    </w:p>
    <w:p>
      <w:pPr>
        <w:spacing w:after="0" w:line="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Income tax expense increased during the year ended December 31, 2024 as compared to the year ended December 31, 2023 primarily due to state income tax and taxable income from jurisdictions in which the Company is subject to tax. For additional information, see Note 15,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consolidated financial statements included in this Form 10-K.</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68"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collaborations and license agreements, future royalty and revenue monetization, and a term loan. Through December 31, 2024, we have received an aggregate of $3.9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$1.1 billion in upfront payments and milestone payments under our collaborations with CStone and Zai Lab, our now terminated collaborations with Roche, our license agreement with Clementia, our agreement with Rigel and our former collaboration with Alexion, and $400.0 million in gross proceeds from a term loan from Sixth Street Partners. In addition, since January 2020, we have also generated revenue through the sales of our approved drug products.</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2024, we had cash, cash equivalents and marketable securities of $863.9 million.</w:t>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2024 and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68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(47,501)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274,040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119,225</w:t>
            </w:r>
          </w:p>
        </w:tc>
        <w:tc>
          <w:tcPr>
            <w:tcW w:w="0" w:type="dxa"/>
            <w:vAlign w:val="bottom"/>
          </w:tcPr>
          <w:p>
            <w:pPr>
              <w:spacing w:after="0"/>
              <w:rPr>
                <w:sz w:val="1"/>
                <w:szCs w:val="1"/>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60" w:right="3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For the year ended December 31, 2024,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$244.3 million decrease in net cash used in operating activities was primarily due to the decrease in net loss of $439.9 million. The decrease was partially offset by the non-cash adjustment for the debt extinguishment gain of $173.7 million and changes in our operating assets and liabilities of $23.6 million.</w:t>
      </w:r>
    </w:p>
    <w:p>
      <w:pPr>
        <w:spacing w:after="0" w:line="207" w:lineRule="exact"/>
        <w:rPr>
          <w:sz w:val="20"/>
          <w:szCs w:val="20"/>
          <w:color w:val="auto"/>
        </w:rPr>
      </w:pPr>
    </w:p>
    <w:p>
      <w:pPr>
        <w:ind w:left="60" w:right="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Investing Activities. </w:t>
      </w:r>
      <w:r>
        <w:rPr>
          <w:rFonts w:ascii="Times New Roman" w:cs="Times New Roman" w:eastAsia="Times New Roman" w:hAnsi="Times New Roman"/>
          <w:sz w:val="18"/>
          <w:szCs w:val="18"/>
          <w:color w:val="auto"/>
        </w:rPr>
        <w:t>For the year ended December 31,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 the $321.5 million decrease in net cash provided by investing activities was primarily due to a $333.0 million increase in net purchases of investments classified as available for sale.</w:t>
      </w:r>
    </w:p>
    <w:p>
      <w:pPr>
        <w:spacing w:after="0" w:line="16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For the year ended December 31, 2024,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the $153.9 million increase in net cash provided by financing activities was primarily due to the increase of $48.9 million in proceeds from the ATM Facility (as defined below), the $56.4 million increase in net proceeds received from stock option exercises and employee stock purchase plan and the $49.0 million increase in net proceeds from the term loan facility.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14"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In June 2022, we entered into a Royalty Purchase Agreement with Royalty Pharma. Pursuant to the Royalty Purchase Agreement, we received an upfront payment of $175.0 million in consideration for our rights to receive royalty</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payments on the net sales of GAVRETO worldwide excluding the CStone Territory and U.S. territory under the terms of the Roche pralsetinib collaboration agreement. In connection with and effective upon the termination of the Roche pralsetinib collaboration agreement, on February 22, 2024, we and Royalty Pharma agreed to terminate the Royalty Purchase Agreement. As of December 31, 2024, the net carrying value of liability related to this arrangement was $0.7 million, which we subsequently paid in February 2025.</w:t>
      </w:r>
    </w:p>
    <w:p>
      <w:pPr>
        <w:spacing w:after="0" w:line="183" w:lineRule="exact"/>
        <w:rPr>
          <w:sz w:val="20"/>
          <w:szCs w:val="20"/>
          <w:color w:val="auto"/>
        </w:rPr>
      </w:pPr>
    </w:p>
    <w:p>
      <w:pPr>
        <w:ind w:left="60" w:right="259" w:firstLine="648"/>
        <w:spacing w:after="0" w:line="268" w:lineRule="auto"/>
        <w:rPr>
          <w:sz w:val="20"/>
          <w:szCs w:val="20"/>
          <w:color w:val="auto"/>
        </w:rPr>
      </w:pPr>
      <w:r>
        <w:rPr>
          <w:rFonts w:ascii="Times New Roman" w:cs="Times New Roman" w:eastAsia="Times New Roman" w:hAnsi="Times New Roman"/>
          <w:sz w:val="17"/>
          <w:szCs w:val="17"/>
          <w:color w:val="auto"/>
        </w:rPr>
        <w:t>In July 2022, we closed a Future Revenue Purchase Agreement with Sixth Street Partners and received gross proceeds of $250.0 million in exchange for future royalty payments at a rate of 9.75% on up to $900 million each year of</w:t>
      </w:r>
    </w:p>
    <w:p>
      <w:pPr>
        <w:ind w:left="60" w:right="59" w:hanging="10"/>
        <w:spacing w:after="0" w:line="249" w:lineRule="auto"/>
        <w:tabs>
          <w:tab w:leader="none" w:pos="2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worldwide annual net product sales of AYVAKIT/AYVAKYT (avapritinib) and (ii) if it is approved, aggregate worldwide annual net product sales of elenestinib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December 31, 2024, the net carrying value of the liability related to this arrangement was $254.4 million.</w:t>
      </w:r>
    </w:p>
    <w:p>
      <w:pPr>
        <w:spacing w:after="0" w:line="19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In May 2024, we received the second tranche in the amount of $150.0 million in gross proceeds. In addition, we may at any time request an incremental term loan in an amount not to exceed $260.0 million on terms to be agreed and subject to the consent of the lenders providing such incremental term loan. As of December 31, 2024, the net carrying value of the term loan was $387.0 million.</w:t>
      </w:r>
    </w:p>
    <w:p>
      <w:pPr>
        <w:spacing w:after="0" w:line="18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obligations under the Financing Agreement are secured, subject to certain exceptions, by security interests in substantially all of our assets and certain of our subsidiaries’ assets. The Financing Agreement contains customary negative covenants that, among other things and subject to certain exceptions, could restrict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$80.0 million.</w:t>
      </w:r>
    </w:p>
    <w:p>
      <w:pPr>
        <w:spacing w:after="0" w:line="176" w:lineRule="exact"/>
        <w:rPr>
          <w:sz w:val="20"/>
          <w:szCs w:val="20"/>
          <w:color w:val="auto"/>
        </w:rPr>
      </w:pPr>
    </w:p>
    <w:p>
      <w:pPr>
        <w:ind w:left="60" w:right="719"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consolidated financial statements included in this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Agreement with Cowen</w:t>
      </w:r>
    </w:p>
    <w:p>
      <w:pPr>
        <w:spacing w:after="0" w:line="22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February 2022, we entered into an at-the-market (ATM) Facility with Cowen and Company, LLC (Cowen), pursuant to which we may offer and sell, from time to time at our sole discretion, shares of our common stock having an aggregate offering price of up to $300.0 million through Cowen as sales agent. During the year ended December 31, 2024, we issued and sold 544,719 shares of our common stock under the ATM Facility, at an average price of $91.88 per share, and received net proceeds of $48.9 million. As of December 31, 2024, we had $250.0 million of remaining capacity available under the ATM Facility.</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6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expect variability in our expenses in connection with our ongoing activities, particularly as we continue the research and development of, initiate or continue clinical trials of, and seek marketing approval for our drug candidates.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incur additional significant costs if we choose to pursue additional indications or geographies for any of our</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approved drugs or drug candidates or otherwise expand more rapidly than we presently anticipate. Accordingly, we may seek to obtain additional funding from time to time in connection with our continuing operations or business objectives. If we are unable to raise capital when needed or on attractive terms, we may be forced to delay, reduce or eliminate certain of our research and development programs or future commercialization efforts.</w:t>
      </w:r>
    </w:p>
    <w:p>
      <w:pPr>
        <w:spacing w:after="0" w:line="220"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we had cash, cash equivalents and marketable securities of $863.9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and may increase as a result of many factors, including:</w:t>
      </w:r>
    </w:p>
    <w:p>
      <w:pPr>
        <w:spacing w:after="0" w:line="225" w:lineRule="exact"/>
        <w:rPr>
          <w:sz w:val="20"/>
          <w:szCs w:val="20"/>
          <w:color w:val="auto"/>
        </w:rPr>
      </w:pPr>
    </w:p>
    <w:p>
      <w:pPr>
        <w:ind w:left="1380" w:right="11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commercialization efforts and market acceptance for AYVAKIT/AYVAKYT or any of our current or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75" w:lineRule="exact"/>
        <w:rPr>
          <w:rFonts w:ascii="Times New Roman" w:cs="Times New Roman" w:eastAsia="Times New Roman" w:hAnsi="Times New Roman"/>
          <w:sz w:val="18"/>
          <w:szCs w:val="18"/>
          <w:color w:val="auto"/>
        </w:rPr>
      </w:pPr>
    </w:p>
    <w:p>
      <w:pPr>
        <w:ind w:left="1380" w:right="139" w:hanging="331"/>
        <w:spacing w:after="0" w:line="255"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p>
      <w:pPr>
        <w:spacing w:after="0" w:line="186"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1" w:lineRule="exact"/>
        <w:rPr>
          <w:rFonts w:ascii="Times New Roman" w:cs="Times New Roman" w:eastAsia="Times New Roman" w:hAnsi="Times New Roman"/>
          <w:sz w:val="18"/>
          <w:szCs w:val="18"/>
          <w:color w:val="auto"/>
        </w:rPr>
      </w:pPr>
    </w:p>
    <w:p>
      <w:pPr>
        <w:ind w:left="1380" w:right="13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to the extent these expenses are not the responsibility of our collaboration partners;</w:t>
      </w:r>
    </w:p>
    <w:p>
      <w:pPr>
        <w:spacing w:after="0" w:line="161" w:lineRule="exact"/>
        <w:rPr>
          <w:rFonts w:ascii="Times New Roman" w:cs="Times New Roman" w:eastAsia="Times New Roman" w:hAnsi="Times New Roman"/>
          <w:sz w:val="18"/>
          <w:szCs w:val="18"/>
          <w:color w:val="auto"/>
        </w:rPr>
      </w:pPr>
    </w:p>
    <w:p>
      <w:pPr>
        <w:ind w:left="1380" w:right="459" w:hanging="331"/>
        <w:spacing w:after="0" w:line="266"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CStone, our license agreements with Clementia and IDRx, our agreement with Rigel, as well as our ability to establish and maintain additional collaborations, partnerships or licenses on favorable terms, if at all;</w:t>
      </w:r>
    </w:p>
    <w:p>
      <w:pPr>
        <w:spacing w:after="0" w:line="175" w:lineRule="exact"/>
        <w:rPr>
          <w:rFonts w:ascii="Times New Roman" w:cs="Times New Roman" w:eastAsia="Times New Roman" w:hAnsi="Times New Roman"/>
          <w:sz w:val="18"/>
          <w:szCs w:val="18"/>
          <w:color w:val="auto"/>
        </w:rPr>
      </w:pPr>
    </w:p>
    <w:p>
      <w:pPr>
        <w:ind w:left="1380" w:right="359" w:hanging="331"/>
        <w:spacing w:after="0" w:line="266"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license or other agreements, our financing arrangements, or any collaboration, partnership, financing or license agreements that we may enter into in the future;</w:t>
      </w:r>
    </w:p>
    <w:p>
      <w:pPr>
        <w:spacing w:after="0" w:line="175" w:lineRule="exact"/>
        <w:rPr>
          <w:rFonts w:ascii="Times New Roman" w:cs="Times New Roman" w:eastAsia="Times New Roman" w:hAnsi="Times New Roman"/>
          <w:sz w:val="18"/>
          <w:szCs w:val="18"/>
          <w:color w:val="auto"/>
        </w:rPr>
      </w:pPr>
    </w:p>
    <w:p>
      <w:pPr>
        <w:ind w:left="1380" w:right="75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1" w:lineRule="exact"/>
        <w:rPr>
          <w:rFonts w:ascii="Times New Roman" w:cs="Times New Roman" w:eastAsia="Times New Roman" w:hAnsi="Times New Roman"/>
          <w:sz w:val="18"/>
          <w:szCs w:val="18"/>
          <w:color w:val="auto"/>
        </w:rPr>
      </w:pPr>
    </w:p>
    <w:p>
      <w:pPr>
        <w:ind w:left="1380" w:right="75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6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and achieve substantial revenues for any of our drugs or drug</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339"/>
        <w:spacing w:after="0" w:line="289" w:lineRule="auto"/>
        <w:rPr>
          <w:sz w:val="20"/>
          <w:szCs w:val="20"/>
          <w:color w:val="auto"/>
        </w:rPr>
      </w:pPr>
      <w:r>
        <w:rPr>
          <w:rFonts w:ascii="Times New Roman" w:cs="Times New Roman" w:eastAsia="Times New Roman" w:hAnsi="Times New Roman"/>
          <w:sz w:val="17"/>
          <w:szCs w:val="17"/>
          <w:color w:val="auto"/>
        </w:rPr>
        <w:t>candidates that receive marketing approval. In addition, our drugs and any current or future drug candidates that receive marketing approvals may not achieve commercial success. Accordingly, we may need to rely on additional financing to achieve our business objectives. Adequate additional financing may not be available to us on acceptable terms, or at all.</w:t>
      </w:r>
    </w:p>
    <w:p>
      <w:pPr>
        <w:spacing w:after="0" w:line="198"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Until we can generate material net cash inflows from our operations, we may choose to finance our cash needs primarily through a combination of public and private equity offerings, debt financings, future revenue monetizations, collaborations, strategic alliances and licensing arrangements. We do not have any committed external sources of funds, other than our collaboration with CStone, the license agreements with Clementia and IDRx, the agreement with Rigel and the Financing Agreement with Sixth Street Partners, which are limited in scope and duration and subject to the achievement of milestones or royalties on sales of licensed products, if any. In addition, we may sell additional shares of our common stock pursuant to our ATM Facility with Cowen, as further discussed above.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spacing w:after="0" w:line="235"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70"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 Our contractual obligations primarily consist of our obligations under unconditional purchase obligations related to certain commercial manufacturing agreements, research service commitments, non-cancellable operating leases, term loan and defined benefit obligation.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agreements</w:t>
      </w:r>
    </w:p>
    <w:p>
      <w:pPr>
        <w:spacing w:after="0" w:line="254"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aggregate amount of future minimum purchase obligations under the manufacturing agreements over the period of next five years was approximately $2.0 million as of December 31, 2024, of which $1.0 million are expected to be paid within one year.</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54"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aggregate amount of future operating lease obligations over the term of our leases was $97.8 million as of December 31, 2024, of which $18.8 million are expected to be paid within one year. For additional information on our leases and timing of future payments, see Note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our consolidated financial statements included in this Form 10-K.</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Long-term debt obligations</w:t>
      </w:r>
    </w:p>
    <w:p>
      <w:pPr>
        <w:spacing w:after="0" w:line="268"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long-term debt obligation related to our term loan over the period of next five years was $553.6 million as of December 31, 2024, of which $43.9 million are expected to be paid within one year. For additional information on the term loan,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consolidated financial statements included in this Form 10-K.</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benefit obligation</w:t>
      </w:r>
    </w:p>
    <w:p>
      <w:pPr>
        <w:spacing w:after="0" w:line="26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future benefits expected to be paid under our pension plan covering employees of our Swiss subsidiary, Blueprint Medicines (Switzerland) GmbH was $6.8 million as of December 31, 2024, of which $0.5 million is expected to become payable from the plan within one year. For additional information on the defined benefit plan, see Note 17,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to our consolidated financial statements included in this Form 10-K.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service commitments</w:t>
      </w:r>
    </w:p>
    <w:p>
      <w:pPr>
        <w:spacing w:after="0" w:line="25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also have obligations to make future payments to third parties that become due and payable on the achievement of certain development and sales milestones, including future payments to third parties with whom we have entered into agreements to develop and commercialize certain of our research and development programs. As of December 31, 2024, we have an obligation to pay $5.0 million under one of such commitments within one year. We have not included these other such commitments on our balance sheet or in the contractual obligations above because the achievement and timing of these milestones is not fixed and determinable.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6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contract research organizations for clinical trials and vendors for clinical supply manufacturing, preclinical research studies, synthetic chemistry and other services and products for operating purposes. We have not included all of these payments in the contractual obligations above since majority of the contracts are generally cancelable at any time by us upon less than 180 days’ prior written notice. Certain of these agreements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 and Recent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Pronouncements</w:t>
      </w:r>
      <w:r>
        <w:rPr>
          <w:rFonts w:ascii="Times New Roman" w:cs="Times New Roman" w:eastAsia="Times New Roman" w:hAnsi="Times New Roman"/>
          <w:sz w:val="18"/>
          <w:szCs w:val="18"/>
          <w:color w:val="auto"/>
        </w:rPr>
        <w:t>, to our consolidated financial statements included in this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2023, we had cash, cash equivalents and marketable securities of $863.9 million and $767.2 million, respectively, consisting primarily of money market funds and investments in U.S. government agency securities and treasury obligations.</w:t>
      </w:r>
    </w:p>
    <w:p>
      <w:pPr>
        <w:spacing w:after="0" w:line="142"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in our fixed income portfolio, which is affected primarily by changes in the general level of U.S. interest rates resulting from the Federal Reserve’s raising or lowering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materially affected to any significant degree by the effect of a change in market interest rates on our investment portfolio.</w:t>
      </w:r>
    </w:p>
    <w:p>
      <w:pPr>
        <w:spacing w:after="0" w:line="14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also exposed to interest rate risk in connection with our borrowings under our senior secured term loan with Sixth Street Partners. As of December 31, 2024, we had $387.0 million of outstanding borrowings under the senior secured term loan. Pursuant to the Financing Agreement, outstanding indebtedness under the term loan bears interest at a rate equal to either the Secured Overnight Financing Rate (SOFR) plus 6.50% or the base rate plus 5.50%, subject to a floor of 1% and 2% with respect to the SOFR and base rate, respectively. The effective annual interest was 12.0% as of December 31, 2024. We currently do not engage in any interest rate hedging activity, and we have no intention to do so in the foreseeable future. Based on the current interest rate of the term loan and the scheduled payments thereunder, we do not believe a 1.0% increase in interest rates would have a material impact on our financial condition or results of</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 xml:space="preserve">operations. For more information regarding the Financing Agreement and the term loan with Sixth Street Partners,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consolidated financial statements included in this Form 10-K.</w:t>
      </w:r>
    </w:p>
    <w:p>
      <w:pPr>
        <w:spacing w:after="0" w:line="13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including recent changes resulting from monetary policy from the U.S. and international central banks, inflationary pressures, and geopolitical developments, or instability or volatility in the global markets.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December 31, 2024 and 2023, we held considerable funds and obligations denominated in foreign currencies.</w:t>
      </w:r>
    </w:p>
    <w:p>
      <w:pPr>
        <w:spacing w:after="0" w:line="14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clinical trial and manufacturing costs and indirectly increasing interest rates. We have not seen a significant impact from inflation on our business, financial condition or results of operations during the years ended December 31, 2024 and 2023. However, a significant or prolonged period of high inflation could adversely impact our results if costs were to increase at a rate higher than the increase in the revenues we generate.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and the report of our independent registered public accounting firm (PCAOB ID:42) required to be filed pursuant to this Item 8 are appended to this Annual Report on Form 10-K. An index of those financial statements is found in Item 15 of this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 in and Disagreements with Accountants on Accounting and Financial Disclosure.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Evaluation of our Disclosure Controls and Procedures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2024. Based upon such evaluation, our Chief Executive Officer and Chief Financial Officer have concluded that, as of December 31, 2024, our disclosure controls and procedures were effective at the reasonable assurance level.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statements for external purposes in accordance with generally accepted accounting principles and includes those policies and procedures that:</w:t>
      </w:r>
    </w:p>
    <w:p>
      <w:pPr>
        <w:spacing w:after="0" w:line="162" w:lineRule="exact"/>
        <w:rPr>
          <w:sz w:val="20"/>
          <w:szCs w:val="20"/>
          <w:color w:val="auto"/>
        </w:rPr>
      </w:pPr>
    </w:p>
    <w:p>
      <w:pPr>
        <w:ind w:left="1380" w:right="919" w:hanging="331"/>
        <w:spacing w:after="0" w:line="282"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61"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66" w:lineRule="exact"/>
        <w:rPr>
          <w:rFonts w:ascii="Times New Roman" w:cs="Times New Roman" w:eastAsia="Times New Roman" w:hAnsi="Times New Roman"/>
          <w:sz w:val="18"/>
          <w:szCs w:val="18"/>
          <w:color w:val="auto"/>
        </w:rPr>
      </w:pPr>
    </w:p>
    <w:p>
      <w:pPr>
        <w:ind w:left="1380" w:right="239" w:hanging="331"/>
        <w:spacing w:after="0" w:line="282"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2024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2024.</w:t>
      </w:r>
    </w:p>
    <w:p>
      <w:pPr>
        <w:spacing w:after="0" w:line="187"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of our internal control over financial reporting. This report appears below.</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Blueprint Medicines Corporation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audited Blueprint Medicines Corporation’s internal control over financial reporting as of December 31, 2024, based on criteria established in Internal Control—Integrated Framework issued by the Committee of Sponsoring Organizations of the Treadway Commission (2013 framework) (the COSO criteria). In our opinion, Blueprint Medicines Corporation (the Company) maintained, in all material respects, effective internal control over financial reporting as of December 31, 2024, based on the COSO criteria.</w:t>
      </w:r>
    </w:p>
    <w:p>
      <w:pPr>
        <w:spacing w:after="0" w:line="17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stockholders’ equity and cash flows for each of the three years in the period ended December 31, 2024, and the related notes and our report dated February 13, 2025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maintained in all material respects.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13, 2025</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year ended December 31, 2024 that has materially affected, or is reasonably likely to materially affect, our internal control over financial reporting.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Rule 10b5-1 Trading Arrangements</w:t>
      </w:r>
    </w:p>
    <w:p>
      <w:pPr>
        <w:spacing w:after="0" w:line="121"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officers or directors adopted a “Rule 10b5-1 trading arrangement,” as the term is defined in Item 408(a) of Regulation S-K.</w:t>
      </w:r>
    </w:p>
    <w:p>
      <w:pPr>
        <w:spacing w:after="0" w:line="40"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one of the Company’s officers adopted a “Rule 10b5-1 trading arrangement,” as the term is defined in Item 408(a) of Regulation S-K which was not previously disclosed due to an administrative error. We describe the material terms of the Rule 10b5-1 trading arrangement below.</w:t>
      </w:r>
    </w:p>
    <w:p>
      <w:pPr>
        <w:spacing w:after="0" w:line="296" w:lineRule="exact"/>
        <w:rPr>
          <w:sz w:val="20"/>
          <w:szCs w:val="20"/>
          <w:color w:val="auto"/>
        </w:rPr>
      </w:pPr>
    </w:p>
    <w:tbl>
      <w:tblPr>
        <w:tblLayout w:type="fixed"/>
        <w:tblInd w:w="50" w:type="dxa"/>
        <w:tblCellMar>
          <w:top w:w="0" w:type="dxa"/>
          <w:left w:w="0" w:type="dxa"/>
          <w:bottom w:w="0" w:type="dxa"/>
          <w:right w:w="0" w:type="dxa"/>
        </w:tblCellMar>
      </w:tblPr>
      <w:tr>
        <w:trPr>
          <w:trHeight w:val="261"/>
        </w:trPr>
        <w:tc>
          <w:tcPr>
            <w:tcW w:w="15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5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4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Trading</w:t>
            </w:r>
          </w:p>
        </w:tc>
        <w:tc>
          <w:tcPr>
            <w:tcW w:w="15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 of Trading</w:t>
            </w:r>
          </w:p>
        </w:tc>
        <w:tc>
          <w:tcPr>
            <w:tcW w:w="1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1520" w:type="dxa"/>
            <w:vAlign w:val="bottom"/>
            <w:tcBorders>
              <w:left w:val="single" w:sz="8" w:color="auto"/>
              <w:right w:val="single" w:sz="8" w:color="auto"/>
            </w:tcBorders>
            <w:shd w:val="clear" w:color="auto" w:fill="D9D9D9"/>
          </w:tcPr>
          <w:p>
            <w:pPr>
              <w:spacing w:after="0"/>
              <w:rPr>
                <w:sz w:val="18"/>
                <w:szCs w:val="18"/>
                <w:color w:val="auto"/>
              </w:rPr>
            </w:pPr>
          </w:p>
        </w:tc>
        <w:tc>
          <w:tcPr>
            <w:tcW w:w="1560" w:type="dxa"/>
            <w:vAlign w:val="bottom"/>
            <w:tcBorders>
              <w:right w:val="single" w:sz="8" w:color="auto"/>
            </w:tcBorders>
            <w:shd w:val="clear" w:color="auto" w:fill="D9D9D9"/>
          </w:tcPr>
          <w:p>
            <w:pPr>
              <w:spacing w:after="0"/>
              <w:rPr>
                <w:sz w:val="18"/>
                <w:szCs w:val="18"/>
                <w:color w:val="auto"/>
              </w:rPr>
            </w:pPr>
          </w:p>
        </w:tc>
        <w:tc>
          <w:tcPr>
            <w:tcW w:w="14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4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5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4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97"/>
        </w:trPr>
        <w:tc>
          <w:tcPr>
            <w:tcW w:w="152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560" w:type="dxa"/>
            <w:vAlign w:val="bottom"/>
            <w:tcBorders>
              <w:bottom w:val="single" w:sz="8" w:color="D9D9D9"/>
              <w:right w:val="single" w:sz="8" w:color="auto"/>
            </w:tcBorders>
            <w:shd w:val="clear" w:color="auto" w:fill="D9D9D9"/>
          </w:tcPr>
          <w:p>
            <w:pPr>
              <w:spacing w:after="0"/>
              <w:rPr>
                <w:sz w:val="24"/>
                <w:szCs w:val="24"/>
                <w:color w:val="auto"/>
              </w:rPr>
            </w:pPr>
          </w:p>
        </w:tc>
        <w:tc>
          <w:tcPr>
            <w:tcW w:w="1400" w:type="dxa"/>
            <w:vAlign w:val="bottom"/>
            <w:tcBorders>
              <w:bottom w:val="single" w:sz="8" w:color="D9D9D9"/>
              <w:right w:val="single" w:sz="8" w:color="auto"/>
            </w:tcBorders>
            <w:shd w:val="clear" w:color="auto" w:fill="D9D9D9"/>
          </w:tcPr>
          <w:p>
            <w:pPr>
              <w:spacing w:after="0"/>
              <w:rPr>
                <w:sz w:val="24"/>
                <w:szCs w:val="24"/>
                <w:color w:val="auto"/>
              </w:rPr>
            </w:pPr>
          </w:p>
        </w:tc>
        <w:tc>
          <w:tcPr>
            <w:tcW w:w="1480" w:type="dxa"/>
            <w:vAlign w:val="bottom"/>
            <w:tcBorders>
              <w:bottom w:val="single" w:sz="8" w:color="D9D9D9"/>
              <w:right w:val="single" w:sz="8" w:color="auto"/>
            </w:tcBorders>
            <w:shd w:val="clear" w:color="auto" w:fill="D9D9D9"/>
          </w:tcPr>
          <w:p>
            <w:pPr>
              <w:spacing w:after="0"/>
              <w:rPr>
                <w:sz w:val="24"/>
                <w:szCs w:val="24"/>
                <w:color w:val="auto"/>
              </w:rPr>
            </w:pPr>
          </w:p>
        </w:tc>
        <w:tc>
          <w:tcPr>
            <w:tcW w:w="1580" w:type="dxa"/>
            <w:vAlign w:val="bottom"/>
            <w:tcBorders>
              <w:bottom w:val="single" w:sz="8" w:color="D9D9D9"/>
              <w:right w:val="single" w:sz="8" w:color="auto"/>
            </w:tcBorders>
            <w:shd w:val="clear" w:color="auto" w:fill="D9D9D9"/>
          </w:tcPr>
          <w:p>
            <w:pPr>
              <w:spacing w:after="0"/>
              <w:rPr>
                <w:sz w:val="24"/>
                <w:szCs w:val="24"/>
                <w:color w:val="auto"/>
              </w:rPr>
            </w:pPr>
          </w:p>
        </w:tc>
        <w:tc>
          <w:tcPr>
            <w:tcW w:w="14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45"/>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Christina Rossi</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plan</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Sale of the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27, 2024 –</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27,291</w:t>
            </w:r>
          </w:p>
        </w:tc>
      </w:tr>
      <w:tr>
        <w:trPr>
          <w:trHeight w:val="234"/>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27, 2024</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intended to satisfy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Company’s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28, 2025</w:t>
            </w:r>
          </w:p>
        </w:tc>
        <w:tc>
          <w:tcPr>
            <w:tcW w:w="1400" w:type="dxa"/>
            <w:vAlign w:val="bottom"/>
            <w:tcBorders>
              <w:right w:val="single" w:sz="8" w:color="auto"/>
            </w:tcBorders>
          </w:tcPr>
          <w:p>
            <w:pPr>
              <w:spacing w:after="0"/>
              <w:rPr>
                <w:sz w:val="20"/>
                <w:szCs w:val="20"/>
                <w:color w:val="auto"/>
              </w:rPr>
            </w:pPr>
          </w:p>
        </w:tc>
      </w:tr>
      <w:tr>
        <w:trPr>
          <w:trHeight w:val="184"/>
        </w:trPr>
        <w:tc>
          <w:tcPr>
            <w:tcW w:w="152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the affirmative</w:t>
            </w:r>
          </w:p>
        </w:tc>
        <w:tc>
          <w:tcPr>
            <w:tcW w:w="14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common stock</w:t>
            </w:r>
          </w:p>
        </w:tc>
        <w:tc>
          <w:tcPr>
            <w:tcW w:w="15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defense conditions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pursuant to the</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Securities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terms of the trading</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Exchange Act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plan</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10b5-1(c)</w:t>
            </w:r>
          </w:p>
        </w:tc>
        <w:tc>
          <w:tcPr>
            <w:tcW w:w="14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2025 Annual Meeting of Stockholders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2025 Annual Meeting of Stockholders and is incorporated herein by reference.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2025 Annual Meeting of Stockholders and is incorporated herein by reference.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1260" w:hanging="562"/>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F-46 attached hereto and are filed as part of this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40" w:type="dxa"/>
            <w:vAlign w:val="bottom"/>
          </w:tcPr>
          <w:p>
            <w:pPr>
              <w:spacing w:after="0"/>
              <w:rPr>
                <w:sz w:val="20"/>
                <w:szCs w:val="20"/>
                <w:color w:val="auto"/>
              </w:rPr>
            </w:pPr>
          </w:p>
        </w:tc>
      </w:tr>
      <w:tr>
        <w:trPr>
          <w:trHeight w:val="387"/>
        </w:trPr>
        <w:tc>
          <w:tcPr>
            <w:tcW w:w="4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2440" w:type="dxa"/>
            <w:vAlign w:val="bottom"/>
            <w:gridSpan w:val="2"/>
          </w:tcPr>
          <w:p>
            <w:pPr>
              <w:spacing w:after="0"/>
              <w:rPr>
                <w:sz w:val="24"/>
                <w:szCs w:val="24"/>
                <w:color w:val="auto"/>
              </w:rPr>
            </w:pP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6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240" w:type="dxa"/>
            <w:vAlign w:val="bottom"/>
          </w:tcPr>
          <w:p>
            <w:pPr>
              <w:ind w:left="198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1980" w:type="dxa"/>
            <w:vAlign w:val="bottom"/>
          </w:tcPr>
          <w:p>
            <w:pPr>
              <w:spacing w:after="0"/>
              <w:rPr>
                <w:sz w:val="17"/>
                <w:szCs w:val="17"/>
                <w:color w:val="auto"/>
              </w:rPr>
            </w:pPr>
          </w:p>
        </w:tc>
        <w:tc>
          <w:tcPr>
            <w:tcW w:w="2240" w:type="dxa"/>
            <w:vAlign w:val="bottom"/>
          </w:tcPr>
          <w:p>
            <w:pPr>
              <w:ind w:left="198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6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2240" w:type="dxa"/>
            <w:vAlign w:val="bottom"/>
          </w:tcPr>
          <w:p>
            <w:pPr>
              <w:ind w:left="198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3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120" w:type="dxa"/>
            <w:vAlign w:val="bottom"/>
            <w:gridSpan w:val="3"/>
          </w:tcPr>
          <w:p>
            <w:pPr>
              <w:spacing w:after="0"/>
              <w:rPr>
                <w:sz w:val="17"/>
                <w:szCs w:val="17"/>
                <w:color w:val="auto"/>
              </w:rPr>
            </w:pPr>
          </w:p>
        </w:tc>
        <w:tc>
          <w:tcPr>
            <w:tcW w:w="2240" w:type="dxa"/>
            <w:vAlign w:val="bottom"/>
          </w:tcPr>
          <w:p>
            <w:pPr>
              <w:ind w:left="198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6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240" w:type="dxa"/>
            <w:vAlign w:val="bottom"/>
          </w:tcPr>
          <w:p>
            <w:pPr>
              <w:ind w:left="198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10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53"/>
        </w:trPr>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w:t>
            </w:r>
          </w:p>
        </w:tc>
        <w:tc>
          <w:tcPr>
            <w:tcW w:w="56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2240" w:type="dxa"/>
            <w:vAlign w:val="bottom"/>
          </w:tcPr>
          <w:p>
            <w:pPr>
              <w:spacing w:after="0"/>
              <w:rPr>
                <w:sz w:val="24"/>
                <w:szCs w:val="24"/>
                <w:color w:val="auto"/>
              </w:rPr>
            </w:pPr>
          </w:p>
        </w:tc>
      </w:tr>
    </w:tbl>
    <w:p>
      <w:pPr>
        <w:spacing w:after="0" w:line="184"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Schedules have been omitted since they are either not required or not applicable or the information is otherwise included herein.</w:t>
      </w:r>
    </w:p>
    <w:p>
      <w:pPr>
        <w:spacing w:after="0" w:line="162" w:lineRule="exact"/>
        <w:rPr>
          <w:sz w:val="20"/>
          <w:szCs w:val="20"/>
          <w:color w:val="auto"/>
        </w:rPr>
      </w:pPr>
    </w:p>
    <w:p>
      <w:pPr>
        <w:ind w:left="1260" w:hanging="562"/>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9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9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120" w:type="dxa"/>
            <w:vAlign w:val="bottom"/>
            <w:gridSpan w:val="26"/>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960" w:type="dxa"/>
            <w:vAlign w:val="bottom"/>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94"/>
        </w:trPr>
        <w:tc>
          <w:tcPr>
            <w:tcW w:w="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2120" w:type="dxa"/>
            <w:vAlign w:val="bottom"/>
            <w:gridSpan w:val="26"/>
          </w:tcPr>
          <w:p>
            <w:pPr>
              <w:spacing w:after="0" w:line="194"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Sales Agreement, dated as</w:t>
              </w:r>
            </w:hyperlink>
          </w:p>
        </w:tc>
        <w:tc>
          <w:tcPr>
            <w:tcW w:w="860" w:type="dxa"/>
            <w:vAlign w:val="bottom"/>
          </w:tcPr>
          <w:p>
            <w:pPr>
              <w:jc w:val="center"/>
              <w:ind w:right="12"/>
              <w:spacing w:after="0" w:line="194" w:lineRule="exact"/>
              <w:rPr>
                <w:sz w:val="20"/>
                <w:szCs w:val="20"/>
                <w:color w:val="auto"/>
              </w:rPr>
            </w:pPr>
            <w:r>
              <w:rPr>
                <w:rFonts w:ascii="Times New Roman" w:cs="Times New Roman" w:eastAsia="Times New Roman" w:hAnsi="Times New Roman"/>
                <w:sz w:val="18"/>
                <w:szCs w:val="18"/>
                <w:color w:val="auto"/>
                <w:w w:val="97"/>
              </w:rPr>
              <w:t>10-K</w:t>
            </w:r>
          </w:p>
        </w:tc>
        <w:tc>
          <w:tcPr>
            <w:tcW w:w="1960" w:type="dxa"/>
            <w:vAlign w:val="bottom"/>
          </w:tcPr>
          <w:p>
            <w:pPr>
              <w:jc w:val="center"/>
              <w:ind w:left="55"/>
              <w:spacing w:after="0"/>
              <w:rPr>
                <w:sz w:val="20"/>
                <w:szCs w:val="20"/>
                <w:color w:val="auto"/>
              </w:rPr>
            </w:pPr>
            <w:r>
              <w:rPr>
                <w:rFonts w:ascii="Times New Roman" w:cs="Times New Roman" w:eastAsia="Times New Roman" w:hAnsi="Times New Roman"/>
                <w:sz w:val="16"/>
                <w:szCs w:val="16"/>
                <w:color w:val="auto"/>
              </w:rPr>
              <w:t>001-37359</w:t>
            </w:r>
          </w:p>
        </w:tc>
        <w:tc>
          <w:tcPr>
            <w:tcW w:w="1240" w:type="dxa"/>
            <w:vAlign w:val="bottom"/>
          </w:tcPr>
          <w:p>
            <w:pPr>
              <w:jc w:val="center"/>
              <w:ind w:right="52"/>
              <w:spacing w:after="0" w:line="194" w:lineRule="exact"/>
              <w:rPr>
                <w:sz w:val="20"/>
                <w:szCs w:val="20"/>
                <w:color w:val="auto"/>
              </w:rPr>
            </w:pPr>
            <w:r>
              <w:rPr>
                <w:rFonts w:ascii="Times New Roman" w:cs="Times New Roman" w:eastAsia="Times New Roman" w:hAnsi="Times New Roman"/>
                <w:sz w:val="18"/>
                <w:szCs w:val="18"/>
                <w:color w:val="auto"/>
                <w:w w:val="97"/>
              </w:rPr>
              <w:t>1.1</w:t>
            </w:r>
          </w:p>
        </w:tc>
        <w:tc>
          <w:tcPr>
            <w:tcW w:w="1560" w:type="dxa"/>
            <w:vAlign w:val="bottom"/>
          </w:tcPr>
          <w:p>
            <w:pPr>
              <w:jc w:val="center"/>
              <w:ind w:left="112"/>
              <w:spacing w:after="0" w:line="194" w:lineRule="exact"/>
              <w:rPr>
                <w:sz w:val="20"/>
                <w:szCs w:val="20"/>
                <w:color w:val="auto"/>
              </w:rPr>
            </w:pPr>
            <w:r>
              <w:rPr>
                <w:rFonts w:ascii="Times New Roman" w:cs="Times New Roman" w:eastAsia="Times New Roman" w:hAnsi="Times New Roman"/>
                <w:sz w:val="18"/>
                <w:szCs w:val="18"/>
                <w:color w:val="auto"/>
                <w:w w:val="99"/>
              </w:rPr>
              <w:t>February 17, 2022</w:t>
            </w:r>
          </w:p>
        </w:tc>
      </w:tr>
      <w:tr>
        <w:trPr>
          <w:trHeight w:val="183"/>
        </w:trPr>
        <w:tc>
          <w:tcPr>
            <w:tcW w:w="920" w:type="dxa"/>
            <w:vAlign w:val="bottom"/>
          </w:tcPr>
          <w:p>
            <w:pPr>
              <w:spacing w:after="0"/>
              <w:rPr>
                <w:sz w:val="15"/>
                <w:szCs w:val="15"/>
                <w:color w:val="auto"/>
              </w:rPr>
            </w:pPr>
          </w:p>
        </w:tc>
        <w:tc>
          <w:tcPr>
            <w:tcW w:w="1800" w:type="dxa"/>
            <w:vAlign w:val="bottom"/>
            <w:tcBorders>
              <w:top w:val="single" w:sz="8" w:color="0000EE"/>
              <w:bottom w:val="single" w:sz="8" w:color="0000EE"/>
            </w:tcBorders>
            <w:gridSpan w:val="20"/>
          </w:tcPr>
          <w:p>
            <w:pPr>
              <w:spacing w:after="0" w:line="182"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of February 17, 2022, by</w:t>
              </w:r>
            </w:hyperlink>
          </w:p>
        </w:tc>
        <w:tc>
          <w:tcPr>
            <w:tcW w:w="12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6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and between Blueprint</w:t>
              </w:r>
            </w:hyperlink>
          </w:p>
        </w:tc>
        <w:tc>
          <w:tcPr>
            <w:tcW w:w="480" w:type="dxa"/>
            <w:vAlign w:val="bottom"/>
            <w:gridSpan w:val="13"/>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Medicines Corporation</w:t>
              </w:r>
            </w:hyperlink>
          </w:p>
        </w:tc>
        <w:tc>
          <w:tcPr>
            <w:tcW w:w="44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6"/>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and Cowen and Company,</w:t>
              </w:r>
            </w:hyperlink>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LLC</w:t>
              </w:r>
            </w:hyperlink>
          </w:p>
        </w:tc>
        <w:tc>
          <w:tcPr>
            <w:tcW w:w="22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120" w:type="dxa"/>
            <w:vAlign w:val="bottom"/>
            <w:gridSpan w:val="26"/>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Fifth Amended and</w:t>
              </w:r>
            </w:hyperlink>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196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001-37359</w:t>
            </w:r>
          </w:p>
        </w:tc>
        <w:tc>
          <w:tcPr>
            <w:tcW w:w="12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3.1</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November 9, 2015</w:t>
            </w:r>
          </w:p>
        </w:tc>
      </w:tr>
      <w:tr>
        <w:trPr>
          <w:trHeight w:val="183"/>
        </w:trPr>
        <w:tc>
          <w:tcPr>
            <w:tcW w:w="920" w:type="dxa"/>
            <w:vAlign w:val="bottom"/>
          </w:tcPr>
          <w:p>
            <w:pPr>
              <w:spacing w:after="0"/>
              <w:rPr>
                <w:sz w:val="15"/>
                <w:szCs w:val="15"/>
                <w:color w:val="auto"/>
              </w:rPr>
            </w:pPr>
          </w:p>
        </w:tc>
        <w:tc>
          <w:tcPr>
            <w:tcW w:w="1400" w:type="dxa"/>
            <w:vAlign w:val="bottom"/>
            <w:tcBorders>
              <w:top w:val="single" w:sz="8" w:color="0000EE"/>
            </w:tcBorders>
            <w:gridSpan w:val="6"/>
          </w:tcPr>
          <w:p>
            <w:pPr>
              <w:spacing w:after="0" w:line="182" w:lineRule="exact"/>
              <w:rPr>
                <w:rFonts w:ascii="Times New Roman" w:cs="Times New Roman" w:eastAsia="Times New Roman" w:hAnsi="Times New Roman"/>
                <w:sz w:val="18"/>
                <w:szCs w:val="18"/>
                <w:color w:val="0000EE"/>
                <w:w w:val="96"/>
              </w:rPr>
            </w:pPr>
            <w:hyperlink r:id="rId135">
              <w:r>
                <w:rPr>
                  <w:rFonts w:ascii="Times New Roman" w:cs="Times New Roman" w:eastAsia="Times New Roman" w:hAnsi="Times New Roman"/>
                  <w:sz w:val="18"/>
                  <w:szCs w:val="18"/>
                  <w:color w:val="0000EE"/>
                  <w:w w:val="96"/>
                </w:rPr>
                <w:t>Restated Certificate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18"/>
          </w:tcPr>
          <w:p>
            <w:pPr>
              <w:ind w:left="40"/>
              <w:spacing w:after="0" w:line="182"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of</w:t>
              </w:r>
            </w:hyperlink>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6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Incorporation of the</w:t>
              </w:r>
            </w:hyperlink>
          </w:p>
        </w:tc>
        <w:tc>
          <w:tcPr>
            <w:tcW w:w="50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4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Registrant</w:t>
              </w:r>
            </w:hyperlink>
          </w:p>
        </w:tc>
        <w:tc>
          <w:tcPr>
            <w:tcW w:w="68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120" w:type="dxa"/>
            <w:vAlign w:val="bottom"/>
            <w:gridSpan w:val="26"/>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Amended and Restated</w:t>
              </w:r>
            </w:hyperlink>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196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001-37359</w:t>
            </w:r>
          </w:p>
        </w:tc>
        <w:tc>
          <w:tcPr>
            <w:tcW w:w="12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3.1</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December 6, 2022</w:t>
            </w:r>
          </w:p>
        </w:tc>
      </w:tr>
      <w:tr>
        <w:trPr>
          <w:trHeight w:val="182"/>
        </w:trPr>
        <w:tc>
          <w:tcPr>
            <w:tcW w:w="92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16"/>
          </w:tcPr>
          <w:p>
            <w:pPr>
              <w:spacing w:after="0" w:line="182"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Bylaws, as amended on</w:t>
              </w:r>
            </w:hyperlink>
          </w:p>
        </w:tc>
        <w:tc>
          <w:tcPr>
            <w:tcW w:w="2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2120" w:type="dxa"/>
            <w:vAlign w:val="bottom"/>
            <w:gridSpan w:val="26"/>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November 30, 2022, of the</w:t>
              </w:r>
            </w:hyperlink>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4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Registrant</w:t>
              </w:r>
            </w:hyperlink>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120" w:type="dxa"/>
            <w:vAlign w:val="bottom"/>
            <w:gridSpan w:val="26"/>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Specimen Common Stock</w:t>
              </w:r>
            </w:hyperlink>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S-1/A</w:t>
            </w:r>
          </w:p>
        </w:tc>
        <w:tc>
          <w:tcPr>
            <w:tcW w:w="196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8"/>
              </w:rPr>
              <w:t>333-202938</w:t>
            </w:r>
          </w:p>
        </w:tc>
        <w:tc>
          <w:tcPr>
            <w:tcW w:w="12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4.1</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April 20, 2015</w:t>
            </w:r>
          </w:p>
        </w:tc>
      </w:tr>
      <w:tr>
        <w:trPr>
          <w:trHeight w:val="183"/>
        </w:trPr>
        <w:tc>
          <w:tcPr>
            <w:tcW w:w="920" w:type="dxa"/>
            <w:vAlign w:val="bottom"/>
          </w:tcPr>
          <w:p>
            <w:pPr>
              <w:spacing w:after="0"/>
              <w:rPr>
                <w:sz w:val="15"/>
                <w:szCs w:val="15"/>
                <w:color w:val="auto"/>
              </w:rPr>
            </w:pPr>
          </w:p>
        </w:tc>
        <w:tc>
          <w:tcPr>
            <w:tcW w:w="1880" w:type="dxa"/>
            <w:vAlign w:val="bottom"/>
            <w:tcBorders>
              <w:top w:val="single" w:sz="8" w:color="0000EE"/>
            </w:tcBorders>
            <w:gridSpan w:val="22"/>
          </w:tcPr>
          <w:p>
            <w:pPr>
              <w:spacing w:after="0" w:line="182"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Certificate</w:t>
              </w:r>
            </w:hyperlink>
          </w:p>
        </w:tc>
        <w:tc>
          <w:tcPr>
            <w:tcW w:w="24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120" w:type="dxa"/>
            <w:vAlign w:val="bottom"/>
            <w:gridSpan w:val="26"/>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Description of the</w:t>
              </w:r>
            </w:hyperlink>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196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001-37359</w:t>
            </w:r>
          </w:p>
        </w:tc>
        <w:tc>
          <w:tcPr>
            <w:tcW w:w="12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4.3</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20"/>
        </w:trPr>
        <w:tc>
          <w:tcPr>
            <w:tcW w:w="92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600" w:type="dxa"/>
            <w:vAlign w:val="bottom"/>
            <w:tcBorders>
              <w:bottom w:val="single" w:sz="8" w:color="0000EE"/>
            </w:tcBorders>
            <w:gridSpan w:val="11"/>
          </w:tcPr>
          <w:p>
            <w:pPr>
              <w:spacing w:after="0" w:line="182"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Registrant’s securities</w:t>
              </w:r>
            </w:hyperlink>
          </w:p>
        </w:tc>
        <w:tc>
          <w:tcPr>
            <w:tcW w:w="520" w:type="dxa"/>
            <w:vAlign w:val="bottom"/>
            <w:gridSpan w:val="15"/>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2120" w:type="dxa"/>
            <w:vAlign w:val="bottom"/>
            <w:gridSpan w:val="26"/>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registered pursuant to</w:t>
              </w:r>
            </w:hyperlink>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Section 12 of the</w:t>
              </w:r>
            </w:hyperlink>
          </w:p>
        </w:tc>
        <w:tc>
          <w:tcPr>
            <w:tcW w:w="260" w:type="dxa"/>
            <w:vAlign w:val="bottom"/>
            <w:tcBorders>
              <w:top w:val="single" w:sz="8" w:color="0000EE"/>
            </w:tcBorders>
            <w:gridSpan w:val="5"/>
          </w:tcPr>
          <w:p>
            <w:pPr>
              <w:spacing w:after="0"/>
              <w:rPr>
                <w:sz w:val="17"/>
                <w:szCs w:val="17"/>
                <w:color w:val="auto"/>
              </w:rPr>
            </w:pPr>
          </w:p>
        </w:tc>
        <w:tc>
          <w:tcPr>
            <w:tcW w:w="560" w:type="dxa"/>
            <w:vAlign w:val="bottom"/>
            <w:gridSpan w:val="16"/>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7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Securities and Exchange</w:t>
              </w:r>
            </w:hyperlink>
          </w:p>
        </w:tc>
        <w:tc>
          <w:tcPr>
            <w:tcW w:w="34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6"/>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Act of 1934, as amended</w:t>
              </w:r>
            </w:hyperlink>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2011 Stock Option and</w:t>
              </w:r>
            </w:hyperlink>
          </w:p>
        </w:tc>
        <w:tc>
          <w:tcPr>
            <w:tcW w:w="320" w:type="dxa"/>
            <w:vAlign w:val="bottom"/>
            <w:gridSpan w:val="6"/>
          </w:tcPr>
          <w:p>
            <w:pPr>
              <w:spacing w:after="0"/>
              <w:rPr>
                <w:sz w:val="22"/>
                <w:szCs w:val="22"/>
                <w:color w:val="auto"/>
              </w:rPr>
            </w:pP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5"/>
              </w:rPr>
              <w:t>S-1</w:t>
            </w:r>
          </w:p>
        </w:tc>
        <w:tc>
          <w:tcPr>
            <w:tcW w:w="196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8"/>
              </w:rPr>
              <w:t>333-202938</w:t>
            </w:r>
          </w:p>
        </w:tc>
        <w:tc>
          <w:tcPr>
            <w:tcW w:w="12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5"/>
              </w:rPr>
              <w:t>10.1</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March 23, 2015</w:t>
            </w:r>
          </w:p>
        </w:tc>
      </w:tr>
      <w:tr>
        <w:trPr>
          <w:trHeight w:val="183"/>
        </w:trPr>
        <w:tc>
          <w:tcPr>
            <w:tcW w:w="92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w w:val="93"/>
              </w:rPr>
            </w:pPr>
            <w:hyperlink r:id="rId139">
              <w:r>
                <w:rPr>
                  <w:rFonts w:ascii="Times New Roman" w:cs="Times New Roman" w:eastAsia="Times New Roman" w:hAnsi="Times New Roman"/>
                  <w:sz w:val="18"/>
                  <w:szCs w:val="18"/>
                  <w:color w:val="0000EE"/>
                  <w:w w:val="93"/>
                </w:rPr>
                <w:t>Grant Plan, as amended,</w:t>
              </w:r>
            </w:hyperlink>
          </w:p>
        </w:tc>
        <w:tc>
          <w:tcPr>
            <w:tcW w:w="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300" w:type="dxa"/>
            <w:vAlign w:val="bottom"/>
            <w:gridSpan w:val="5"/>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4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and forms of award</w:t>
              </w:r>
            </w:hyperlink>
          </w:p>
        </w:tc>
        <w:tc>
          <w:tcPr>
            <w:tcW w:w="700" w:type="dxa"/>
            <w:vAlign w:val="bottom"/>
            <w:gridSpan w:val="19"/>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6"/>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agreements thereunder</w:t>
              </w:r>
            </w:hyperlink>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2015 Stock Option and</w:t>
              </w:r>
            </w:hyperlink>
          </w:p>
        </w:tc>
        <w:tc>
          <w:tcPr>
            <w:tcW w:w="440" w:type="dxa"/>
            <w:vAlign w:val="bottom"/>
            <w:gridSpan w:val="11"/>
          </w:tcPr>
          <w:p>
            <w:pPr>
              <w:spacing w:after="0"/>
              <w:rPr>
                <w:sz w:val="24"/>
                <w:szCs w:val="24"/>
                <w:color w:val="auto"/>
              </w:rPr>
            </w:pP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196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001-37359</w:t>
            </w:r>
          </w:p>
        </w:tc>
        <w:tc>
          <w:tcPr>
            <w:tcW w:w="12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5"/>
              </w:rPr>
              <w:t>10.2</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83"/>
        </w:trPr>
        <w:tc>
          <w:tcPr>
            <w:tcW w:w="920" w:type="dxa"/>
            <w:vAlign w:val="bottom"/>
          </w:tcPr>
          <w:p>
            <w:pPr>
              <w:spacing w:after="0"/>
              <w:rPr>
                <w:sz w:val="15"/>
                <w:szCs w:val="15"/>
                <w:color w:val="auto"/>
              </w:rPr>
            </w:pPr>
          </w:p>
        </w:tc>
        <w:tc>
          <w:tcPr>
            <w:tcW w:w="1820" w:type="dxa"/>
            <w:vAlign w:val="bottom"/>
            <w:tcBorders>
              <w:bottom w:val="single" w:sz="8" w:color="0000EE"/>
            </w:tcBorders>
            <w:gridSpan w:val="21"/>
          </w:tcPr>
          <w:p>
            <w:pPr>
              <w:spacing w:after="0" w:line="182"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Incentive Plan and forms</w:t>
              </w:r>
            </w:hyperlink>
          </w:p>
        </w:tc>
        <w:tc>
          <w:tcPr>
            <w:tcW w:w="300" w:type="dxa"/>
            <w:vAlign w:val="bottom"/>
            <w:gridSpan w:val="5"/>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2120" w:type="dxa"/>
            <w:vAlign w:val="bottom"/>
            <w:gridSpan w:val="26"/>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of award agreements</w:t>
              </w:r>
            </w:hyperlink>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thereunder</w:t>
              </w:r>
            </w:hyperlink>
          </w:p>
        </w:tc>
        <w:tc>
          <w:tcPr>
            <w:tcW w:w="720" w:type="dxa"/>
            <w:vAlign w:val="bottom"/>
            <w:tcBorders>
              <w:top w:val="single" w:sz="8" w:color="0000EE"/>
            </w:tcBorders>
            <w:gridSpan w:val="5"/>
          </w:tcPr>
          <w:p>
            <w:pPr>
              <w:spacing w:after="0"/>
              <w:rPr>
                <w:sz w:val="17"/>
                <w:szCs w:val="17"/>
                <w:color w:val="auto"/>
              </w:rPr>
            </w:pPr>
          </w:p>
        </w:tc>
        <w:tc>
          <w:tcPr>
            <w:tcW w:w="620" w:type="dxa"/>
            <w:vAlign w:val="bottom"/>
            <w:gridSpan w:val="17"/>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tbl>
      <w:tblPr>
        <w:tblLayout w:type="fixed"/>
        <w:tblInd w:w="40" w:type="dxa"/>
        <w:tblCellMar>
          <w:top w:w="0" w:type="dxa"/>
          <w:left w:w="0" w:type="dxa"/>
          <w:bottom w:w="0" w:type="dxa"/>
          <w:right w:w="0" w:type="dxa"/>
        </w:tblCellMar>
      </w:tblPr>
      <w:tr>
        <w:trPr>
          <w:trHeight w:val="207"/>
        </w:trPr>
        <w:tc>
          <w:tcPr>
            <w:tcW w:w="306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938"/>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2015 Employee Stock</w:t>
              </w:r>
            </w:hyperlink>
          </w:p>
        </w:tc>
        <w:tc>
          <w:tcPr>
            <w:tcW w:w="500" w:type="dxa"/>
            <w:vAlign w:val="bottom"/>
            <w:gridSpan w:val="15"/>
          </w:tcPr>
          <w:p>
            <w:pPr>
              <w:spacing w:after="0"/>
              <w:rPr>
                <w:sz w:val="24"/>
                <w:szCs w:val="24"/>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001-37359</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10.3</w:t>
            </w:r>
          </w:p>
        </w:tc>
        <w:tc>
          <w:tcPr>
            <w:tcW w:w="2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Purchase Plan</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6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9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2020 Inducement Plan and</w:t>
              </w:r>
            </w:hyperlink>
          </w:p>
        </w:tc>
        <w:tc>
          <w:tcPr>
            <w:tcW w:w="180" w:type="dxa"/>
            <w:vAlign w:val="bottom"/>
          </w:tcPr>
          <w:p>
            <w:pPr>
              <w:spacing w:after="0"/>
              <w:rPr>
                <w:sz w:val="22"/>
                <w:szCs w:val="22"/>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S-8</w:t>
            </w:r>
          </w:p>
        </w:tc>
        <w:tc>
          <w:tcPr>
            <w:tcW w:w="1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333-238039</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99.1</w:t>
            </w:r>
          </w:p>
        </w:tc>
        <w:tc>
          <w:tcPr>
            <w:tcW w:w="2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May 6, 2020</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form of award agreements</w:t>
              </w:r>
            </w:hyperlink>
          </w:p>
        </w:tc>
        <w:tc>
          <w:tcPr>
            <w:tcW w:w="2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thereunder</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Lease Agreement, dated</w:t>
              </w:r>
            </w:hyperlink>
          </w:p>
        </w:tc>
        <w:tc>
          <w:tcPr>
            <w:tcW w:w="340" w:type="dxa"/>
            <w:vAlign w:val="bottom"/>
            <w:gridSpan w:val="8"/>
          </w:tcPr>
          <w:p>
            <w:pPr>
              <w:spacing w:after="0"/>
              <w:rPr>
                <w:sz w:val="22"/>
                <w:szCs w:val="22"/>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333-202938</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2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144">
              <w:r>
                <w:rPr>
                  <w:rFonts w:ascii="Times New Roman" w:cs="Times New Roman" w:eastAsia="Times New Roman" w:hAnsi="Times New Roman"/>
                  <w:sz w:val="18"/>
                  <w:szCs w:val="18"/>
                  <w:color w:val="0000EE"/>
                  <w:w w:val="98"/>
                </w:rPr>
                <w:t>February 11, 2015, by and</w:t>
              </w:r>
            </w:hyperlink>
          </w:p>
        </w:tc>
        <w:tc>
          <w:tcPr>
            <w:tcW w:w="2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between the Registrant and</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38 Sidney Street Limited</w:t>
              </w:r>
            </w:hyperlink>
          </w:p>
        </w:tc>
        <w:tc>
          <w:tcPr>
            <w:tcW w:w="120" w:type="dxa"/>
            <w:vAlign w:val="bottom"/>
            <w:tcBorders>
              <w:top w:val="single" w:sz="8" w:color="0000EE"/>
            </w:tcBorders>
            <w:gridSpan w:val="5"/>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44">
              <w:r>
                <w:rPr>
                  <w:rFonts w:ascii="Times New Roman" w:cs="Times New Roman" w:eastAsia="Times New Roman" w:hAnsi="Times New Roman"/>
                  <w:sz w:val="18"/>
                  <w:szCs w:val="18"/>
                  <w:color w:val="0000EE"/>
                  <w:w w:val="97"/>
                </w:rPr>
                <w:t>Partnership</w:t>
              </w:r>
            </w:hyperlink>
          </w:p>
        </w:tc>
        <w:tc>
          <w:tcPr>
            <w:tcW w:w="1300" w:type="dxa"/>
            <w:vAlign w:val="bottom"/>
            <w:gridSpan w:val="25"/>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9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First Amendment to Lease</w:t>
              </w:r>
            </w:hyperlink>
          </w:p>
        </w:tc>
        <w:tc>
          <w:tcPr>
            <w:tcW w:w="200" w:type="dxa"/>
            <w:vAlign w:val="bottom"/>
            <w:gridSpan w:val="2"/>
          </w:tcPr>
          <w:p>
            <w:pPr>
              <w:spacing w:after="0"/>
              <w:rPr>
                <w:sz w:val="22"/>
                <w:szCs w:val="22"/>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001-37359</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10.5</w:t>
            </w:r>
          </w:p>
        </w:tc>
        <w:tc>
          <w:tcPr>
            <w:tcW w:w="2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Agreement, dated January</w:t>
              </w:r>
            </w:hyperlink>
          </w:p>
        </w:tc>
        <w:tc>
          <w:tcPr>
            <w:tcW w:w="24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26, 2018, by and between</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the Registrant and 38</w:t>
              </w:r>
            </w:hyperlink>
          </w:p>
        </w:tc>
        <w:tc>
          <w:tcPr>
            <w:tcW w:w="300" w:type="dxa"/>
            <w:vAlign w:val="bottom"/>
            <w:tcBorders>
              <w:top w:val="single" w:sz="8" w:color="0000EE"/>
            </w:tcBorders>
            <w:gridSpan w:val="12"/>
          </w:tcPr>
          <w:p>
            <w:pPr>
              <w:spacing w:after="0"/>
              <w:rPr>
                <w:sz w:val="17"/>
                <w:szCs w:val="17"/>
                <w:color w:val="auto"/>
              </w:rPr>
            </w:pPr>
          </w:p>
        </w:tc>
        <w:tc>
          <w:tcPr>
            <w:tcW w:w="28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Sidney Street Limited</w:t>
              </w:r>
            </w:hyperlink>
          </w:p>
        </w:tc>
        <w:tc>
          <w:tcPr>
            <w:tcW w:w="540" w:type="dxa"/>
            <w:vAlign w:val="bottom"/>
            <w:gridSpan w:val="16"/>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45">
              <w:r>
                <w:rPr>
                  <w:rFonts w:ascii="Times New Roman" w:cs="Times New Roman" w:eastAsia="Times New Roman" w:hAnsi="Times New Roman"/>
                  <w:sz w:val="18"/>
                  <w:szCs w:val="18"/>
                  <w:color w:val="0000EE"/>
                  <w:w w:val="97"/>
                </w:rPr>
                <w:t>Partnership</w:t>
              </w:r>
            </w:hyperlink>
          </w:p>
        </w:tc>
        <w:tc>
          <w:tcPr>
            <w:tcW w:w="1300" w:type="dxa"/>
            <w:vAlign w:val="bottom"/>
            <w:gridSpan w:val="25"/>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120" w:type="dxa"/>
            <w:vAlign w:val="bottom"/>
            <w:gridSpan w:val="29"/>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Second Amendment to</w:t>
              </w:r>
            </w:hyperlink>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001-37359</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April 29,2021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Lease Agreement, dated</w:t>
              </w:r>
            </w:hyperlink>
          </w:p>
        </w:tc>
        <w:tc>
          <w:tcPr>
            <w:tcW w:w="36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April 6, 2021, by and</w:t>
              </w:r>
            </w:hyperlink>
          </w:p>
        </w:tc>
        <w:tc>
          <w:tcPr>
            <w:tcW w:w="58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between Blueprint</w:t>
              </w:r>
            </w:hyperlink>
          </w:p>
        </w:tc>
        <w:tc>
          <w:tcPr>
            <w:tcW w:w="780" w:type="dxa"/>
            <w:vAlign w:val="bottom"/>
            <w:gridSpan w:val="21"/>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Medicines Corporation</w:t>
              </w:r>
            </w:hyperlink>
          </w:p>
        </w:tc>
        <w:tc>
          <w:tcPr>
            <w:tcW w:w="46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and BRE-BMR 38</w:t>
              </w:r>
            </w:hyperlink>
          </w:p>
        </w:tc>
        <w:tc>
          <w:tcPr>
            <w:tcW w:w="780" w:type="dxa"/>
            <w:vAlign w:val="bottom"/>
            <w:gridSpan w:val="21"/>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SIDNEY LLC</w:t>
              </w:r>
            </w:hyperlink>
          </w:p>
        </w:tc>
        <w:tc>
          <w:tcPr>
            <w:tcW w:w="1080" w:type="dxa"/>
            <w:vAlign w:val="bottom"/>
            <w:gridSpan w:val="23"/>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5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Third Amendment to</w:t>
              </w:r>
            </w:hyperlink>
          </w:p>
        </w:tc>
        <w:tc>
          <w:tcPr>
            <w:tcW w:w="600" w:type="dxa"/>
            <w:vAlign w:val="bottom"/>
            <w:gridSpan w:val="18"/>
          </w:tcPr>
          <w:p>
            <w:pPr>
              <w:spacing w:after="0"/>
              <w:rPr>
                <w:sz w:val="21"/>
                <w:szCs w:val="21"/>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840" w:type="dxa"/>
            <w:vAlign w:val="bottom"/>
          </w:tcPr>
          <w:p>
            <w:pPr>
              <w:jc w:val="center"/>
              <w:ind w:left="51"/>
              <w:spacing w:after="0"/>
              <w:rPr>
                <w:sz w:val="20"/>
                <w:szCs w:val="20"/>
                <w:color w:val="auto"/>
              </w:rPr>
            </w:pPr>
            <w:r>
              <w:rPr>
                <w:rFonts w:ascii="Times New Roman" w:cs="Times New Roman" w:eastAsia="Times New Roman" w:hAnsi="Times New Roman"/>
                <w:sz w:val="16"/>
                <w:szCs w:val="16"/>
                <w:color w:val="auto"/>
              </w:rPr>
              <w:t>001-37359</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10.8</w:t>
            </w:r>
          </w:p>
        </w:tc>
        <w:tc>
          <w:tcPr>
            <w:tcW w:w="2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Lease Agreement, dated</w:t>
              </w:r>
            </w:hyperlink>
          </w:p>
        </w:tc>
        <w:tc>
          <w:tcPr>
            <w:tcW w:w="36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December 15, 2021, by</w:t>
              </w:r>
            </w:hyperlink>
          </w:p>
        </w:tc>
        <w:tc>
          <w:tcPr>
            <w:tcW w:w="44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and between Blueprint</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Medicines Corporation</w:t>
              </w:r>
            </w:hyperlink>
          </w:p>
        </w:tc>
        <w:tc>
          <w:tcPr>
            <w:tcW w:w="46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and BRE-BMR 38</w:t>
              </w:r>
            </w:hyperlink>
          </w:p>
        </w:tc>
        <w:tc>
          <w:tcPr>
            <w:tcW w:w="780" w:type="dxa"/>
            <w:vAlign w:val="bottom"/>
            <w:gridSpan w:val="21"/>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147">
              <w:r>
                <w:rPr>
                  <w:rFonts w:ascii="Times New Roman" w:cs="Times New Roman" w:eastAsia="Times New Roman" w:hAnsi="Times New Roman"/>
                  <w:sz w:val="18"/>
                  <w:szCs w:val="18"/>
                  <w:color w:val="0000EE"/>
                  <w:w w:val="97"/>
                </w:rPr>
                <w:t>SIDNEY LLC</w:t>
              </w:r>
            </w:hyperlink>
          </w:p>
        </w:tc>
        <w:tc>
          <w:tcPr>
            <w:tcW w:w="1080" w:type="dxa"/>
            <w:vAlign w:val="bottom"/>
            <w:gridSpan w:val="23"/>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5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Lease Agreement, dated</w:t>
              </w:r>
            </w:hyperlink>
          </w:p>
        </w:tc>
        <w:tc>
          <w:tcPr>
            <w:tcW w:w="360" w:type="dxa"/>
            <w:vAlign w:val="bottom"/>
            <w:gridSpan w:val="9"/>
          </w:tcPr>
          <w:p>
            <w:pPr>
              <w:spacing w:after="0"/>
              <w:rPr>
                <w:sz w:val="21"/>
                <w:szCs w:val="21"/>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001-37359</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May 3, 2017</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April 28, 2017, by and</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between the Registrant and</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UP 45/75 Sidney Street,</w:t>
              </w:r>
            </w:hyperlink>
          </w:p>
        </w:tc>
        <w:tc>
          <w:tcPr>
            <w:tcW w:w="200" w:type="dxa"/>
            <w:vAlign w:val="bottom"/>
            <w:tcBorders>
              <w:top w:val="single" w:sz="8" w:color="0000EE"/>
            </w:tcBorders>
            <w:gridSpan w:val="9"/>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48">
              <w:r>
                <w:rPr>
                  <w:rFonts w:ascii="Times New Roman" w:cs="Times New Roman" w:eastAsia="Times New Roman" w:hAnsi="Times New Roman"/>
                  <w:sz w:val="18"/>
                  <w:szCs w:val="18"/>
                  <w:color w:val="0000EE"/>
                  <w:w w:val="93"/>
                </w:rPr>
                <w:t>LLC</w:t>
              </w:r>
            </w:hyperlink>
          </w:p>
        </w:tc>
        <w:tc>
          <w:tcPr>
            <w:tcW w:w="1760" w:type="dxa"/>
            <w:vAlign w:val="bottom"/>
            <w:gridSpan w:val="28"/>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4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First Amendment of</w:t>
              </w:r>
            </w:hyperlink>
          </w:p>
        </w:tc>
        <w:tc>
          <w:tcPr>
            <w:tcW w:w="660" w:type="dxa"/>
            <w:vAlign w:val="bottom"/>
            <w:gridSpan w:val="19"/>
          </w:tcPr>
          <w:p>
            <w:pPr>
              <w:spacing w:after="0"/>
              <w:rPr>
                <w:sz w:val="22"/>
                <w:szCs w:val="22"/>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001-37359</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25, 2018</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Lease, dated September</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19, 2018, between</w:t>
              </w:r>
            </w:hyperlink>
          </w:p>
        </w:tc>
        <w:tc>
          <w:tcPr>
            <w:tcW w:w="380" w:type="dxa"/>
            <w:vAlign w:val="bottom"/>
            <w:tcBorders>
              <w:top w:val="single" w:sz="8" w:color="0000EE"/>
            </w:tcBorders>
            <w:gridSpan w:val="10"/>
          </w:tcPr>
          <w:p>
            <w:pPr>
              <w:spacing w:after="0"/>
              <w:rPr>
                <w:sz w:val="17"/>
                <w:szCs w:val="17"/>
                <w:color w:val="auto"/>
              </w:rPr>
            </w:pPr>
          </w:p>
        </w:tc>
        <w:tc>
          <w:tcPr>
            <w:tcW w:w="42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Blueprint Medicines</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Corporation and UP 45/75</w:t>
              </w:r>
            </w:hyperlink>
          </w:p>
        </w:tc>
        <w:tc>
          <w:tcPr>
            <w:tcW w:w="2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Sidney Street, LLC</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5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120" w:type="dxa"/>
            <w:vAlign w:val="bottom"/>
            <w:gridSpan w:val="29"/>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Amendment Agreement</w:t>
              </w:r>
            </w:hyperlink>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001-37359</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10.2</w:t>
            </w:r>
          </w:p>
        </w:tc>
        <w:tc>
          <w:tcPr>
            <w:tcW w:w="2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December 27, 2022</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gridSpan w:val="12"/>
            <w:shd w:val="clear" w:color="auto" w:fill="0000EE"/>
          </w:tcPr>
          <w:p>
            <w:pPr>
              <w:spacing w:after="0" w:line="20" w:lineRule="exact"/>
              <w:rPr>
                <w:sz w:val="1"/>
                <w:szCs w:val="1"/>
                <w:color w:val="auto"/>
              </w:rPr>
            </w:pPr>
          </w:p>
        </w:tc>
        <w:tc>
          <w:tcPr>
            <w:tcW w:w="10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dated as of December 23,</w:t>
              </w:r>
            </w:hyperlink>
          </w:p>
        </w:tc>
        <w:tc>
          <w:tcPr>
            <w:tcW w:w="28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2022 by and between the</w:t>
              </w:r>
            </w:hyperlink>
          </w:p>
        </w:tc>
        <w:tc>
          <w:tcPr>
            <w:tcW w:w="32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Registrant and Jeffrey W.</w:t>
              </w:r>
            </w:hyperlink>
          </w:p>
        </w:tc>
        <w:tc>
          <w:tcPr>
            <w:tcW w:w="28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50">
              <w:r>
                <w:rPr>
                  <w:rFonts w:ascii="Times New Roman" w:cs="Times New Roman" w:eastAsia="Times New Roman" w:hAnsi="Times New Roman"/>
                  <w:sz w:val="18"/>
                  <w:szCs w:val="18"/>
                  <w:color w:val="0000EE"/>
                  <w:w w:val="95"/>
                </w:rPr>
                <w:t>Albers</w:t>
              </w:r>
            </w:hyperlink>
          </w:p>
        </w:tc>
        <w:tc>
          <w:tcPr>
            <w:tcW w:w="1640" w:type="dxa"/>
            <w:vAlign w:val="bottom"/>
            <w:gridSpan w:val="27"/>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8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Employment Agreement,</w:t>
              </w:r>
            </w:hyperlink>
          </w:p>
        </w:tc>
        <w:tc>
          <w:tcPr>
            <w:tcW w:w="300" w:type="dxa"/>
            <w:vAlign w:val="bottom"/>
            <w:gridSpan w:val="6"/>
          </w:tcPr>
          <w:p>
            <w:pPr>
              <w:spacing w:after="0"/>
              <w:rPr>
                <w:sz w:val="22"/>
                <w:szCs w:val="22"/>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001-37359</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10.9</w:t>
            </w:r>
          </w:p>
        </w:tc>
        <w:tc>
          <w:tcPr>
            <w:tcW w:w="2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March 11, 2016</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dated March 10, 2016, by</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tcBorders>
              <w:right w:val="single" w:sz="8" w:color="0000EE"/>
            </w:tcBorders>
            <w:gridSpan w:val="14"/>
            <w:shd w:val="clear" w:color="auto" w:fill="0000EE"/>
          </w:tcPr>
          <w:p>
            <w:pPr>
              <w:spacing w:after="0" w:line="20" w:lineRule="exact"/>
              <w:rPr>
                <w:sz w:val="1"/>
                <w:szCs w:val="1"/>
                <w:color w:val="auto"/>
              </w:rPr>
            </w:pPr>
          </w:p>
        </w:tc>
        <w:tc>
          <w:tcPr>
            <w:tcW w:w="220" w:type="dxa"/>
            <w:vAlign w:val="bottom"/>
            <w:tcBorders>
              <w:left w:val="single" w:sz="8" w:color="0000EE"/>
            </w:tcBorders>
            <w:gridSpan w:val="10"/>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and between the Registrant</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and Kathryn Haviland</w:t>
              </w:r>
            </w:hyperlink>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jc w:val="right"/>
              <w:ind w:right="1131"/>
              <w:spacing w:after="0"/>
              <w:rPr>
                <w:sz w:val="20"/>
                <w:szCs w:val="20"/>
                <w:color w:val="auto"/>
              </w:rPr>
            </w:pPr>
            <w:r>
              <w:rPr>
                <w:rFonts w:ascii="Times New Roman" w:cs="Times New Roman" w:eastAsia="Times New Roman" w:hAnsi="Times New Roman"/>
                <w:sz w:val="18"/>
                <w:szCs w:val="18"/>
                <w:color w:val="auto"/>
              </w:rPr>
              <w:t>114</w:t>
            </w:r>
          </w:p>
        </w:tc>
        <w:tc>
          <w:tcPr>
            <w:tcW w:w="1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16" w:name="page117"/>
    <w:bookmarkEnd w:id="116"/>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9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120" w:type="dxa"/>
            <w:vAlign w:val="bottom"/>
            <w:gridSpan w:val="19"/>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First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10.2</w:t>
            </w:r>
          </w:p>
        </w:tc>
        <w:tc>
          <w:tcPr>
            <w:tcW w:w="17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February 5, 2019</w:t>
            </w: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dated January 30, 2019, by</w:t>
              </w:r>
            </w:hyperlink>
          </w:p>
        </w:tc>
        <w:tc>
          <w:tcPr>
            <w:tcW w:w="1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and between the Registrant</w:t>
              </w:r>
            </w:hyperlink>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and Kathryn Haviland</w:t>
              </w:r>
            </w:hyperlink>
          </w:p>
        </w:tc>
        <w:tc>
          <w:tcPr>
            <w:tcW w:w="520" w:type="dxa"/>
            <w:vAlign w:val="bottom"/>
            <w:gridSpan w:val="13"/>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9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120" w:type="dxa"/>
            <w:vAlign w:val="bottom"/>
            <w:gridSpan w:val="19"/>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Second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17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dated December 22, 2021,</w:t>
              </w:r>
            </w:hyperlink>
          </w:p>
        </w:tc>
        <w:tc>
          <w:tcPr>
            <w:tcW w:w="22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19"/>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7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Registrant and Kathryn</w:t>
              </w:r>
            </w:hyperlink>
          </w:p>
        </w:tc>
        <w:tc>
          <w:tcPr>
            <w:tcW w:w="420" w:type="dxa"/>
            <w:vAlign w:val="bottom"/>
            <w:gridSpan w:val="10"/>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53">
              <w:r>
                <w:rPr>
                  <w:rFonts w:ascii="Times New Roman" w:cs="Times New Roman" w:eastAsia="Times New Roman" w:hAnsi="Times New Roman"/>
                  <w:sz w:val="18"/>
                  <w:szCs w:val="18"/>
                  <w:color w:val="0000EE"/>
                  <w:w w:val="96"/>
                </w:rPr>
                <w:t>Haviland</w:t>
              </w:r>
            </w:hyperlink>
          </w:p>
        </w:tc>
        <w:tc>
          <w:tcPr>
            <w:tcW w:w="1460" w:type="dxa"/>
            <w:vAlign w:val="bottom"/>
            <w:gridSpan w:val="16"/>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120" w:type="dxa"/>
            <w:vAlign w:val="bottom"/>
            <w:gridSpan w:val="19"/>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First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120" w:type="dxa"/>
            <w:vAlign w:val="bottom"/>
            <w:gridSpan w:val="19"/>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Amended and Restated</w:t>
              </w:r>
            </w:hyperlink>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dated September 23, 2022,</w:t>
              </w:r>
            </w:hyperlink>
          </w:p>
        </w:tc>
        <w:tc>
          <w:tcPr>
            <w:tcW w:w="2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19"/>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7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Registrant and Kathryn</w:t>
              </w:r>
            </w:hyperlink>
          </w:p>
        </w:tc>
        <w:tc>
          <w:tcPr>
            <w:tcW w:w="420" w:type="dxa"/>
            <w:vAlign w:val="bottom"/>
            <w:gridSpan w:val="10"/>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54">
              <w:r>
                <w:rPr>
                  <w:rFonts w:ascii="Times New Roman" w:cs="Times New Roman" w:eastAsia="Times New Roman" w:hAnsi="Times New Roman"/>
                  <w:sz w:val="18"/>
                  <w:szCs w:val="18"/>
                  <w:color w:val="0000EE"/>
                  <w:w w:val="96"/>
                </w:rPr>
                <w:t>Haviland</w:t>
              </w:r>
            </w:hyperlink>
          </w:p>
        </w:tc>
        <w:tc>
          <w:tcPr>
            <w:tcW w:w="1460" w:type="dxa"/>
            <w:vAlign w:val="bottom"/>
            <w:gridSpan w:val="16"/>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120" w:type="dxa"/>
            <w:vAlign w:val="bottom"/>
            <w:gridSpan w:val="19"/>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Amended and Restated</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10.2</w:t>
            </w:r>
          </w:p>
        </w:tc>
        <w:tc>
          <w:tcPr>
            <w:tcW w:w="17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January 5, 2022</w:t>
            </w: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dated January 4, 2022 and</w:t>
              </w:r>
            </w:hyperlink>
          </w:p>
        </w:tc>
        <w:tc>
          <w:tcPr>
            <w:tcW w:w="2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effective as of April 4,</w:t>
              </w:r>
            </w:hyperlink>
          </w:p>
        </w:tc>
        <w:tc>
          <w:tcPr>
            <w:tcW w:w="48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2022, by and between the</w:t>
              </w:r>
            </w:hyperlink>
          </w:p>
        </w:tc>
        <w:tc>
          <w:tcPr>
            <w:tcW w:w="26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7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Registrant and Kathryn</w:t>
              </w:r>
            </w:hyperlink>
          </w:p>
        </w:tc>
        <w:tc>
          <w:tcPr>
            <w:tcW w:w="420" w:type="dxa"/>
            <w:vAlign w:val="bottom"/>
            <w:gridSpan w:val="10"/>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55">
              <w:r>
                <w:rPr>
                  <w:rFonts w:ascii="Times New Roman" w:cs="Times New Roman" w:eastAsia="Times New Roman" w:hAnsi="Times New Roman"/>
                  <w:sz w:val="18"/>
                  <w:szCs w:val="18"/>
                  <w:color w:val="0000EE"/>
                  <w:w w:val="96"/>
                </w:rPr>
                <w:t>Haviland</w:t>
              </w:r>
            </w:hyperlink>
          </w:p>
        </w:tc>
        <w:tc>
          <w:tcPr>
            <w:tcW w:w="1460" w:type="dxa"/>
            <w:vAlign w:val="bottom"/>
            <w:gridSpan w:val="16"/>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21"/>
                <w:szCs w:val="21"/>
                <w:color w:val="auto"/>
              </w:rPr>
            </w:pPr>
          </w:p>
        </w:tc>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10.3</w:t>
            </w:r>
          </w:p>
        </w:tc>
        <w:tc>
          <w:tcPr>
            <w:tcW w:w="17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November 10, 2016</w:t>
            </w:r>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dated September 6, 2016,</w:t>
              </w:r>
            </w:hyperlink>
          </w:p>
        </w:tc>
        <w:tc>
          <w:tcPr>
            <w:tcW w:w="28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19"/>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Registrant and Tracey L.</w:t>
              </w:r>
            </w:hyperlink>
          </w:p>
        </w:tc>
        <w:tc>
          <w:tcPr>
            <w:tcW w:w="34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56">
              <w:r>
                <w:rPr>
                  <w:rFonts w:ascii="Times New Roman" w:cs="Times New Roman" w:eastAsia="Times New Roman" w:hAnsi="Times New Roman"/>
                  <w:sz w:val="18"/>
                  <w:szCs w:val="18"/>
                  <w:color w:val="0000EE"/>
                  <w:w w:val="96"/>
                </w:rPr>
                <w:t>McCain</w:t>
              </w:r>
            </w:hyperlink>
          </w:p>
        </w:tc>
        <w:tc>
          <w:tcPr>
            <w:tcW w:w="1540" w:type="dxa"/>
            <w:vAlign w:val="bottom"/>
            <w:gridSpan w:val="17"/>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120" w:type="dxa"/>
            <w:vAlign w:val="bottom"/>
            <w:gridSpan w:val="19"/>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First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10.5</w:t>
            </w:r>
          </w:p>
        </w:tc>
        <w:tc>
          <w:tcPr>
            <w:tcW w:w="17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dated December 22, 2021,</w:t>
              </w:r>
            </w:hyperlink>
          </w:p>
        </w:tc>
        <w:tc>
          <w:tcPr>
            <w:tcW w:w="22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19"/>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Registrant and Tracey L.</w:t>
              </w:r>
            </w:hyperlink>
          </w:p>
        </w:tc>
        <w:tc>
          <w:tcPr>
            <w:tcW w:w="34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57">
              <w:r>
                <w:rPr>
                  <w:rFonts w:ascii="Times New Roman" w:cs="Times New Roman" w:eastAsia="Times New Roman" w:hAnsi="Times New Roman"/>
                  <w:sz w:val="18"/>
                  <w:szCs w:val="18"/>
                  <w:color w:val="0000EE"/>
                  <w:w w:val="96"/>
                </w:rPr>
                <w:t>McCain</w:t>
              </w:r>
            </w:hyperlink>
          </w:p>
        </w:tc>
        <w:tc>
          <w:tcPr>
            <w:tcW w:w="1540" w:type="dxa"/>
            <w:vAlign w:val="bottom"/>
            <w:gridSpan w:val="17"/>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120" w:type="dxa"/>
            <w:vAlign w:val="bottom"/>
            <w:gridSpan w:val="19"/>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Second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10.5</w:t>
            </w:r>
          </w:p>
        </w:tc>
        <w:tc>
          <w:tcPr>
            <w:tcW w:w="1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dated September 23, 2022,</w:t>
              </w:r>
            </w:hyperlink>
          </w:p>
        </w:tc>
        <w:tc>
          <w:tcPr>
            <w:tcW w:w="2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19"/>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Registrant and Tracey L.</w:t>
              </w:r>
            </w:hyperlink>
          </w:p>
        </w:tc>
        <w:tc>
          <w:tcPr>
            <w:tcW w:w="34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58">
              <w:r>
                <w:rPr>
                  <w:rFonts w:ascii="Times New Roman" w:cs="Times New Roman" w:eastAsia="Times New Roman" w:hAnsi="Times New Roman"/>
                  <w:sz w:val="18"/>
                  <w:szCs w:val="18"/>
                  <w:color w:val="0000EE"/>
                  <w:w w:val="96"/>
                </w:rPr>
                <w:t>McCain</w:t>
              </w:r>
            </w:hyperlink>
          </w:p>
        </w:tc>
        <w:tc>
          <w:tcPr>
            <w:tcW w:w="1540" w:type="dxa"/>
            <w:vAlign w:val="bottom"/>
            <w:gridSpan w:val="17"/>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21"/>
                <w:szCs w:val="21"/>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November 22, 2017</w:t>
            </w:r>
          </w:p>
        </w:tc>
      </w:tr>
      <w:tr>
        <w:trPr>
          <w:trHeight w:val="196"/>
        </w:trPr>
        <w:tc>
          <w:tcPr>
            <w:tcW w:w="920" w:type="dxa"/>
            <w:vAlign w:val="bottom"/>
          </w:tcPr>
          <w:p>
            <w:pPr>
              <w:spacing w:after="0"/>
              <w:rPr>
                <w:sz w:val="17"/>
                <w:szCs w:val="17"/>
                <w:color w:val="auto"/>
              </w:rPr>
            </w:pPr>
          </w:p>
        </w:tc>
        <w:tc>
          <w:tcPr>
            <w:tcW w:w="2120" w:type="dxa"/>
            <w:vAlign w:val="bottom"/>
            <w:gridSpan w:val="19"/>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dated November 22, 2017,</w:t>
              </w:r>
            </w:hyperlink>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by and between the</w:t>
              </w:r>
            </w:hyperlink>
          </w:p>
        </w:tc>
        <w:tc>
          <w:tcPr>
            <w:tcW w:w="22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Registrant and Michael</w:t>
              </w:r>
            </w:hyperlink>
          </w:p>
        </w:tc>
        <w:tc>
          <w:tcPr>
            <w:tcW w:w="440" w:type="dxa"/>
            <w:vAlign w:val="bottom"/>
            <w:gridSpan w:val="11"/>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59">
              <w:r>
                <w:rPr>
                  <w:rFonts w:ascii="Times New Roman" w:cs="Times New Roman" w:eastAsia="Times New Roman" w:hAnsi="Times New Roman"/>
                  <w:sz w:val="18"/>
                  <w:szCs w:val="18"/>
                  <w:color w:val="0000EE"/>
                  <w:w w:val="97"/>
                </w:rPr>
                <w:t>Landsittel</w:t>
              </w:r>
            </w:hyperlink>
          </w:p>
        </w:tc>
        <w:tc>
          <w:tcPr>
            <w:tcW w:w="1400" w:type="dxa"/>
            <w:vAlign w:val="bottom"/>
            <w:gridSpan w:val="15"/>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2120" w:type="dxa"/>
            <w:vAlign w:val="bottom"/>
            <w:gridSpan w:val="19"/>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First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17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February 5, 2019</w:t>
            </w:r>
          </w:p>
        </w:tc>
      </w:tr>
      <w:tr>
        <w:trPr>
          <w:trHeight w:val="20"/>
        </w:trPr>
        <w:tc>
          <w:tcPr>
            <w:tcW w:w="92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dated January 30, 2019, by</w:t>
              </w:r>
            </w:hyperlink>
          </w:p>
        </w:tc>
        <w:tc>
          <w:tcPr>
            <w:tcW w:w="1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and between the Registrant</w:t>
              </w:r>
            </w:hyperlink>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r:id="rId160">
              <w:r>
                <w:rPr>
                  <w:rFonts w:ascii="Times New Roman" w:cs="Times New Roman" w:eastAsia="Times New Roman" w:hAnsi="Times New Roman"/>
                  <w:sz w:val="18"/>
                  <w:szCs w:val="18"/>
                  <w:color w:val="0000EE"/>
                  <w:w w:val="96"/>
                </w:rPr>
                <w:t>and Michael Landsittel</w:t>
              </w:r>
            </w:hyperlink>
          </w:p>
        </w:tc>
        <w:tc>
          <w:tcPr>
            <w:tcW w:w="48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17" w:name="page118"/>
    <w:bookmarkEnd w:id="117"/>
    <w:tbl>
      <w:tblPr>
        <w:tblLayout w:type="fixed"/>
        <w:tblInd w:w="60" w:type="dxa"/>
        <w:tblCellMar>
          <w:top w:w="0" w:type="dxa"/>
          <w:left w:w="0" w:type="dxa"/>
          <w:bottom w:w="0" w:type="dxa"/>
          <w:right w:w="0" w:type="dxa"/>
        </w:tblCellMar>
      </w:tblPr>
      <w:tr>
        <w:trPr>
          <w:trHeight w:val="207"/>
        </w:trPr>
        <w:tc>
          <w:tcPr>
            <w:tcW w:w="3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9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Second Amendment to</w:t>
              </w:r>
            </w:hyperlink>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9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Employment Agreement,</w:t>
              </w:r>
            </w:hyperlink>
          </w:p>
        </w:tc>
        <w:tc>
          <w:tcPr>
            <w:tcW w:w="30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dated December 22, 2021,</w:t>
              </w:r>
            </w:hyperlink>
          </w:p>
        </w:tc>
        <w:tc>
          <w:tcPr>
            <w:tcW w:w="24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by and between the</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Registrant and Michael</w:t>
              </w:r>
            </w:hyperlink>
          </w:p>
        </w:tc>
        <w:tc>
          <w:tcPr>
            <w:tcW w:w="460" w:type="dxa"/>
            <w:vAlign w:val="bottom"/>
            <w:gridSpan w:val="11"/>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62">
              <w:r>
                <w:rPr>
                  <w:rFonts w:ascii="Times New Roman" w:cs="Times New Roman" w:eastAsia="Times New Roman" w:hAnsi="Times New Roman"/>
                  <w:sz w:val="18"/>
                  <w:szCs w:val="18"/>
                  <w:color w:val="0000EE"/>
                  <w:w w:val="97"/>
                </w:rPr>
                <w:t>Landsittel</w:t>
              </w:r>
            </w:hyperlink>
          </w:p>
        </w:tc>
        <w:tc>
          <w:tcPr>
            <w:tcW w:w="1420" w:type="dxa"/>
            <w:vAlign w:val="bottom"/>
            <w:gridSpan w:val="18"/>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5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Third Amendment to</w:t>
              </w:r>
            </w:hyperlink>
          </w:p>
        </w:tc>
        <w:tc>
          <w:tcPr>
            <w:tcW w:w="620" w:type="dxa"/>
            <w:vAlign w:val="bottom"/>
            <w:gridSpan w:val="13"/>
          </w:tcPr>
          <w:p>
            <w:pPr>
              <w:spacing w:after="0"/>
              <w:rPr>
                <w:sz w:val="21"/>
                <w:szCs w:val="21"/>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Employment Agreement,</w:t>
              </w:r>
            </w:hyperlink>
          </w:p>
        </w:tc>
        <w:tc>
          <w:tcPr>
            <w:tcW w:w="30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dated September 23, 2022,</w:t>
              </w:r>
            </w:hyperlink>
          </w:p>
        </w:tc>
        <w:tc>
          <w:tcPr>
            <w:tcW w:w="22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by and between the</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Registrant and Michael</w:t>
              </w:r>
            </w:hyperlink>
          </w:p>
        </w:tc>
        <w:tc>
          <w:tcPr>
            <w:tcW w:w="460" w:type="dxa"/>
            <w:vAlign w:val="bottom"/>
            <w:gridSpan w:val="11"/>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63">
              <w:r>
                <w:rPr>
                  <w:rFonts w:ascii="Times New Roman" w:cs="Times New Roman" w:eastAsia="Times New Roman" w:hAnsi="Times New Roman"/>
                  <w:sz w:val="18"/>
                  <w:szCs w:val="18"/>
                  <w:color w:val="0000EE"/>
                  <w:w w:val="97"/>
                </w:rPr>
                <w:t>Landsittel</w:t>
              </w:r>
            </w:hyperlink>
          </w:p>
        </w:tc>
        <w:tc>
          <w:tcPr>
            <w:tcW w:w="1420" w:type="dxa"/>
            <w:vAlign w:val="bottom"/>
            <w:gridSpan w:val="18"/>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Employment Agreement,</w:t>
              </w:r>
            </w:hyperlink>
          </w:p>
        </w:tc>
        <w:tc>
          <w:tcPr>
            <w:tcW w:w="320" w:type="dxa"/>
            <w:vAlign w:val="bottom"/>
            <w:gridSpan w:val="7"/>
          </w:tcPr>
          <w:p>
            <w:pPr>
              <w:spacing w:after="0"/>
              <w:rPr>
                <w:sz w:val="21"/>
                <w:szCs w:val="21"/>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October 29, 2018</w:t>
            </w: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dated October 29, 2018,</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7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by and between the</w:t>
              </w:r>
            </w:hyperlink>
          </w:p>
        </w:tc>
        <w:tc>
          <w:tcPr>
            <w:tcW w:w="420" w:type="dxa"/>
            <w:vAlign w:val="bottom"/>
            <w:gridSpan w:val="10"/>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Registrant and Christina</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64">
              <w:r>
                <w:rPr>
                  <w:rFonts w:ascii="Times New Roman" w:cs="Times New Roman" w:eastAsia="Times New Roman" w:hAnsi="Times New Roman"/>
                  <w:sz w:val="18"/>
                  <w:szCs w:val="18"/>
                  <w:color w:val="0000EE"/>
                  <w:w w:val="94"/>
                </w:rPr>
                <w:t>Rossi</w:t>
              </w:r>
            </w:hyperlink>
          </w:p>
        </w:tc>
        <w:tc>
          <w:tcPr>
            <w:tcW w:w="1340" w:type="dxa"/>
            <w:vAlign w:val="bottom"/>
            <w:tcBorders>
              <w:top w:val="single" w:sz="8" w:color="0000EE"/>
            </w:tcBorders>
            <w:gridSpan w:val="11"/>
          </w:tcPr>
          <w:p>
            <w:pPr>
              <w:spacing w:after="0"/>
              <w:rPr>
                <w:sz w:val="17"/>
                <w:szCs w:val="17"/>
                <w:color w:val="auto"/>
              </w:rPr>
            </w:pPr>
          </w:p>
        </w:tc>
        <w:tc>
          <w:tcPr>
            <w:tcW w:w="400" w:type="dxa"/>
            <w:vAlign w:val="bottom"/>
            <w:gridSpan w:val="9"/>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First Amendment to</w:t>
              </w:r>
            </w:hyperlink>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9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Employment Agreement,</w:t>
              </w:r>
            </w:hyperlink>
          </w:p>
        </w:tc>
        <w:tc>
          <w:tcPr>
            <w:tcW w:w="30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dated December 22, 2021,</w:t>
              </w:r>
            </w:hyperlink>
          </w:p>
        </w:tc>
        <w:tc>
          <w:tcPr>
            <w:tcW w:w="24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by and between the</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Registrant and Christina</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65">
              <w:r>
                <w:rPr>
                  <w:rFonts w:ascii="Times New Roman" w:cs="Times New Roman" w:eastAsia="Times New Roman" w:hAnsi="Times New Roman"/>
                  <w:sz w:val="18"/>
                  <w:szCs w:val="18"/>
                  <w:color w:val="0000EE"/>
                  <w:w w:val="94"/>
                </w:rPr>
                <w:t>Rossi</w:t>
              </w:r>
            </w:hyperlink>
          </w:p>
        </w:tc>
        <w:tc>
          <w:tcPr>
            <w:tcW w:w="1340" w:type="dxa"/>
            <w:vAlign w:val="bottom"/>
            <w:tcBorders>
              <w:top w:val="single" w:sz="8" w:color="0000EE"/>
            </w:tcBorders>
            <w:gridSpan w:val="11"/>
          </w:tcPr>
          <w:p>
            <w:pPr>
              <w:spacing w:after="0"/>
              <w:rPr>
                <w:sz w:val="17"/>
                <w:szCs w:val="17"/>
                <w:color w:val="auto"/>
              </w:rPr>
            </w:pPr>
          </w:p>
        </w:tc>
        <w:tc>
          <w:tcPr>
            <w:tcW w:w="400" w:type="dxa"/>
            <w:vAlign w:val="bottom"/>
            <w:gridSpan w:val="9"/>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Amended and Restated</w:t>
              </w:r>
            </w:hyperlink>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January 5, 2022</w:t>
            </w:r>
          </w:p>
        </w:tc>
      </w:tr>
      <w:tr>
        <w:trPr>
          <w:trHeight w:val="20"/>
        </w:trPr>
        <w:tc>
          <w:tcPr>
            <w:tcW w:w="9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Employment Agreement,</w:t>
              </w:r>
            </w:hyperlink>
          </w:p>
        </w:tc>
        <w:tc>
          <w:tcPr>
            <w:tcW w:w="30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66">
              <w:r>
                <w:rPr>
                  <w:rFonts w:ascii="Times New Roman" w:cs="Times New Roman" w:eastAsia="Times New Roman" w:hAnsi="Times New Roman"/>
                  <w:sz w:val="18"/>
                  <w:szCs w:val="18"/>
                  <w:color w:val="0000EE"/>
                  <w:w w:val="98"/>
                </w:rPr>
                <w:t>dated January 4, 2022 and</w:t>
              </w:r>
            </w:hyperlink>
          </w:p>
        </w:tc>
        <w:tc>
          <w:tcPr>
            <w:tcW w:w="260" w:type="dxa"/>
            <w:vAlign w:val="bottom"/>
            <w:gridSpan w:val="4"/>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66">
              <w:r>
                <w:rPr>
                  <w:rFonts w:ascii="Times New Roman" w:cs="Times New Roman" w:eastAsia="Times New Roman" w:hAnsi="Times New Roman"/>
                  <w:sz w:val="18"/>
                  <w:szCs w:val="18"/>
                  <w:color w:val="0000EE"/>
                  <w:w w:val="98"/>
                </w:rPr>
                <w:t>effective as of April 4,</w:t>
              </w:r>
            </w:hyperlink>
          </w:p>
        </w:tc>
        <w:tc>
          <w:tcPr>
            <w:tcW w:w="500" w:type="dxa"/>
            <w:vAlign w:val="bottom"/>
            <w:gridSpan w:val="12"/>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2022, by and between the</w:t>
              </w:r>
            </w:hyperlink>
          </w:p>
        </w:tc>
        <w:tc>
          <w:tcPr>
            <w:tcW w:w="280" w:type="dxa"/>
            <w:vAlign w:val="bottom"/>
            <w:gridSpan w:val="5"/>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Registrant and Christina</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66">
              <w:r>
                <w:rPr>
                  <w:rFonts w:ascii="Times New Roman" w:cs="Times New Roman" w:eastAsia="Times New Roman" w:hAnsi="Times New Roman"/>
                  <w:sz w:val="18"/>
                  <w:szCs w:val="18"/>
                  <w:color w:val="0000EE"/>
                  <w:w w:val="94"/>
                </w:rPr>
                <w:t>Rossi</w:t>
              </w:r>
            </w:hyperlink>
          </w:p>
        </w:tc>
        <w:tc>
          <w:tcPr>
            <w:tcW w:w="1340" w:type="dxa"/>
            <w:vAlign w:val="bottom"/>
            <w:tcBorders>
              <w:top w:val="single" w:sz="8" w:color="0000EE"/>
            </w:tcBorders>
            <w:gridSpan w:val="11"/>
          </w:tcPr>
          <w:p>
            <w:pPr>
              <w:spacing w:after="0"/>
              <w:rPr>
                <w:sz w:val="17"/>
                <w:szCs w:val="17"/>
                <w:color w:val="auto"/>
              </w:rPr>
            </w:pPr>
          </w:p>
        </w:tc>
        <w:tc>
          <w:tcPr>
            <w:tcW w:w="400" w:type="dxa"/>
            <w:vAlign w:val="bottom"/>
            <w:gridSpan w:val="9"/>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First Amendment to</w:t>
              </w:r>
            </w:hyperlink>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Amended and Restated</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Employment Agreement,</w:t>
              </w:r>
            </w:hyperlink>
          </w:p>
        </w:tc>
        <w:tc>
          <w:tcPr>
            <w:tcW w:w="30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67">
              <w:r>
                <w:rPr>
                  <w:rFonts w:ascii="Times New Roman" w:cs="Times New Roman" w:eastAsia="Times New Roman" w:hAnsi="Times New Roman"/>
                  <w:sz w:val="18"/>
                  <w:szCs w:val="18"/>
                  <w:color w:val="0000EE"/>
                  <w:w w:val="98"/>
                </w:rPr>
                <w:t>dated September 23, 2022,</w:t>
              </w:r>
            </w:hyperlink>
          </w:p>
        </w:tc>
        <w:tc>
          <w:tcPr>
            <w:tcW w:w="22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by and between the</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Registrant and Christina</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67">
              <w:r>
                <w:rPr>
                  <w:rFonts w:ascii="Times New Roman" w:cs="Times New Roman" w:eastAsia="Times New Roman" w:hAnsi="Times New Roman"/>
                  <w:sz w:val="18"/>
                  <w:szCs w:val="18"/>
                  <w:color w:val="0000EE"/>
                  <w:w w:val="94"/>
                </w:rPr>
                <w:t>Rossi</w:t>
              </w:r>
            </w:hyperlink>
          </w:p>
        </w:tc>
        <w:tc>
          <w:tcPr>
            <w:tcW w:w="1340" w:type="dxa"/>
            <w:vAlign w:val="bottom"/>
            <w:tcBorders>
              <w:top w:val="single" w:sz="8" w:color="0000EE"/>
            </w:tcBorders>
            <w:gridSpan w:val="11"/>
          </w:tcPr>
          <w:p>
            <w:pPr>
              <w:spacing w:after="0"/>
              <w:rPr>
                <w:sz w:val="17"/>
                <w:szCs w:val="17"/>
                <w:color w:val="auto"/>
              </w:rPr>
            </w:pPr>
          </w:p>
        </w:tc>
        <w:tc>
          <w:tcPr>
            <w:tcW w:w="400" w:type="dxa"/>
            <w:vAlign w:val="bottom"/>
            <w:gridSpan w:val="9"/>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68">
              <w:r>
                <w:rPr>
                  <w:rFonts w:ascii="Times New Roman" w:cs="Times New Roman" w:eastAsia="Times New Roman" w:hAnsi="Times New Roman"/>
                  <w:sz w:val="18"/>
                  <w:szCs w:val="18"/>
                  <w:color w:val="0000EE"/>
                  <w:w w:val="98"/>
                </w:rPr>
                <w:t>Employment Agreement,</w:t>
              </w:r>
            </w:hyperlink>
          </w:p>
        </w:tc>
        <w:tc>
          <w:tcPr>
            <w:tcW w:w="320" w:type="dxa"/>
            <w:vAlign w:val="bottom"/>
            <w:gridSpan w:val="7"/>
          </w:tcPr>
          <w:p>
            <w:pPr>
              <w:spacing w:after="0"/>
              <w:rPr>
                <w:sz w:val="21"/>
                <w:szCs w:val="21"/>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March 8, 2019</w:t>
            </w:r>
          </w:p>
        </w:tc>
      </w:tr>
      <w:tr>
        <w:trPr>
          <w:trHeight w:val="196"/>
        </w:trPr>
        <w:tc>
          <w:tcPr>
            <w:tcW w:w="920" w:type="dxa"/>
            <w:vAlign w:val="bottom"/>
          </w:tcPr>
          <w:p>
            <w:pPr>
              <w:spacing w:after="0"/>
              <w:rPr>
                <w:sz w:val="17"/>
                <w:szCs w:val="17"/>
                <w:color w:val="auto"/>
              </w:rPr>
            </w:pPr>
          </w:p>
        </w:tc>
        <w:tc>
          <w:tcPr>
            <w:tcW w:w="17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68">
              <w:r>
                <w:rPr>
                  <w:rFonts w:ascii="Times New Roman" w:cs="Times New Roman" w:eastAsia="Times New Roman" w:hAnsi="Times New Roman"/>
                  <w:sz w:val="18"/>
                  <w:szCs w:val="18"/>
                  <w:color w:val="0000EE"/>
                  <w:w w:val="98"/>
                </w:rPr>
                <w:t>dated March 6, 2019, by</w:t>
              </w:r>
            </w:hyperlink>
          </w:p>
        </w:tc>
        <w:tc>
          <w:tcPr>
            <w:tcW w:w="380" w:type="dxa"/>
            <w:vAlign w:val="bottom"/>
            <w:gridSpan w:val="8"/>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and between the Registrant</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68">
              <w:r>
                <w:rPr>
                  <w:rFonts w:ascii="Times New Roman" w:cs="Times New Roman" w:eastAsia="Times New Roman" w:hAnsi="Times New Roman"/>
                  <w:sz w:val="18"/>
                  <w:szCs w:val="18"/>
                  <w:color w:val="0000EE"/>
                  <w:w w:val="98"/>
                </w:rPr>
                <w:t>and Ariel Hurley</w:t>
              </w:r>
            </w:hyperlink>
          </w:p>
        </w:tc>
        <w:tc>
          <w:tcPr>
            <w:tcW w:w="720" w:type="dxa"/>
            <w:vAlign w:val="bottom"/>
            <w:tcBorders>
              <w:top w:val="single" w:sz="8" w:color="0000EE"/>
            </w:tcBorders>
            <w:gridSpan w:val="16"/>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First Amendment to</w:t>
              </w:r>
            </w:hyperlink>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10.11</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9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Employment Agreement,</w:t>
              </w:r>
            </w:hyperlink>
          </w:p>
        </w:tc>
        <w:tc>
          <w:tcPr>
            <w:tcW w:w="30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dated December 22, 2021,</w:t>
              </w:r>
            </w:hyperlink>
          </w:p>
        </w:tc>
        <w:tc>
          <w:tcPr>
            <w:tcW w:w="24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by and between the</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69">
              <w:r>
                <w:rPr>
                  <w:rFonts w:ascii="Times New Roman" w:cs="Times New Roman" w:eastAsia="Times New Roman" w:hAnsi="Times New Roman"/>
                  <w:sz w:val="18"/>
                  <w:szCs w:val="18"/>
                  <w:color w:val="0000EE"/>
                  <w:w w:val="98"/>
                </w:rPr>
                <w:t>Registrant and Ariel</w:t>
              </w:r>
            </w:hyperlink>
          </w:p>
        </w:tc>
        <w:tc>
          <w:tcPr>
            <w:tcW w:w="680" w:type="dxa"/>
            <w:vAlign w:val="bottom"/>
            <w:gridSpan w:val="14"/>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69">
              <w:r>
                <w:rPr>
                  <w:rFonts w:ascii="Times New Roman" w:cs="Times New Roman" w:eastAsia="Times New Roman" w:hAnsi="Times New Roman"/>
                  <w:sz w:val="18"/>
                  <w:szCs w:val="18"/>
                  <w:color w:val="0000EE"/>
                  <w:w w:val="95"/>
                </w:rPr>
                <w:t>Hurley</w:t>
              </w:r>
            </w:hyperlink>
          </w:p>
        </w:tc>
        <w:tc>
          <w:tcPr>
            <w:tcW w:w="1640" w:type="dxa"/>
            <w:vAlign w:val="bottom"/>
            <w:gridSpan w:val="19"/>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2140" w:type="dxa"/>
            <w:vAlign w:val="bottom"/>
            <w:gridSpan w:val="22"/>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Second Amendment to</w:t>
              </w:r>
            </w:hyperlink>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10.10</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20" w:type="dxa"/>
            <w:vAlign w:val="bottom"/>
          </w:tcPr>
          <w:p>
            <w:pPr>
              <w:spacing w:after="0" w:line="20" w:lineRule="exact"/>
              <w:rPr>
                <w:sz w:val="1"/>
                <w:szCs w:val="1"/>
                <w:color w:val="auto"/>
              </w:rPr>
            </w:pPr>
          </w:p>
        </w:tc>
        <w:tc>
          <w:tcPr>
            <w:tcW w:w="1640" w:type="dxa"/>
            <w:vAlign w:val="bottom"/>
            <w:tcBorders>
              <w:right w:val="single" w:sz="8" w:color="0000EE"/>
            </w:tcBorders>
            <w:gridSpan w:val="10"/>
            <w:shd w:val="clear" w:color="auto" w:fill="0000EE"/>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Employment Agreement,</w:t>
              </w:r>
            </w:hyperlink>
          </w:p>
        </w:tc>
        <w:tc>
          <w:tcPr>
            <w:tcW w:w="30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dated September 23, 2022,</w:t>
              </w:r>
            </w:hyperlink>
          </w:p>
        </w:tc>
        <w:tc>
          <w:tcPr>
            <w:tcW w:w="22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40" w:type="dxa"/>
            <w:vAlign w:val="bottom"/>
            <w:gridSpan w:val="22"/>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by and between the</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760" w:type="dxa"/>
            <w:vAlign w:val="bottom"/>
            <w:gridSpan w:val="1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Registrant and Ariel</w:t>
              </w:r>
            </w:hyperlink>
          </w:p>
        </w:tc>
        <w:tc>
          <w:tcPr>
            <w:tcW w:w="680" w:type="dxa"/>
            <w:vAlign w:val="bottom"/>
            <w:gridSpan w:val="14"/>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70">
              <w:r>
                <w:rPr>
                  <w:rFonts w:ascii="Times New Roman" w:cs="Times New Roman" w:eastAsia="Times New Roman" w:hAnsi="Times New Roman"/>
                  <w:sz w:val="18"/>
                  <w:szCs w:val="18"/>
                  <w:color w:val="0000EE"/>
                  <w:w w:val="95"/>
                </w:rPr>
                <w:t>Hurley</w:t>
              </w:r>
            </w:hyperlink>
          </w:p>
        </w:tc>
        <w:tc>
          <w:tcPr>
            <w:tcW w:w="1640" w:type="dxa"/>
            <w:vAlign w:val="bottom"/>
            <w:gridSpan w:val="19"/>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18" w:name="page119"/>
    <w:bookmarkEnd w:id="118"/>
    <w:tbl>
      <w:tblPr>
        <w:tblLayout w:type="fixed"/>
        <w:tblInd w:w="40" w:type="dxa"/>
        <w:tblCellMar>
          <w:top w:w="0" w:type="dxa"/>
          <w:left w:w="0" w:type="dxa"/>
          <w:bottom w:w="0" w:type="dxa"/>
          <w:right w:w="0" w:type="dxa"/>
        </w:tblCellMar>
      </w:tblPr>
      <w:tr>
        <w:trPr>
          <w:trHeight w:val="207"/>
        </w:trPr>
        <w:tc>
          <w:tcPr>
            <w:tcW w:w="306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938"/>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5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Third Amendment to</w:t>
              </w:r>
            </w:hyperlink>
          </w:p>
        </w:tc>
        <w:tc>
          <w:tcPr>
            <w:tcW w:w="600" w:type="dxa"/>
            <w:vAlign w:val="bottom"/>
            <w:gridSpan w:val="12"/>
          </w:tcPr>
          <w:p>
            <w:pPr>
              <w:spacing w:after="0"/>
              <w:rPr>
                <w:sz w:val="24"/>
                <w:szCs w:val="24"/>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10.39</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Employment Agreement,</w:t>
              </w:r>
            </w:hyperlink>
          </w:p>
        </w:tc>
        <w:tc>
          <w:tcPr>
            <w:tcW w:w="30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dated February 15, 2023,</w:t>
              </w:r>
            </w:hyperlink>
          </w:p>
        </w:tc>
        <w:tc>
          <w:tcPr>
            <w:tcW w:w="32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effective as of January 1,</w:t>
              </w:r>
            </w:hyperlink>
          </w:p>
        </w:tc>
        <w:tc>
          <w:tcPr>
            <w:tcW w:w="32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2023, by and between the</w:t>
              </w:r>
            </w:hyperlink>
          </w:p>
        </w:tc>
        <w:tc>
          <w:tcPr>
            <w:tcW w:w="26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Registrant and Ariel</w:t>
              </w:r>
            </w:hyperlink>
          </w:p>
        </w:tc>
        <w:tc>
          <w:tcPr>
            <w:tcW w:w="66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72">
              <w:r>
                <w:rPr>
                  <w:rFonts w:ascii="Times New Roman" w:cs="Times New Roman" w:eastAsia="Times New Roman" w:hAnsi="Times New Roman"/>
                  <w:sz w:val="18"/>
                  <w:szCs w:val="18"/>
                  <w:color w:val="0000EE"/>
                  <w:w w:val="95"/>
                </w:rPr>
                <w:t>Hurley</w:t>
              </w:r>
            </w:hyperlink>
          </w:p>
        </w:tc>
        <w:tc>
          <w:tcPr>
            <w:tcW w:w="162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5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8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Employment Agreement,</w:t>
              </w:r>
            </w:hyperlink>
          </w:p>
        </w:tc>
        <w:tc>
          <w:tcPr>
            <w:tcW w:w="280" w:type="dxa"/>
            <w:vAlign w:val="bottom"/>
            <w:gridSpan w:val="6"/>
          </w:tcPr>
          <w:p>
            <w:pPr>
              <w:spacing w:after="0"/>
              <w:rPr>
                <w:sz w:val="21"/>
                <w:szCs w:val="21"/>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10.19</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dated November 22, 2017,</w:t>
              </w:r>
            </w:hyperlink>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by and between the</w:t>
              </w:r>
            </w:hyperlink>
          </w:p>
        </w:tc>
        <w:tc>
          <w:tcPr>
            <w:tcW w:w="2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Registrant and Debra</w:t>
              </w:r>
            </w:hyperlink>
          </w:p>
        </w:tc>
        <w:tc>
          <w:tcPr>
            <w:tcW w:w="5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Durso-Bumpus, as</w:t>
              </w:r>
            </w:hyperlink>
          </w:p>
        </w:tc>
        <w:tc>
          <w:tcPr>
            <w:tcW w:w="740" w:type="dxa"/>
            <w:vAlign w:val="bottom"/>
            <w:gridSpan w:val="16"/>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amended by the First</w:t>
              </w:r>
            </w:hyperlink>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Amendment to</w:t>
              </w:r>
            </w:hyperlink>
          </w:p>
        </w:tc>
        <w:tc>
          <w:tcPr>
            <w:tcW w:w="62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Employment</w:t>
              </w:r>
            </w:hyperlink>
          </w:p>
        </w:tc>
        <w:tc>
          <w:tcPr>
            <w:tcW w:w="760" w:type="dxa"/>
            <w:vAlign w:val="bottom"/>
            <w:tcBorders>
              <w:bottom w:val="single" w:sz="8" w:color="0000EE"/>
            </w:tcBorders>
            <w:gridSpan w:val="12"/>
          </w:tcPr>
          <w:p>
            <w:pPr>
              <w:spacing w:after="0" w:line="182" w:lineRule="exact"/>
              <w:rPr>
                <w:rFonts w:ascii="Times New Roman" w:cs="Times New Roman" w:eastAsia="Times New Roman" w:hAnsi="Times New Roman"/>
                <w:sz w:val="18"/>
                <w:szCs w:val="18"/>
                <w:color w:val="0000EE"/>
                <w:w w:val="87"/>
              </w:rPr>
            </w:pPr>
            <w:hyperlink r:id="rId173">
              <w:r>
                <w:rPr>
                  <w:rFonts w:ascii="Times New Roman" w:cs="Times New Roman" w:eastAsia="Times New Roman" w:hAnsi="Times New Roman"/>
                  <w:sz w:val="18"/>
                  <w:szCs w:val="18"/>
                  <w:color w:val="0000EE"/>
                  <w:w w:val="87"/>
                </w:rPr>
                <w:t>Agreement,</w:t>
              </w:r>
            </w:hyperlink>
          </w:p>
        </w:tc>
        <w:tc>
          <w:tcPr>
            <w:tcW w:w="300" w:type="dxa"/>
            <w:vAlign w:val="bottom"/>
            <w:gridSpan w:val="7"/>
          </w:tcPr>
          <w:p>
            <w:pPr>
              <w:spacing w:after="0"/>
              <w:rPr>
                <w:sz w:val="15"/>
                <w:szCs w:val="15"/>
                <w:color w:val="auto"/>
              </w:rPr>
            </w:pPr>
          </w:p>
        </w:tc>
        <w:tc>
          <w:tcPr>
            <w:tcW w:w="9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73">
              <w:r>
                <w:rPr>
                  <w:rFonts w:ascii="Times New Roman" w:cs="Times New Roman" w:eastAsia="Times New Roman" w:hAnsi="Times New Roman"/>
                  <w:sz w:val="18"/>
                  <w:szCs w:val="18"/>
                  <w:color w:val="0000EE"/>
                  <w:w w:val="98"/>
                </w:rPr>
                <w:t>dated February 10, 2020,</w:t>
              </w:r>
            </w:hyperlink>
          </w:p>
        </w:tc>
        <w:tc>
          <w:tcPr>
            <w:tcW w:w="32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by and between the</w:t>
              </w:r>
            </w:hyperlink>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Registrant and Debra</w:t>
              </w:r>
            </w:hyperlink>
          </w:p>
        </w:tc>
        <w:tc>
          <w:tcPr>
            <w:tcW w:w="5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73">
              <w:r>
                <w:rPr>
                  <w:rFonts w:ascii="Times New Roman" w:cs="Times New Roman" w:eastAsia="Times New Roman" w:hAnsi="Times New Roman"/>
                  <w:sz w:val="18"/>
                  <w:szCs w:val="18"/>
                  <w:color w:val="0000EE"/>
                  <w:w w:val="98"/>
                </w:rPr>
                <w:t>Durso-Bumpus</w:t>
              </w:r>
            </w:hyperlink>
          </w:p>
        </w:tc>
        <w:tc>
          <w:tcPr>
            <w:tcW w:w="1020" w:type="dxa"/>
            <w:vAlign w:val="bottom"/>
            <w:gridSpan w:val="18"/>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2120" w:type="dxa"/>
            <w:vAlign w:val="bottom"/>
            <w:gridSpan w:val="22"/>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Second Amendment to</w:t>
              </w:r>
            </w:hyperlink>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10.10</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Employment Agreement,</w:t>
              </w:r>
            </w:hyperlink>
          </w:p>
        </w:tc>
        <w:tc>
          <w:tcPr>
            <w:tcW w:w="28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dated December 22, 2021,</w:t>
              </w:r>
            </w:hyperlink>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by and between the</w:t>
              </w:r>
            </w:hyperlink>
          </w:p>
        </w:tc>
        <w:tc>
          <w:tcPr>
            <w:tcW w:w="24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Registrant and Debra</w:t>
              </w:r>
            </w:hyperlink>
          </w:p>
        </w:tc>
        <w:tc>
          <w:tcPr>
            <w:tcW w:w="5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Durso-Bumpus</w:t>
              </w:r>
            </w:hyperlink>
          </w:p>
        </w:tc>
        <w:tc>
          <w:tcPr>
            <w:tcW w:w="1020" w:type="dxa"/>
            <w:vAlign w:val="bottom"/>
            <w:gridSpan w:val="18"/>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5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5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75">
              <w:r>
                <w:rPr>
                  <w:rFonts w:ascii="Times New Roman" w:cs="Times New Roman" w:eastAsia="Times New Roman" w:hAnsi="Times New Roman"/>
                  <w:sz w:val="18"/>
                  <w:szCs w:val="18"/>
                  <w:color w:val="0000EE"/>
                  <w:w w:val="98"/>
                </w:rPr>
                <w:t>Third Amendment to</w:t>
              </w:r>
            </w:hyperlink>
          </w:p>
        </w:tc>
        <w:tc>
          <w:tcPr>
            <w:tcW w:w="600" w:type="dxa"/>
            <w:vAlign w:val="bottom"/>
            <w:gridSpan w:val="12"/>
          </w:tcPr>
          <w:p>
            <w:pPr>
              <w:spacing w:after="0"/>
              <w:rPr>
                <w:sz w:val="21"/>
                <w:szCs w:val="21"/>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Employment Agreement,</w:t>
              </w:r>
            </w:hyperlink>
          </w:p>
        </w:tc>
        <w:tc>
          <w:tcPr>
            <w:tcW w:w="28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75">
              <w:r>
                <w:rPr>
                  <w:rFonts w:ascii="Times New Roman" w:cs="Times New Roman" w:eastAsia="Times New Roman" w:hAnsi="Times New Roman"/>
                  <w:sz w:val="18"/>
                  <w:szCs w:val="18"/>
                  <w:color w:val="0000EE"/>
                  <w:w w:val="98"/>
                </w:rPr>
                <w:t>dated September 23, 2022,</w:t>
              </w:r>
            </w:hyperlink>
          </w:p>
        </w:tc>
        <w:tc>
          <w:tcPr>
            <w:tcW w:w="2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by and between the</w:t>
              </w:r>
            </w:hyperlink>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Registrant and Debra</w:t>
              </w:r>
            </w:hyperlink>
          </w:p>
        </w:tc>
        <w:tc>
          <w:tcPr>
            <w:tcW w:w="5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75">
              <w:r>
                <w:rPr>
                  <w:rFonts w:ascii="Times New Roman" w:cs="Times New Roman" w:eastAsia="Times New Roman" w:hAnsi="Times New Roman"/>
                  <w:sz w:val="18"/>
                  <w:szCs w:val="18"/>
                  <w:color w:val="0000EE"/>
                  <w:w w:val="98"/>
                </w:rPr>
                <w:t>Durso-Bumpus</w:t>
              </w:r>
            </w:hyperlink>
          </w:p>
        </w:tc>
        <w:tc>
          <w:tcPr>
            <w:tcW w:w="1020" w:type="dxa"/>
            <w:vAlign w:val="bottom"/>
            <w:gridSpan w:val="18"/>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5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Employment Agreement,</w:t>
              </w:r>
            </w:hyperlink>
          </w:p>
        </w:tc>
        <w:tc>
          <w:tcPr>
            <w:tcW w:w="300" w:type="dxa"/>
            <w:vAlign w:val="bottom"/>
            <w:gridSpan w:val="7"/>
          </w:tcPr>
          <w:p>
            <w:pPr>
              <w:spacing w:after="0"/>
              <w:rPr>
                <w:sz w:val="21"/>
                <w:szCs w:val="21"/>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September 1, 2020</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effective September 1,</w:t>
              </w:r>
            </w:hyperlink>
          </w:p>
        </w:tc>
        <w:tc>
          <w:tcPr>
            <w:tcW w:w="48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2020, by and between the</w:t>
              </w:r>
            </w:hyperlink>
          </w:p>
        </w:tc>
        <w:tc>
          <w:tcPr>
            <w:tcW w:w="26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Registrant and Fouad</w:t>
              </w:r>
            </w:hyperlink>
          </w:p>
        </w:tc>
        <w:tc>
          <w:tcPr>
            <w:tcW w:w="5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Namouni, M.D.</w:t>
              </w:r>
            </w:hyperlink>
          </w:p>
        </w:tc>
        <w:tc>
          <w:tcPr>
            <w:tcW w:w="98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2120" w:type="dxa"/>
            <w:vAlign w:val="bottom"/>
            <w:gridSpan w:val="22"/>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First Amendment to</w:t>
              </w:r>
            </w:hyperlink>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Employment Agreement,</w:t>
              </w:r>
            </w:hyperlink>
          </w:p>
        </w:tc>
        <w:tc>
          <w:tcPr>
            <w:tcW w:w="28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dated December 22, 2021,</w:t>
              </w:r>
            </w:hyperlink>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by and between the</w:t>
              </w:r>
            </w:hyperlink>
          </w:p>
        </w:tc>
        <w:tc>
          <w:tcPr>
            <w:tcW w:w="24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Registrant and Fouad</w:t>
              </w:r>
            </w:hyperlink>
          </w:p>
        </w:tc>
        <w:tc>
          <w:tcPr>
            <w:tcW w:w="5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Namouni, M.D.</w:t>
              </w:r>
            </w:hyperlink>
          </w:p>
        </w:tc>
        <w:tc>
          <w:tcPr>
            <w:tcW w:w="98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5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2120" w:type="dxa"/>
            <w:vAlign w:val="bottom"/>
            <w:gridSpan w:val="22"/>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Second Amendment to</w:t>
              </w:r>
            </w:hyperlink>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Borders>
              <w:right w:val="single" w:sz="8" w:color="0000EE"/>
            </w:tcBorders>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Employment Agreement,</w:t>
              </w:r>
            </w:hyperlink>
          </w:p>
        </w:tc>
        <w:tc>
          <w:tcPr>
            <w:tcW w:w="28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dated September 23, 2022,</w:t>
              </w:r>
            </w:hyperlink>
          </w:p>
        </w:tc>
        <w:tc>
          <w:tcPr>
            <w:tcW w:w="2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by and between the</w:t>
              </w:r>
            </w:hyperlink>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Registrant and Fouad</w:t>
              </w:r>
            </w:hyperlink>
          </w:p>
        </w:tc>
        <w:tc>
          <w:tcPr>
            <w:tcW w:w="5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Namouni, M.D.</w:t>
              </w:r>
            </w:hyperlink>
          </w:p>
        </w:tc>
        <w:tc>
          <w:tcPr>
            <w:tcW w:w="98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5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2120" w:type="dxa"/>
            <w:vAlign w:val="bottom"/>
            <w:gridSpan w:val="22"/>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Amended and Restated</w:t>
              </w:r>
            </w:hyperlink>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January 11, 2021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60" w:type="dxa"/>
            <w:vAlign w:val="bottom"/>
            <w:gridSpan w:val="13"/>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Employment Agreement,</w:t>
              </w:r>
            </w:hyperlink>
          </w:p>
        </w:tc>
        <w:tc>
          <w:tcPr>
            <w:tcW w:w="28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dated January 11, 2021, by</w:t>
              </w:r>
            </w:hyperlink>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gridSpan w:val="2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and between the Registrant</w:t>
              </w:r>
            </w:hyperlink>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and Becker Hewes, M.D.</w:t>
              </w:r>
            </w:hyperlink>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117</w:t>
            </w:r>
          </w:p>
        </w:tc>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19" w:name="page120"/>
    <w:bookmarkEnd w:id="119"/>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9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4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First Amendment to</w:t>
              </w:r>
            </w:hyperlink>
          </w:p>
        </w:tc>
        <w:tc>
          <w:tcPr>
            <w:tcW w:w="660" w:type="dxa"/>
            <w:vAlign w:val="bottom"/>
            <w:gridSpan w:val="16"/>
          </w:tcPr>
          <w:p>
            <w:pPr>
              <w:spacing w:after="0"/>
              <w:rPr>
                <w:sz w:val="24"/>
                <w:szCs w:val="24"/>
                <w:color w:val="auto"/>
              </w:rPr>
            </w:pPr>
          </w:p>
        </w:tc>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196"/>
        </w:trPr>
        <w:tc>
          <w:tcPr>
            <w:tcW w:w="920" w:type="dxa"/>
            <w:vAlign w:val="bottom"/>
          </w:tcPr>
          <w:p>
            <w:pPr>
              <w:spacing w:after="0"/>
              <w:rPr>
                <w:sz w:val="17"/>
                <w:szCs w:val="17"/>
                <w:color w:val="auto"/>
              </w:rPr>
            </w:pPr>
          </w:p>
        </w:tc>
        <w:tc>
          <w:tcPr>
            <w:tcW w:w="1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Amended and Restated</w:t>
              </w:r>
            </w:hyperlink>
          </w:p>
        </w:tc>
        <w:tc>
          <w:tcPr>
            <w:tcW w:w="440" w:type="dxa"/>
            <w:vAlign w:val="bottom"/>
            <w:gridSpan w:val="10"/>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dated December 22, 2021,</w:t>
              </w:r>
            </w:hyperlink>
          </w:p>
        </w:tc>
        <w:tc>
          <w:tcPr>
            <w:tcW w:w="22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r:id="rId180">
              <w:r>
                <w:rPr>
                  <w:rFonts w:ascii="Times New Roman" w:cs="Times New Roman" w:eastAsia="Times New Roman" w:hAnsi="Times New Roman"/>
                  <w:sz w:val="18"/>
                  <w:szCs w:val="18"/>
                  <w:color w:val="0000EE"/>
                  <w:w w:val="97"/>
                </w:rPr>
                <w:t>Registrant and Lemuel</w:t>
              </w:r>
            </w:hyperlink>
          </w:p>
        </w:tc>
        <w:tc>
          <w:tcPr>
            <w:tcW w:w="48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Becker Hewes, M.D.</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2120" w:type="dxa"/>
            <w:vAlign w:val="bottom"/>
            <w:gridSpan w:val="23"/>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Second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81">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dated September 23, 2022,</w:t>
              </w:r>
            </w:hyperlink>
          </w:p>
        </w:tc>
        <w:tc>
          <w:tcPr>
            <w:tcW w:w="1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r:id="rId181">
              <w:r>
                <w:rPr>
                  <w:rFonts w:ascii="Times New Roman" w:cs="Times New Roman" w:eastAsia="Times New Roman" w:hAnsi="Times New Roman"/>
                  <w:sz w:val="18"/>
                  <w:szCs w:val="18"/>
                  <w:color w:val="0000EE"/>
                  <w:w w:val="97"/>
                </w:rPr>
                <w:t>Registrant and Lemuel</w:t>
              </w:r>
            </w:hyperlink>
          </w:p>
        </w:tc>
        <w:tc>
          <w:tcPr>
            <w:tcW w:w="48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Becker Hewes, M.D.</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21"/>
                <w:szCs w:val="21"/>
                <w:color w:val="auto"/>
              </w:rPr>
            </w:pPr>
          </w:p>
        </w:tc>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July 29, 2021</w:t>
            </w:r>
          </w:p>
        </w:tc>
      </w:tr>
      <w:tr>
        <w:trPr>
          <w:trHeight w:val="196"/>
        </w:trPr>
        <w:tc>
          <w:tcPr>
            <w:tcW w:w="920" w:type="dxa"/>
            <w:vAlign w:val="bottom"/>
          </w:tcPr>
          <w:p>
            <w:pPr>
              <w:spacing w:after="0"/>
              <w:rPr>
                <w:sz w:val="17"/>
                <w:szCs w:val="17"/>
                <w:color w:val="auto"/>
              </w:rPr>
            </w:pPr>
          </w:p>
        </w:tc>
        <w:tc>
          <w:tcPr>
            <w:tcW w:w="1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effective as of May 19,</w:t>
              </w:r>
            </w:hyperlink>
          </w:p>
        </w:tc>
        <w:tc>
          <w:tcPr>
            <w:tcW w:w="460" w:type="dxa"/>
            <w:vAlign w:val="bottom"/>
            <w:gridSpan w:val="11"/>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2021, by and between the</w:t>
              </w:r>
            </w:hyperlink>
          </w:p>
        </w:tc>
        <w:tc>
          <w:tcPr>
            <w:tcW w:w="26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Registrant and Percy H.</w:t>
              </w:r>
            </w:hyperlink>
          </w:p>
        </w:tc>
        <w:tc>
          <w:tcPr>
            <w:tcW w:w="40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Carter, M.D., Ph.D.</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4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First Amendment to</w:t>
              </w:r>
            </w:hyperlink>
          </w:p>
        </w:tc>
        <w:tc>
          <w:tcPr>
            <w:tcW w:w="660" w:type="dxa"/>
            <w:vAlign w:val="bottom"/>
            <w:gridSpan w:val="16"/>
          </w:tcPr>
          <w:p>
            <w:pPr>
              <w:spacing w:after="0"/>
              <w:rPr>
                <w:sz w:val="22"/>
                <w:szCs w:val="22"/>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dated December 22, 2021,</w:t>
              </w:r>
            </w:hyperlink>
          </w:p>
        </w:tc>
        <w:tc>
          <w:tcPr>
            <w:tcW w:w="22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Registrant and Percy H.</w:t>
              </w:r>
            </w:hyperlink>
          </w:p>
        </w:tc>
        <w:tc>
          <w:tcPr>
            <w:tcW w:w="40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Carter, M.D., Ph.D.</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2120" w:type="dxa"/>
            <w:vAlign w:val="bottom"/>
            <w:gridSpan w:val="23"/>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Second Amendment to</w:t>
              </w:r>
            </w:hyperlink>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10.8</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dated September 23, 2022,</w:t>
              </w:r>
            </w:hyperlink>
          </w:p>
        </w:tc>
        <w:tc>
          <w:tcPr>
            <w:tcW w:w="1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Registrant and Percy H.</w:t>
              </w:r>
            </w:hyperlink>
          </w:p>
        </w:tc>
        <w:tc>
          <w:tcPr>
            <w:tcW w:w="40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Carter, M.D., Ph.D.</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6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Amended and Restated</w:t>
              </w:r>
            </w:hyperlink>
          </w:p>
        </w:tc>
        <w:tc>
          <w:tcPr>
            <w:tcW w:w="440" w:type="dxa"/>
            <w:vAlign w:val="bottom"/>
            <w:gridSpan w:val="10"/>
          </w:tcPr>
          <w:p>
            <w:pPr>
              <w:spacing w:after="0"/>
              <w:rPr>
                <w:sz w:val="21"/>
                <w:szCs w:val="21"/>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January 20, 2022</w:t>
            </w: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dated January 19, 2022</w:t>
              </w:r>
            </w:hyperlink>
          </w:p>
        </w:tc>
        <w:tc>
          <w:tcPr>
            <w:tcW w:w="440" w:type="dxa"/>
            <w:vAlign w:val="bottom"/>
            <w:gridSpan w:val="10"/>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and effective as of April 4,</w:t>
              </w:r>
            </w:hyperlink>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2022, by and between the</w:t>
              </w:r>
            </w:hyperlink>
          </w:p>
        </w:tc>
        <w:tc>
          <w:tcPr>
            <w:tcW w:w="2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Registrant and Philina Lee</w:t>
              </w:r>
            </w:hyperlink>
          </w:p>
        </w:tc>
        <w:tc>
          <w:tcPr>
            <w:tcW w:w="2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4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First Amendment to</w:t>
              </w:r>
            </w:hyperlink>
          </w:p>
        </w:tc>
        <w:tc>
          <w:tcPr>
            <w:tcW w:w="660" w:type="dxa"/>
            <w:vAlign w:val="bottom"/>
            <w:gridSpan w:val="16"/>
          </w:tcPr>
          <w:p>
            <w:pPr>
              <w:spacing w:after="0"/>
              <w:rPr>
                <w:sz w:val="21"/>
                <w:szCs w:val="21"/>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10.11</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196"/>
        </w:trPr>
        <w:tc>
          <w:tcPr>
            <w:tcW w:w="920" w:type="dxa"/>
            <w:vAlign w:val="bottom"/>
          </w:tcPr>
          <w:p>
            <w:pPr>
              <w:spacing w:after="0"/>
              <w:rPr>
                <w:sz w:val="17"/>
                <w:szCs w:val="17"/>
                <w:color w:val="auto"/>
              </w:rPr>
            </w:pPr>
          </w:p>
        </w:tc>
        <w:tc>
          <w:tcPr>
            <w:tcW w:w="1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Amended and Restated</w:t>
              </w:r>
            </w:hyperlink>
          </w:p>
        </w:tc>
        <w:tc>
          <w:tcPr>
            <w:tcW w:w="440" w:type="dxa"/>
            <w:vAlign w:val="bottom"/>
            <w:gridSpan w:val="10"/>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86">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dated September 23, 2022,</w:t>
              </w:r>
            </w:hyperlink>
          </w:p>
        </w:tc>
        <w:tc>
          <w:tcPr>
            <w:tcW w:w="1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by and between the</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Registrant and Philina Lee</w:t>
              </w:r>
            </w:hyperlink>
          </w:p>
        </w:tc>
        <w:tc>
          <w:tcPr>
            <w:tcW w:w="2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9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License and Collaboration</w:t>
              </w:r>
            </w:hyperlink>
          </w:p>
        </w:tc>
        <w:tc>
          <w:tcPr>
            <w:tcW w:w="220" w:type="dxa"/>
            <w:vAlign w:val="bottom"/>
            <w:gridSpan w:val="4"/>
          </w:tcPr>
          <w:p>
            <w:pPr>
              <w:spacing w:after="0"/>
              <w:rPr>
                <w:sz w:val="21"/>
                <w:szCs w:val="21"/>
                <w:color w:val="auto"/>
              </w:rPr>
            </w:pPr>
          </w:p>
        </w:tc>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August 1, 2018</w:t>
            </w:r>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Agreement, dated June 1,</w:t>
              </w:r>
            </w:hyperlink>
          </w:p>
        </w:tc>
        <w:tc>
          <w:tcPr>
            <w:tcW w:w="28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2018, between the</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Registrant and CStone</w:t>
              </w:r>
            </w:hyperlink>
          </w:p>
        </w:tc>
        <w:tc>
          <w:tcPr>
            <w:tcW w:w="48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Pharmaceuticals</w:t>
              </w:r>
            </w:hyperlink>
          </w:p>
        </w:tc>
        <w:tc>
          <w:tcPr>
            <w:tcW w:w="940" w:type="dxa"/>
            <w:vAlign w:val="bottom"/>
            <w:gridSpan w:val="21"/>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2120" w:type="dxa"/>
            <w:vAlign w:val="bottom"/>
            <w:gridSpan w:val="23"/>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License Agreement,</w:t>
              </w:r>
            </w:hyperlink>
          </w:p>
        </w:tc>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November 5, 2019</w:t>
            </w:r>
          </w:p>
        </w:tc>
      </w:tr>
      <w:tr>
        <w:trPr>
          <w:trHeight w:val="20"/>
        </w:trPr>
        <w:tc>
          <w:tcPr>
            <w:tcW w:w="92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5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effective October 15,</w:t>
              </w:r>
            </w:hyperlink>
          </w:p>
        </w:tc>
        <w:tc>
          <w:tcPr>
            <w:tcW w:w="600" w:type="dxa"/>
            <w:vAlign w:val="bottom"/>
            <w:gridSpan w:val="14"/>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2019, by and between the</w:t>
              </w:r>
            </w:hyperlink>
          </w:p>
        </w:tc>
        <w:tc>
          <w:tcPr>
            <w:tcW w:w="26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Registrant and Clementia</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Pharmaceuticals, Inc.</w:t>
              </w:r>
            </w:hyperlink>
          </w:p>
        </w:tc>
        <w:tc>
          <w:tcPr>
            <w:tcW w:w="280" w:type="dxa"/>
            <w:vAlign w:val="bottom"/>
            <w:tcBorders>
              <w:top w:val="single" w:sz="8" w:color="0000EE"/>
            </w:tcBorders>
            <w:gridSpan w:val="5"/>
          </w:tcPr>
          <w:p>
            <w:pPr>
              <w:spacing w:after="0"/>
              <w:rPr>
                <w:sz w:val="17"/>
                <w:szCs w:val="17"/>
                <w:color w:val="auto"/>
              </w:rPr>
            </w:pPr>
          </w:p>
        </w:tc>
        <w:tc>
          <w:tcPr>
            <w:tcW w:w="30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20" w:name="page121"/>
    <w:bookmarkEnd w:id="120"/>
    <w:tbl>
      <w:tblPr>
        <w:tblLayout w:type="fixed"/>
        <w:tblInd w:w="40" w:type="dxa"/>
        <w:tblCellMar>
          <w:top w:w="0" w:type="dxa"/>
          <w:left w:w="0" w:type="dxa"/>
          <w:bottom w:w="0" w:type="dxa"/>
          <w:right w:w="0" w:type="dxa"/>
        </w:tblCellMar>
      </w:tblPr>
      <w:tr>
        <w:trPr>
          <w:trHeight w:val="207"/>
        </w:trPr>
        <w:tc>
          <w:tcPr>
            <w:tcW w:w="306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938"/>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9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Collaboration and License</w:t>
              </w:r>
            </w:hyperlink>
          </w:p>
        </w:tc>
        <w:tc>
          <w:tcPr>
            <w:tcW w:w="220" w:type="dxa"/>
            <w:vAlign w:val="bottom"/>
            <w:gridSpan w:val="3"/>
          </w:tcPr>
          <w:p>
            <w:pPr>
              <w:spacing w:after="0"/>
              <w:rPr>
                <w:sz w:val="24"/>
                <w:szCs w:val="24"/>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820" w:type="dxa"/>
            <w:vAlign w:val="bottom"/>
          </w:tcPr>
          <w:p>
            <w:pPr>
              <w:jc w:val="center"/>
              <w:ind w:left="71"/>
              <w:spacing w:after="0"/>
              <w:rPr>
                <w:sz w:val="20"/>
                <w:szCs w:val="20"/>
                <w:color w:val="auto"/>
              </w:rPr>
            </w:pPr>
            <w:r>
              <w:rPr>
                <w:rFonts w:ascii="Times New Roman" w:cs="Times New Roman" w:eastAsia="Times New Roman" w:hAnsi="Times New Roman"/>
                <w:sz w:val="16"/>
                <w:szCs w:val="16"/>
                <w:color w:val="auto"/>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10.54</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Agreement, dated</w:t>
              </w:r>
            </w:hyperlink>
          </w:p>
        </w:tc>
        <w:tc>
          <w:tcPr>
            <w:tcW w:w="820" w:type="dxa"/>
            <w:vAlign w:val="bottom"/>
            <w:gridSpan w:val="23"/>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November 8, 2021, by and</w:t>
              </w:r>
            </w:hyperlink>
          </w:p>
        </w:tc>
        <w:tc>
          <w:tcPr>
            <w:tcW w:w="2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between the Registrant and</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Zai Lab (Shanghai) Co.</w:t>
              </w:r>
            </w:hyperlink>
          </w:p>
        </w:tc>
        <w:tc>
          <w:tcPr>
            <w:tcW w:w="240" w:type="dxa"/>
            <w:vAlign w:val="bottom"/>
            <w:tcBorders>
              <w:top w:val="single" w:sz="8" w:color="0000EE"/>
            </w:tcBorders>
            <w:gridSpan w:val="9"/>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Ltd</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1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Form of Indemnification</w:t>
              </w:r>
            </w:hyperlink>
          </w:p>
        </w:tc>
        <w:tc>
          <w:tcPr>
            <w:tcW w:w="340" w:type="dxa"/>
            <w:vAlign w:val="bottom"/>
            <w:gridSpan w:val="7"/>
          </w:tcPr>
          <w:p>
            <w:pPr>
              <w:spacing w:after="0"/>
              <w:rPr>
                <w:sz w:val="21"/>
                <w:szCs w:val="21"/>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333-202938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Agreement entered into</w:t>
              </w:r>
            </w:hyperlink>
          </w:p>
        </w:tc>
        <w:tc>
          <w:tcPr>
            <w:tcW w:w="4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between the Registrant and</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r:id="rId191">
              <w:r>
                <w:rPr>
                  <w:rFonts w:ascii="Times New Roman" w:cs="Times New Roman" w:eastAsia="Times New Roman" w:hAnsi="Times New Roman"/>
                  <w:sz w:val="18"/>
                  <w:szCs w:val="18"/>
                  <w:color w:val="0000EE"/>
                  <w:w w:val="96"/>
                </w:rPr>
                <w:t>its directors</w:t>
              </w:r>
            </w:hyperlink>
          </w:p>
        </w:tc>
        <w:tc>
          <w:tcPr>
            <w:tcW w:w="1100" w:type="dxa"/>
            <w:vAlign w:val="bottom"/>
            <w:tcBorders>
              <w:top w:val="single" w:sz="8" w:color="0000EE"/>
            </w:tcBorders>
            <w:gridSpan w:val="25"/>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1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Form of Indemnification</w:t>
              </w:r>
            </w:hyperlink>
          </w:p>
        </w:tc>
        <w:tc>
          <w:tcPr>
            <w:tcW w:w="340" w:type="dxa"/>
            <w:vAlign w:val="bottom"/>
            <w:gridSpan w:val="7"/>
          </w:tcPr>
          <w:p>
            <w:pPr>
              <w:spacing w:after="0"/>
              <w:rPr>
                <w:sz w:val="22"/>
                <w:szCs w:val="22"/>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8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333-202938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Agreement entered into</w:t>
              </w:r>
            </w:hyperlink>
          </w:p>
        </w:tc>
        <w:tc>
          <w:tcPr>
            <w:tcW w:w="4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between the Registrant and</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92">
              <w:r>
                <w:rPr>
                  <w:rFonts w:ascii="Times New Roman" w:cs="Times New Roman" w:eastAsia="Times New Roman" w:hAnsi="Times New Roman"/>
                  <w:sz w:val="18"/>
                  <w:szCs w:val="18"/>
                  <w:color w:val="0000EE"/>
                  <w:w w:val="96"/>
                </w:rPr>
                <w:t>its officers</w:t>
              </w:r>
            </w:hyperlink>
          </w:p>
        </w:tc>
        <w:tc>
          <w:tcPr>
            <w:tcW w:w="1180" w:type="dxa"/>
            <w:vAlign w:val="bottom"/>
            <w:tcBorders>
              <w:top w:val="single" w:sz="8" w:color="0000EE"/>
            </w:tcBorders>
            <w:gridSpan w:val="27"/>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6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1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Senior Executive Cash</w:t>
              </w:r>
            </w:hyperlink>
          </w:p>
        </w:tc>
        <w:tc>
          <w:tcPr>
            <w:tcW w:w="480" w:type="dxa"/>
            <w:vAlign w:val="bottom"/>
            <w:gridSpan w:val="13"/>
          </w:tcPr>
          <w:p>
            <w:pPr>
              <w:spacing w:after="0"/>
              <w:rPr>
                <w:sz w:val="22"/>
                <w:szCs w:val="22"/>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8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2016</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Incentive Bonus Plan</w:t>
              </w:r>
            </w:hyperlink>
          </w:p>
        </w:tc>
        <w:tc>
          <w:tcPr>
            <w:tcW w:w="580" w:type="dxa"/>
            <w:vAlign w:val="bottom"/>
            <w:gridSpan w:val="18"/>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2120" w:type="dxa"/>
            <w:vAlign w:val="bottom"/>
            <w:gridSpan w:val="31"/>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Purchase and Sale</w:t>
              </w:r>
            </w:hyperlink>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8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2022</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Agreement, dated as of</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June 30, 2022, by and</w:t>
              </w:r>
            </w:hyperlink>
          </w:p>
        </w:tc>
        <w:tc>
          <w:tcPr>
            <w:tcW w:w="80" w:type="dxa"/>
            <w:vAlign w:val="bottom"/>
            <w:tcBorders>
              <w:top w:val="single" w:sz="8" w:color="0000EE"/>
            </w:tcBorders>
            <w:gridSpan w:val="4"/>
          </w:tcPr>
          <w:p>
            <w:pPr>
              <w:spacing w:after="0"/>
              <w:rPr>
                <w:sz w:val="17"/>
                <w:szCs w:val="17"/>
                <w:color w:val="auto"/>
              </w:rPr>
            </w:pPr>
          </w:p>
        </w:tc>
        <w:tc>
          <w:tcPr>
            <w:tcW w:w="46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among the Registrant</w:t>
              </w:r>
            </w:hyperlink>
          </w:p>
        </w:tc>
        <w:tc>
          <w:tcPr>
            <w:tcW w:w="580" w:type="dxa"/>
            <w:vAlign w:val="bottom"/>
            <w:gridSpan w:val="18"/>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Garnich Adjacent</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Investments S.a.r.l. the</w:t>
              </w:r>
            </w:hyperlink>
          </w:p>
        </w:tc>
        <w:tc>
          <w:tcPr>
            <w:tcW w:w="48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various other purchasers</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20"/>
          </w:tcPr>
          <w:p>
            <w:pPr>
              <w:spacing w:after="0" w:line="182"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from time to time party</w:t>
              </w:r>
            </w:hyperlink>
          </w:p>
        </w:tc>
        <w:tc>
          <w:tcPr>
            <w:tcW w:w="8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thereto and Garnish</w:t>
              </w:r>
            </w:hyperlink>
          </w:p>
        </w:tc>
        <w:tc>
          <w:tcPr>
            <w:tcW w:w="700" w:type="dxa"/>
            <w:vAlign w:val="bottom"/>
            <w:gridSpan w:val="22"/>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Adjacent Investments</w:t>
              </w:r>
            </w:hyperlink>
          </w:p>
        </w:tc>
        <w:tc>
          <w:tcPr>
            <w:tcW w:w="56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S.a.r.l, as Purchaser’s</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Representative</w:t>
              </w:r>
            </w:hyperlink>
          </w:p>
        </w:tc>
        <w:tc>
          <w:tcPr>
            <w:tcW w:w="600" w:type="dxa"/>
            <w:vAlign w:val="bottom"/>
            <w:gridSpan w:val="19"/>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2120" w:type="dxa"/>
            <w:vAlign w:val="bottom"/>
            <w:gridSpan w:val="31"/>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Financing Agreement,</w:t>
              </w:r>
            </w:hyperlink>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8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2022</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dated as of June 30, 2022,</w:t>
              </w:r>
            </w:hyperlink>
          </w:p>
        </w:tc>
        <w:tc>
          <w:tcPr>
            <w:tcW w:w="24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by and among the</w:t>
              </w:r>
            </w:hyperlink>
          </w:p>
        </w:tc>
        <w:tc>
          <w:tcPr>
            <w:tcW w:w="820" w:type="dxa"/>
            <w:vAlign w:val="bottom"/>
            <w:gridSpan w:val="23"/>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Registrant, as Borrower,</w:t>
              </w:r>
            </w:hyperlink>
          </w:p>
        </w:tc>
        <w:tc>
          <w:tcPr>
            <w:tcW w:w="36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certain subsidiaries of the</w:t>
              </w:r>
            </w:hyperlink>
          </w:p>
        </w:tc>
        <w:tc>
          <w:tcPr>
            <w:tcW w:w="26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Registrant, as Guarantors,</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various lenders from time-</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24"/>
          </w:tcPr>
          <w:p>
            <w:pPr>
              <w:spacing w:after="0" w:line="182"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to-time party thereto and</w:t>
              </w:r>
            </w:hyperlink>
          </w:p>
        </w:tc>
        <w:tc>
          <w:tcPr>
            <w:tcW w:w="120" w:type="dxa"/>
            <w:vAlign w:val="bottom"/>
            <w:tcBorders>
              <w:top w:val="single" w:sz="8" w:color="0000EE"/>
            </w:tcBorders>
            <w:gridSpan w:val="4"/>
          </w:tcPr>
          <w:p>
            <w:pPr>
              <w:spacing w:after="0"/>
              <w:rPr>
                <w:sz w:val="15"/>
                <w:szCs w:val="15"/>
                <w:color w:val="auto"/>
              </w:rPr>
            </w:pPr>
          </w:p>
        </w:tc>
        <w:tc>
          <w:tcPr>
            <w:tcW w:w="22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r:id="rId195">
              <w:r>
                <w:rPr>
                  <w:rFonts w:ascii="Times New Roman" w:cs="Times New Roman" w:eastAsia="Times New Roman" w:hAnsi="Times New Roman"/>
                  <w:sz w:val="18"/>
                  <w:szCs w:val="18"/>
                  <w:color w:val="0000EE"/>
                  <w:w w:val="97"/>
                </w:rPr>
                <w:t>Tao Talents, LLC, as</w:t>
              </w:r>
            </w:hyperlink>
          </w:p>
        </w:tc>
        <w:tc>
          <w:tcPr>
            <w:tcW w:w="62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Administrative Agent for</w:t>
              </w:r>
            </w:hyperlink>
          </w:p>
        </w:tc>
        <w:tc>
          <w:tcPr>
            <w:tcW w:w="30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195">
              <w:r>
                <w:rPr>
                  <w:rFonts w:ascii="Times New Roman" w:cs="Times New Roman" w:eastAsia="Times New Roman" w:hAnsi="Times New Roman"/>
                  <w:sz w:val="18"/>
                  <w:szCs w:val="18"/>
                  <w:color w:val="0000EE"/>
                  <w:w w:val="96"/>
                </w:rPr>
                <w:t>the lenders</w:t>
              </w:r>
            </w:hyperlink>
          </w:p>
        </w:tc>
        <w:tc>
          <w:tcPr>
            <w:tcW w:w="1340" w:type="dxa"/>
            <w:vAlign w:val="bottom"/>
            <w:gridSpan w:val="27"/>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6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2120" w:type="dxa"/>
            <w:vAlign w:val="bottom"/>
            <w:gridSpan w:val="31"/>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First Amendment to</w:t>
              </w:r>
            </w:hyperlink>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25, 2023</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gridSpan w:val="10"/>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Financing Agreement</w:t>
              </w:r>
            </w:hyperlink>
          </w:p>
        </w:tc>
        <w:tc>
          <w:tcPr>
            <w:tcW w:w="56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dated as of May 22, 2023</w:t>
              </w:r>
            </w:hyperlink>
          </w:p>
        </w:tc>
        <w:tc>
          <w:tcPr>
            <w:tcW w:w="26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by and among Blueprint</w:t>
              </w:r>
            </w:hyperlink>
          </w:p>
        </w:tc>
        <w:tc>
          <w:tcPr>
            <w:tcW w:w="38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Medicines Corporation,</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gridSpan w:val="1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the lenders party thereto,</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gridSpan w:val="1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gridSpan w:val="31"/>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and TAO Talents LLC, as</w:t>
              </w:r>
            </w:hyperlink>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20" w:type="dxa"/>
            <w:vAlign w:val="bottom"/>
            <w:tcBorders>
              <w:top w:val="single" w:sz="8" w:color="0000EE"/>
              <w:bottom w:val="single" w:sz="8" w:color="0000EE"/>
            </w:tcBorders>
            <w:gridSpan w:val="25"/>
          </w:tcPr>
          <w:p>
            <w:pPr>
              <w:spacing w:after="0" w:line="182"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Administrative Agent for</w:t>
              </w:r>
            </w:hyperlink>
          </w:p>
        </w:tc>
        <w:tc>
          <w:tcPr>
            <w:tcW w:w="40" w:type="dxa"/>
            <w:vAlign w:val="bottom"/>
            <w:tcBorders>
              <w:top w:val="single" w:sz="8" w:color="0000EE"/>
            </w:tcBorders>
          </w:tcPr>
          <w:p>
            <w:pPr>
              <w:spacing w:after="0"/>
              <w:rPr>
                <w:sz w:val="15"/>
                <w:szCs w:val="15"/>
                <w:color w:val="auto"/>
              </w:rPr>
            </w:pPr>
          </w:p>
        </w:tc>
        <w:tc>
          <w:tcPr>
            <w:tcW w:w="260" w:type="dxa"/>
            <w:vAlign w:val="bottom"/>
            <w:gridSpan w:val="5"/>
          </w:tcPr>
          <w:p>
            <w:pPr>
              <w:spacing w:after="0"/>
              <w:rPr>
                <w:sz w:val="15"/>
                <w:szCs w:val="15"/>
                <w:color w:val="auto"/>
              </w:rPr>
            </w:pPr>
          </w:p>
        </w:tc>
        <w:tc>
          <w:tcPr>
            <w:tcW w:w="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196">
              <w:r>
                <w:rPr>
                  <w:rFonts w:ascii="Times New Roman" w:cs="Times New Roman" w:eastAsia="Times New Roman" w:hAnsi="Times New Roman"/>
                  <w:sz w:val="18"/>
                  <w:szCs w:val="18"/>
                  <w:color w:val="0000EE"/>
                  <w:w w:val="96"/>
                </w:rPr>
                <w:t>the lenders</w:t>
              </w:r>
            </w:hyperlink>
          </w:p>
        </w:tc>
        <w:tc>
          <w:tcPr>
            <w:tcW w:w="1340" w:type="dxa"/>
            <w:vAlign w:val="bottom"/>
            <w:gridSpan w:val="27"/>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6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2120" w:type="dxa"/>
            <w:vAlign w:val="bottom"/>
            <w:gridSpan w:val="31"/>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Amended and Restated</w:t>
              </w:r>
            </w:hyperlink>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001-37359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2022</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2020 Inducement Plan</w:t>
              </w:r>
            </w:hyperlink>
          </w:p>
        </w:tc>
        <w:tc>
          <w:tcPr>
            <w:tcW w:w="46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20" w:type="dxa"/>
            <w:vAlign w:val="bottom"/>
          </w:tcPr>
          <w:p>
            <w:pPr>
              <w:jc w:val="right"/>
              <w:ind w:right="1111"/>
              <w:spacing w:after="0"/>
              <w:rPr>
                <w:sz w:val="20"/>
                <w:szCs w:val="20"/>
                <w:color w:val="auto"/>
              </w:rPr>
            </w:pPr>
            <w:r>
              <w:rPr>
                <w:rFonts w:ascii="Times New Roman" w:cs="Times New Roman" w:eastAsia="Times New Roman" w:hAnsi="Times New Roman"/>
                <w:sz w:val="18"/>
                <w:szCs w:val="18"/>
                <w:color w:val="auto"/>
              </w:rPr>
              <w:t>119</w:t>
            </w:r>
          </w:p>
        </w:tc>
        <w:tc>
          <w:tcPr>
            <w:tcW w:w="1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21" w:name="page122"/>
    <w:bookmarkEnd w:id="121"/>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9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Non-Qualified Stock</w:t>
              </w:r>
            </w:hyperlink>
          </w:p>
        </w:tc>
        <w:tc>
          <w:tcPr>
            <w:tcW w:w="620" w:type="dxa"/>
            <w:vAlign w:val="bottom"/>
            <w:gridSpan w:val="11"/>
          </w:tcPr>
          <w:p>
            <w:pPr>
              <w:spacing w:after="0"/>
              <w:rPr>
                <w:sz w:val="24"/>
                <w:szCs w:val="24"/>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10.76</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16, 2023</w:t>
            </w:r>
          </w:p>
        </w:tc>
      </w:tr>
      <w:tr>
        <w:trPr>
          <w:trHeight w:val="196"/>
        </w:trPr>
        <w:tc>
          <w:tcPr>
            <w:tcW w:w="920" w:type="dxa"/>
            <w:vAlign w:val="bottom"/>
          </w:tcPr>
          <w:p>
            <w:pPr>
              <w:spacing w:after="0"/>
              <w:rPr>
                <w:sz w:val="17"/>
                <w:szCs w:val="17"/>
                <w:color w:val="auto"/>
              </w:rPr>
            </w:pPr>
          </w:p>
        </w:tc>
        <w:tc>
          <w:tcPr>
            <w:tcW w:w="1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Option for Employees</w:t>
              </w:r>
            </w:hyperlink>
          </w:p>
        </w:tc>
        <w:tc>
          <w:tcPr>
            <w:tcW w:w="52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under the 2015 Stock</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Option and Incentive Plan</w:t>
              </w:r>
            </w:hyperlink>
          </w:p>
        </w:tc>
        <w:tc>
          <w:tcPr>
            <w:tcW w:w="24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(annual award)</w:t>
              </w:r>
            </w:hyperlink>
          </w:p>
        </w:tc>
        <w:tc>
          <w:tcPr>
            <w:tcW w:w="1020" w:type="dxa"/>
            <w:vAlign w:val="bottom"/>
            <w:gridSpan w:val="17"/>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Non-Qualified Stock</w:t>
              </w:r>
            </w:hyperlink>
          </w:p>
        </w:tc>
        <w:tc>
          <w:tcPr>
            <w:tcW w:w="620" w:type="dxa"/>
            <w:vAlign w:val="bottom"/>
            <w:gridSpan w:val="11"/>
          </w:tcPr>
          <w:p>
            <w:pPr>
              <w:spacing w:after="0"/>
              <w:rPr>
                <w:sz w:val="22"/>
                <w:szCs w:val="22"/>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10.77</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16, 2023</w:t>
            </w:r>
          </w:p>
        </w:tc>
      </w:tr>
      <w:tr>
        <w:trPr>
          <w:trHeight w:val="196"/>
        </w:trPr>
        <w:tc>
          <w:tcPr>
            <w:tcW w:w="920" w:type="dxa"/>
            <w:vAlign w:val="bottom"/>
          </w:tcPr>
          <w:p>
            <w:pPr>
              <w:spacing w:after="0"/>
              <w:rPr>
                <w:sz w:val="17"/>
                <w:szCs w:val="17"/>
                <w:color w:val="auto"/>
              </w:rPr>
            </w:pPr>
          </w:p>
        </w:tc>
        <w:tc>
          <w:tcPr>
            <w:tcW w:w="1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Option for Employees</w:t>
              </w:r>
            </w:hyperlink>
          </w:p>
        </w:tc>
        <w:tc>
          <w:tcPr>
            <w:tcW w:w="52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under the 2015 Stock</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9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Option and Incentive Plan</w:t>
              </w:r>
            </w:hyperlink>
          </w:p>
        </w:tc>
        <w:tc>
          <w:tcPr>
            <w:tcW w:w="2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9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(non-U.S. new hire award)</w:t>
              </w:r>
            </w:hyperlink>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Non-Qualified Stock</w:t>
              </w:r>
            </w:hyperlink>
          </w:p>
        </w:tc>
        <w:tc>
          <w:tcPr>
            <w:tcW w:w="620" w:type="dxa"/>
            <w:vAlign w:val="bottom"/>
            <w:gridSpan w:val="11"/>
          </w:tcPr>
          <w:p>
            <w:pPr>
              <w:spacing w:after="0"/>
              <w:rPr>
                <w:sz w:val="22"/>
                <w:szCs w:val="22"/>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10.78</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16, 2023</w:t>
            </w:r>
          </w:p>
        </w:tc>
      </w:tr>
      <w:tr>
        <w:trPr>
          <w:trHeight w:val="196"/>
        </w:trPr>
        <w:tc>
          <w:tcPr>
            <w:tcW w:w="920" w:type="dxa"/>
            <w:vAlign w:val="bottom"/>
          </w:tcPr>
          <w:p>
            <w:pPr>
              <w:spacing w:after="0"/>
              <w:rPr>
                <w:sz w:val="17"/>
                <w:szCs w:val="17"/>
                <w:color w:val="auto"/>
              </w:rPr>
            </w:pPr>
          </w:p>
        </w:tc>
        <w:tc>
          <w:tcPr>
            <w:tcW w:w="19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Option for Non-Employee</w:t>
              </w:r>
            </w:hyperlink>
          </w:p>
        </w:tc>
        <w:tc>
          <w:tcPr>
            <w:tcW w:w="2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Directors under the 2015</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Stock Option and</w:t>
              </w:r>
            </w:hyperlink>
          </w:p>
        </w:tc>
        <w:tc>
          <w:tcPr>
            <w:tcW w:w="500" w:type="dxa"/>
            <w:vAlign w:val="bottom"/>
            <w:tcBorders>
              <w:top w:val="single" w:sz="8" w:color="0000EE"/>
            </w:tcBorders>
            <w:gridSpan w:val="9"/>
          </w:tcPr>
          <w:p>
            <w:pPr>
              <w:spacing w:after="0"/>
              <w:rPr>
                <w:sz w:val="17"/>
                <w:szCs w:val="17"/>
                <w:color w:val="auto"/>
              </w:rPr>
            </w:pPr>
          </w:p>
        </w:tc>
        <w:tc>
          <w:tcPr>
            <w:tcW w:w="3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Incentive Plan (annual</w:t>
              </w:r>
            </w:hyperlink>
          </w:p>
        </w:tc>
        <w:tc>
          <w:tcPr>
            <w:tcW w:w="50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00">
              <w:r>
                <w:rPr>
                  <w:rFonts w:ascii="Times New Roman" w:cs="Times New Roman" w:eastAsia="Times New Roman" w:hAnsi="Times New Roman"/>
                  <w:sz w:val="18"/>
                  <w:szCs w:val="18"/>
                  <w:color w:val="0000EE"/>
                  <w:w w:val="95"/>
                </w:rPr>
                <w:t>award)</w:t>
              </w:r>
            </w:hyperlink>
          </w:p>
        </w:tc>
        <w:tc>
          <w:tcPr>
            <w:tcW w:w="1620" w:type="dxa"/>
            <w:vAlign w:val="bottom"/>
            <w:gridSpan w:val="20"/>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Non-Qualified Stock</w:t>
              </w:r>
            </w:hyperlink>
          </w:p>
        </w:tc>
        <w:tc>
          <w:tcPr>
            <w:tcW w:w="620" w:type="dxa"/>
            <w:vAlign w:val="bottom"/>
            <w:gridSpan w:val="11"/>
          </w:tcPr>
          <w:p>
            <w:pPr>
              <w:spacing w:after="0"/>
              <w:rPr>
                <w:sz w:val="21"/>
                <w:szCs w:val="21"/>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10.79</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16, 2023</w:t>
            </w:r>
          </w:p>
        </w:tc>
      </w:tr>
      <w:tr>
        <w:trPr>
          <w:trHeight w:val="196"/>
        </w:trPr>
        <w:tc>
          <w:tcPr>
            <w:tcW w:w="920" w:type="dxa"/>
            <w:vAlign w:val="bottom"/>
          </w:tcPr>
          <w:p>
            <w:pPr>
              <w:spacing w:after="0"/>
              <w:rPr>
                <w:sz w:val="17"/>
                <w:szCs w:val="17"/>
                <w:color w:val="auto"/>
              </w:rPr>
            </w:pPr>
          </w:p>
        </w:tc>
        <w:tc>
          <w:tcPr>
            <w:tcW w:w="19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Option for Non-Employee</w:t>
              </w:r>
            </w:hyperlink>
          </w:p>
        </w:tc>
        <w:tc>
          <w:tcPr>
            <w:tcW w:w="2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Directors under the 2015</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Stock Option and</w:t>
              </w:r>
            </w:hyperlink>
          </w:p>
        </w:tc>
        <w:tc>
          <w:tcPr>
            <w:tcW w:w="500" w:type="dxa"/>
            <w:vAlign w:val="bottom"/>
            <w:tcBorders>
              <w:top w:val="single" w:sz="8" w:color="0000EE"/>
            </w:tcBorders>
            <w:gridSpan w:val="9"/>
          </w:tcPr>
          <w:p>
            <w:pPr>
              <w:spacing w:after="0"/>
              <w:rPr>
                <w:sz w:val="17"/>
                <w:szCs w:val="17"/>
                <w:color w:val="auto"/>
              </w:rPr>
            </w:pPr>
          </w:p>
        </w:tc>
        <w:tc>
          <w:tcPr>
            <w:tcW w:w="3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Incentive Plan (new</w:t>
              </w:r>
            </w:hyperlink>
          </w:p>
        </w:tc>
        <w:tc>
          <w:tcPr>
            <w:tcW w:w="68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201">
              <w:r>
                <w:rPr>
                  <w:rFonts w:ascii="Times New Roman" w:cs="Times New Roman" w:eastAsia="Times New Roman" w:hAnsi="Times New Roman"/>
                  <w:sz w:val="18"/>
                  <w:szCs w:val="18"/>
                  <w:color w:val="0000EE"/>
                  <w:w w:val="97"/>
                </w:rPr>
                <w:t>director award)</w:t>
              </w:r>
            </w:hyperlink>
          </w:p>
        </w:tc>
        <w:tc>
          <w:tcPr>
            <w:tcW w:w="1020" w:type="dxa"/>
            <w:vAlign w:val="bottom"/>
            <w:gridSpan w:val="17"/>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Non-Qualified Stock</w:t>
              </w:r>
            </w:hyperlink>
          </w:p>
        </w:tc>
        <w:tc>
          <w:tcPr>
            <w:tcW w:w="620" w:type="dxa"/>
            <w:vAlign w:val="bottom"/>
            <w:gridSpan w:val="11"/>
          </w:tcPr>
          <w:p>
            <w:pPr>
              <w:spacing w:after="0"/>
              <w:rPr>
                <w:sz w:val="21"/>
                <w:szCs w:val="21"/>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10.80</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16, 2023</w:t>
            </w:r>
          </w:p>
        </w:tc>
      </w:tr>
      <w:tr>
        <w:trPr>
          <w:trHeight w:val="196"/>
        </w:trPr>
        <w:tc>
          <w:tcPr>
            <w:tcW w:w="920" w:type="dxa"/>
            <w:vAlign w:val="bottom"/>
          </w:tcPr>
          <w:p>
            <w:pPr>
              <w:spacing w:after="0"/>
              <w:rPr>
                <w:sz w:val="17"/>
                <w:szCs w:val="17"/>
                <w:color w:val="auto"/>
              </w:rPr>
            </w:pPr>
          </w:p>
        </w:tc>
        <w:tc>
          <w:tcPr>
            <w:tcW w:w="1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Option for Employees</w:t>
              </w:r>
            </w:hyperlink>
          </w:p>
        </w:tc>
        <w:tc>
          <w:tcPr>
            <w:tcW w:w="52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under the 2020</w:t>
              </w:r>
            </w:hyperlink>
          </w:p>
        </w:tc>
        <w:tc>
          <w:tcPr>
            <w:tcW w:w="1040" w:type="dxa"/>
            <w:vAlign w:val="bottom"/>
            <w:gridSpan w:val="18"/>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Inducement Plan</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4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Performance-Based</w:t>
              </w:r>
            </w:hyperlink>
          </w:p>
        </w:tc>
        <w:tc>
          <w:tcPr>
            <w:tcW w:w="700" w:type="dxa"/>
            <w:vAlign w:val="bottom"/>
            <w:gridSpan w:val="13"/>
          </w:tcPr>
          <w:p>
            <w:pPr>
              <w:spacing w:after="0"/>
              <w:rPr>
                <w:sz w:val="22"/>
                <w:szCs w:val="22"/>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10.81</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16, 2023</w:t>
            </w: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Restricted Stock Unit</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Award Agreement for</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9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Employees under the 2015</w:t>
              </w:r>
            </w:hyperlink>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Stock Option and</w:t>
              </w:r>
            </w:hyperlink>
          </w:p>
        </w:tc>
        <w:tc>
          <w:tcPr>
            <w:tcW w:w="860" w:type="dxa"/>
            <w:vAlign w:val="bottom"/>
            <w:gridSpan w:val="15"/>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Incentive Plan</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2120" w:type="dxa"/>
            <w:vAlign w:val="bottom"/>
            <w:gridSpan w:val="22"/>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Restricted Stock Unit</w:t>
              </w:r>
            </w:hyperlink>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10.82</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16, 2023</w:t>
            </w: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Award for Employees</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5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under the 2015 Stock</w:t>
              </w:r>
            </w:hyperlink>
          </w:p>
        </w:tc>
        <w:tc>
          <w:tcPr>
            <w:tcW w:w="56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gridSpan w:val="11"/>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204">
              <w:r>
                <w:rPr>
                  <w:rFonts w:ascii="Times New Roman" w:cs="Times New Roman" w:eastAsia="Times New Roman" w:hAnsi="Times New Roman"/>
                  <w:sz w:val="18"/>
                  <w:szCs w:val="18"/>
                  <w:color w:val="0000EE"/>
                  <w:w w:val="98"/>
                </w:rPr>
                <w:t>Option and Incentive Plan</w:t>
              </w:r>
            </w:hyperlink>
          </w:p>
        </w:tc>
        <w:tc>
          <w:tcPr>
            <w:tcW w:w="24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2120" w:type="dxa"/>
            <w:vAlign w:val="bottom"/>
            <w:gridSpan w:val="22"/>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Restricted Stock Unit</w:t>
              </w:r>
            </w:hyperlink>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10.83</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16, 2023</w:t>
            </w: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12"/>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Award for Non-Employee</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Directors under the 2015</w:t>
              </w:r>
            </w:hyperlink>
          </w:p>
        </w:tc>
        <w:tc>
          <w:tcPr>
            <w:tcW w:w="26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Stock Option and</w:t>
              </w:r>
            </w:hyperlink>
          </w:p>
        </w:tc>
        <w:tc>
          <w:tcPr>
            <w:tcW w:w="500" w:type="dxa"/>
            <w:vAlign w:val="bottom"/>
            <w:tcBorders>
              <w:top w:val="single" w:sz="8" w:color="0000EE"/>
            </w:tcBorders>
            <w:gridSpan w:val="9"/>
          </w:tcPr>
          <w:p>
            <w:pPr>
              <w:spacing w:after="0"/>
              <w:rPr>
                <w:sz w:val="17"/>
                <w:szCs w:val="17"/>
                <w:color w:val="auto"/>
              </w:rPr>
            </w:pPr>
          </w:p>
        </w:tc>
        <w:tc>
          <w:tcPr>
            <w:tcW w:w="3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205">
              <w:r>
                <w:rPr>
                  <w:rFonts w:ascii="Times New Roman" w:cs="Times New Roman" w:eastAsia="Times New Roman" w:hAnsi="Times New Roman"/>
                  <w:sz w:val="18"/>
                  <w:szCs w:val="18"/>
                  <w:color w:val="0000EE"/>
                  <w:w w:val="98"/>
                </w:rPr>
                <w:t>Incentive Plan (annual</w:t>
              </w:r>
            </w:hyperlink>
          </w:p>
        </w:tc>
        <w:tc>
          <w:tcPr>
            <w:tcW w:w="50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05">
              <w:r>
                <w:rPr>
                  <w:rFonts w:ascii="Times New Roman" w:cs="Times New Roman" w:eastAsia="Times New Roman" w:hAnsi="Times New Roman"/>
                  <w:sz w:val="18"/>
                  <w:szCs w:val="18"/>
                  <w:color w:val="0000EE"/>
                  <w:w w:val="95"/>
                </w:rPr>
                <w:t>award)</w:t>
              </w:r>
            </w:hyperlink>
          </w:p>
        </w:tc>
        <w:tc>
          <w:tcPr>
            <w:tcW w:w="1620" w:type="dxa"/>
            <w:vAlign w:val="bottom"/>
            <w:gridSpan w:val="20"/>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2120" w:type="dxa"/>
            <w:vAlign w:val="bottom"/>
            <w:gridSpan w:val="22"/>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Restricted Stock Unit</w:t>
              </w:r>
            </w:hyperlink>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10.84</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16, 2023</w:t>
            </w: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12"/>
            <w:shd w:val="clear" w:color="auto" w:fill="0000EE"/>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Award for Non-Employee</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Directors under the 2015</w:t>
              </w:r>
            </w:hyperlink>
          </w:p>
        </w:tc>
        <w:tc>
          <w:tcPr>
            <w:tcW w:w="26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Stock Option and</w:t>
              </w:r>
            </w:hyperlink>
          </w:p>
        </w:tc>
        <w:tc>
          <w:tcPr>
            <w:tcW w:w="500" w:type="dxa"/>
            <w:vAlign w:val="bottom"/>
            <w:tcBorders>
              <w:top w:val="single" w:sz="8" w:color="0000EE"/>
            </w:tcBorders>
            <w:gridSpan w:val="9"/>
          </w:tcPr>
          <w:p>
            <w:pPr>
              <w:spacing w:after="0"/>
              <w:rPr>
                <w:sz w:val="17"/>
                <w:szCs w:val="17"/>
                <w:color w:val="auto"/>
              </w:rPr>
            </w:pPr>
          </w:p>
        </w:tc>
        <w:tc>
          <w:tcPr>
            <w:tcW w:w="3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Incentive Plan (new</w:t>
              </w:r>
            </w:hyperlink>
          </w:p>
        </w:tc>
        <w:tc>
          <w:tcPr>
            <w:tcW w:w="68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206">
              <w:r>
                <w:rPr>
                  <w:rFonts w:ascii="Times New Roman" w:cs="Times New Roman" w:eastAsia="Times New Roman" w:hAnsi="Times New Roman"/>
                  <w:sz w:val="18"/>
                  <w:szCs w:val="18"/>
                  <w:color w:val="0000EE"/>
                  <w:w w:val="97"/>
                </w:rPr>
                <w:t>director award)</w:t>
              </w:r>
            </w:hyperlink>
          </w:p>
        </w:tc>
        <w:tc>
          <w:tcPr>
            <w:tcW w:w="1020" w:type="dxa"/>
            <w:vAlign w:val="bottom"/>
            <w:gridSpan w:val="17"/>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2120" w:type="dxa"/>
            <w:vAlign w:val="bottom"/>
            <w:gridSpan w:val="22"/>
          </w:tcPr>
          <w:p>
            <w:pPr>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Restricted Stock Unit</w:t>
              </w:r>
            </w:hyperlink>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001-37359</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10.85</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February 16, 2023</w:t>
            </w: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12"/>
            <w:shd w:val="clear" w:color="auto" w:fill="0000EE"/>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Award for Employees</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13"/>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120" w:type="dxa"/>
            <w:vAlign w:val="bottom"/>
            <w:gridSpan w:val="22"/>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under the 2020 Incentive</w:t>
              </w:r>
            </w:hyperlink>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207">
              <w:r>
                <w:rPr>
                  <w:rFonts w:ascii="Times New Roman" w:cs="Times New Roman" w:eastAsia="Times New Roman" w:hAnsi="Times New Roman"/>
                  <w:sz w:val="18"/>
                  <w:szCs w:val="18"/>
                  <w:color w:val="0000EE"/>
                  <w:w w:val="93"/>
                </w:rPr>
                <w:t>Plan</w:t>
              </w:r>
            </w:hyperlink>
          </w:p>
        </w:tc>
        <w:tc>
          <w:tcPr>
            <w:tcW w:w="1440" w:type="dxa"/>
            <w:vAlign w:val="bottom"/>
            <w:tcBorders>
              <w:top w:val="single" w:sz="8" w:color="0000EE"/>
            </w:tcBorders>
            <w:gridSpan w:val="16"/>
          </w:tcPr>
          <w:p>
            <w:pPr>
              <w:spacing w:after="0"/>
              <w:rPr>
                <w:sz w:val="17"/>
                <w:szCs w:val="17"/>
                <w:color w:val="auto"/>
              </w:rPr>
            </w:pPr>
          </w:p>
        </w:tc>
        <w:tc>
          <w:tcPr>
            <w:tcW w:w="3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22" w:name="page123"/>
    <w:bookmarkEnd w:id="122"/>
    <w:tbl>
      <w:tblPr>
        <w:tblLayout w:type="fixed"/>
        <w:tblInd w:w="40" w:type="dxa"/>
        <w:tblCellMar>
          <w:top w:w="0" w:type="dxa"/>
          <w:left w:w="0" w:type="dxa"/>
          <w:bottom w:w="0" w:type="dxa"/>
          <w:right w:w="0" w:type="dxa"/>
        </w:tblCellMar>
      </w:tblPr>
      <w:tr>
        <w:trPr>
          <w:trHeight w:val="207"/>
        </w:trPr>
        <w:tc>
          <w:tcPr>
            <w:tcW w:w="296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938"/>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10.66#</w:t>
            </w:r>
          </w:p>
        </w:tc>
        <w:tc>
          <w:tcPr>
            <w:tcW w:w="2020" w:type="dxa"/>
            <w:vAlign w:val="bottom"/>
            <w:gridSpan w:val="24"/>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Blueprint Medicines</w:t>
              </w:r>
            </w:hyperlink>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Form 8-K</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99.1</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June 14, 2024</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gridSpan w:val="24"/>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Corporation 2024 Stock</w:t>
              </w:r>
            </w:hyperlink>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Incentive Plan</w:t>
              </w:r>
            </w:hyperlink>
          </w:p>
        </w:tc>
        <w:tc>
          <w:tcPr>
            <w:tcW w:w="300" w:type="dxa"/>
            <w:vAlign w:val="bottom"/>
            <w:gridSpan w:val="8"/>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10.67#</w:t>
            </w:r>
          </w:p>
        </w:tc>
        <w:tc>
          <w:tcPr>
            <w:tcW w:w="19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Form of award agreements</w:t>
              </w:r>
            </w:hyperlink>
          </w:p>
        </w:tc>
        <w:tc>
          <w:tcPr>
            <w:tcW w:w="80" w:type="dxa"/>
            <w:vAlign w:val="bottom"/>
          </w:tcPr>
          <w:p>
            <w:pPr>
              <w:spacing w:after="0"/>
              <w:rPr>
                <w:sz w:val="22"/>
                <w:szCs w:val="22"/>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Form 8-K</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99.2</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June 14, 2024</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under the Blueprint</w:t>
              </w:r>
            </w:hyperlink>
          </w:p>
        </w:tc>
        <w:tc>
          <w:tcPr>
            <w:tcW w:w="560" w:type="dxa"/>
            <w:vAlign w:val="bottom"/>
            <w:gridSpan w:val="15"/>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Medicines Corporation</w:t>
              </w:r>
            </w:hyperlink>
          </w:p>
        </w:tc>
        <w:tc>
          <w:tcPr>
            <w:tcW w:w="360" w:type="dxa"/>
            <w:vAlign w:val="bottom"/>
            <w:gridSpan w:val="9"/>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gridSpan w:val="24"/>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2024 Stock Incentive Plan</w:t>
              </w:r>
            </w:hyperlink>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88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Blueprint Medicines</w:t>
              </w:r>
            </w:hyperlink>
          </w:p>
        </w:tc>
        <w:tc>
          <w:tcPr>
            <w:tcW w:w="140" w:type="dxa"/>
            <w:vAlign w:val="bottom"/>
            <w:gridSpan w:val="4"/>
          </w:tcPr>
          <w:p>
            <w:pPr>
              <w:spacing w:after="0"/>
              <w:rPr>
                <w:sz w:val="22"/>
                <w:szCs w:val="22"/>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Form 10-K</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19.1</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Insider Trading Policy and</w:t>
              </w:r>
            </w:hyperlink>
          </w:p>
        </w:tc>
        <w:tc>
          <w:tcPr>
            <w:tcW w:w="1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r:id="rId211">
              <w:r>
                <w:rPr>
                  <w:rFonts w:ascii="Times New Roman" w:cs="Times New Roman" w:eastAsia="Times New Roman" w:hAnsi="Times New Roman"/>
                  <w:sz w:val="18"/>
                  <w:szCs w:val="18"/>
                  <w:color w:val="0000EE"/>
                  <w:w w:val="97"/>
                </w:rPr>
                <w:t>Special Trading</w:t>
              </w:r>
            </w:hyperlink>
          </w:p>
        </w:tc>
        <w:tc>
          <w:tcPr>
            <w:tcW w:w="880" w:type="dxa"/>
            <w:vAlign w:val="bottom"/>
            <w:gridSpan w:val="17"/>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gridSpan w:val="24"/>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Procedures for Insiders</w:t>
              </w:r>
            </w:hyperlink>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Subsidiaries of the</w:t>
            </w:r>
          </w:p>
        </w:tc>
        <w:tc>
          <w:tcPr>
            <w:tcW w:w="320" w:type="dxa"/>
            <w:vAlign w:val="bottom"/>
            <w:tcBorders>
              <w:top w:val="single" w:sz="8" w:color="0000EE"/>
            </w:tcBorders>
            <w:gridSpan w:val="7"/>
          </w:tcPr>
          <w:p>
            <w:pPr>
              <w:spacing w:after="0"/>
              <w:rPr>
                <w:sz w:val="22"/>
                <w:szCs w:val="22"/>
                <w:color w:val="auto"/>
              </w:rPr>
            </w:pPr>
          </w:p>
        </w:tc>
        <w:tc>
          <w:tcPr>
            <w:tcW w:w="360" w:type="dxa"/>
            <w:vAlign w:val="bottom"/>
            <w:gridSpan w:val="9"/>
          </w:tcPr>
          <w:p>
            <w:pPr>
              <w:spacing w:after="0"/>
              <w:rPr>
                <w:sz w:val="22"/>
                <w:szCs w:val="22"/>
                <w:color w:val="auto"/>
              </w:rPr>
            </w:pPr>
          </w:p>
        </w:tc>
        <w:tc>
          <w:tcPr>
            <w:tcW w:w="1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Registrant</w:t>
            </w:r>
          </w:p>
        </w:tc>
        <w:tc>
          <w:tcPr>
            <w:tcW w:w="1280" w:type="dxa"/>
            <w:vAlign w:val="bottom"/>
            <w:gridSpan w:val="21"/>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Consent of Ernst &amp; Young</w:t>
            </w:r>
          </w:p>
        </w:tc>
        <w:tc>
          <w:tcPr>
            <w:tcW w:w="1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LLP</w:t>
            </w:r>
          </w:p>
        </w:tc>
        <w:tc>
          <w:tcPr>
            <w:tcW w:w="1560" w:type="dxa"/>
            <w:vAlign w:val="bottom"/>
            <w:tcBorders>
              <w:top w:val="single" w:sz="8" w:color="0000EE"/>
            </w:tcBorders>
            <w:gridSpan w:val="20"/>
          </w:tcPr>
          <w:p>
            <w:pPr>
              <w:spacing w:after="0"/>
              <w:rPr>
                <w:sz w:val="17"/>
                <w:szCs w:val="17"/>
                <w:color w:val="auto"/>
              </w:rPr>
            </w:pPr>
          </w:p>
        </w:tc>
        <w:tc>
          <w:tcPr>
            <w:tcW w:w="12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Certification of Principal</w:t>
            </w:r>
          </w:p>
        </w:tc>
        <w:tc>
          <w:tcPr>
            <w:tcW w:w="180" w:type="dxa"/>
            <w:vAlign w:val="bottom"/>
            <w:gridSpan w:val="6"/>
          </w:tcPr>
          <w:p>
            <w:pPr>
              <w:spacing w:after="0"/>
              <w:rPr>
                <w:sz w:val="22"/>
                <w:szCs w:val="22"/>
                <w:color w:val="auto"/>
              </w:rPr>
            </w:pPr>
          </w:p>
        </w:tc>
        <w:tc>
          <w:tcPr>
            <w:tcW w:w="1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pursuant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to Rule 13a-14(a) or Rule</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15d-14(a) of the Exchange</w:t>
            </w:r>
          </w:p>
        </w:tc>
        <w:tc>
          <w:tcPr>
            <w:tcW w:w="1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Act, as adopted pursuant</w:t>
            </w:r>
          </w:p>
        </w:tc>
        <w:tc>
          <w:tcPr>
            <w:tcW w:w="24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to Section 302 of the</w:t>
            </w:r>
          </w:p>
        </w:tc>
        <w:tc>
          <w:tcPr>
            <w:tcW w:w="520" w:type="dxa"/>
            <w:vAlign w:val="bottom"/>
            <w:gridSpan w:val="14"/>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2002</w:t>
            </w:r>
          </w:p>
        </w:tc>
        <w:tc>
          <w:tcPr>
            <w:tcW w:w="3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6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Certification of Principal</w:t>
            </w:r>
          </w:p>
        </w:tc>
        <w:tc>
          <w:tcPr>
            <w:tcW w:w="180" w:type="dxa"/>
            <w:vAlign w:val="bottom"/>
            <w:gridSpan w:val="6"/>
          </w:tcPr>
          <w:p>
            <w:pPr>
              <w:spacing w:after="0"/>
              <w:rPr>
                <w:sz w:val="22"/>
                <w:szCs w:val="22"/>
                <w:color w:val="auto"/>
              </w:rPr>
            </w:pPr>
          </w:p>
        </w:tc>
        <w:tc>
          <w:tcPr>
            <w:tcW w:w="1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pursuant</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to Rule 13a-14(a) or Rule</w:t>
            </w:r>
          </w:p>
        </w:tc>
        <w:tc>
          <w:tcPr>
            <w:tcW w:w="14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15d-14(a) of the Exchange</w:t>
            </w:r>
          </w:p>
        </w:tc>
        <w:tc>
          <w:tcPr>
            <w:tcW w:w="1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Act, as adopted pursuant</w:t>
            </w:r>
          </w:p>
        </w:tc>
        <w:tc>
          <w:tcPr>
            <w:tcW w:w="24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to Section 302 of the</w:t>
            </w:r>
          </w:p>
        </w:tc>
        <w:tc>
          <w:tcPr>
            <w:tcW w:w="520" w:type="dxa"/>
            <w:vAlign w:val="bottom"/>
            <w:gridSpan w:val="14"/>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2002</w:t>
            </w:r>
          </w:p>
        </w:tc>
        <w:tc>
          <w:tcPr>
            <w:tcW w:w="3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6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Certifications of Principal</w:t>
            </w:r>
          </w:p>
        </w:tc>
        <w:tc>
          <w:tcPr>
            <w:tcW w:w="1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and</w:t>
            </w:r>
          </w:p>
        </w:tc>
        <w:tc>
          <w:tcPr>
            <w:tcW w:w="280" w:type="dxa"/>
            <w:vAlign w:val="bottom"/>
            <w:tcBorders>
              <w:top w:val="single" w:sz="8" w:color="0000EE"/>
            </w:tcBorders>
            <w:gridSpan w:val="7"/>
          </w:tcPr>
          <w:p>
            <w:pPr>
              <w:spacing w:after="0"/>
              <w:rPr>
                <w:sz w:val="17"/>
                <w:szCs w:val="17"/>
                <w:color w:val="auto"/>
              </w:rPr>
            </w:pPr>
          </w:p>
        </w:tc>
        <w:tc>
          <w:tcPr>
            <w:tcW w:w="16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Financial Officer</w:t>
            </w:r>
          </w:p>
        </w:tc>
        <w:tc>
          <w:tcPr>
            <w:tcW w:w="1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pursuant to 18 U.S.C.</w:t>
            </w:r>
          </w:p>
        </w:tc>
        <w:tc>
          <w:tcPr>
            <w:tcW w:w="460" w:type="dxa"/>
            <w:vAlign w:val="bottom"/>
            <w:gridSpan w:val="13"/>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 adopted</w:t>
            </w:r>
          </w:p>
        </w:tc>
        <w:tc>
          <w:tcPr>
            <w:tcW w:w="18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pursuant to Section 906 of</w:t>
            </w:r>
          </w:p>
        </w:tc>
        <w:tc>
          <w:tcPr>
            <w:tcW w:w="12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2002</w:t>
            </w:r>
          </w:p>
        </w:tc>
        <w:tc>
          <w:tcPr>
            <w:tcW w:w="3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6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2020" w:type="dxa"/>
            <w:vAlign w:val="bottom"/>
            <w:gridSpan w:val="24"/>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Blueprint Medicines</w:t>
              </w:r>
            </w:hyperlink>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Form 10-K</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001-37359</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97.1</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gridSpan w:val="24"/>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Corporation Policy for</w:t>
              </w:r>
            </w:hyperlink>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212">
              <w:r>
                <w:rPr>
                  <w:rFonts w:ascii="Times New Roman" w:cs="Times New Roman" w:eastAsia="Times New Roman" w:hAnsi="Times New Roman"/>
                  <w:sz w:val="18"/>
                  <w:szCs w:val="18"/>
                  <w:color w:val="0000EE"/>
                  <w:w w:val="97"/>
                </w:rPr>
                <w:t>Recoupment of</w:t>
              </w:r>
            </w:hyperlink>
          </w:p>
        </w:tc>
        <w:tc>
          <w:tcPr>
            <w:tcW w:w="520" w:type="dxa"/>
            <w:vAlign w:val="bottom"/>
            <w:tcBorders>
              <w:top w:val="single" w:sz="8" w:color="0000EE"/>
            </w:tcBorders>
            <w:gridSpan w:val="7"/>
          </w:tcPr>
          <w:p>
            <w:pPr>
              <w:spacing w:after="0"/>
              <w:rPr>
                <w:sz w:val="17"/>
                <w:szCs w:val="17"/>
                <w:color w:val="auto"/>
              </w:rPr>
            </w:pPr>
          </w:p>
        </w:tc>
        <w:tc>
          <w:tcPr>
            <w:tcW w:w="400" w:type="dxa"/>
            <w:vAlign w:val="bottom"/>
            <w:gridSpan w:val="11"/>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gridSpan w:val="24"/>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Erroneously Awarded</w:t>
              </w:r>
            </w:hyperlink>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Compensation</w:t>
              </w:r>
            </w:hyperlink>
          </w:p>
        </w:tc>
        <w:tc>
          <w:tcPr>
            <w:tcW w:w="460" w:type="dxa"/>
            <w:vAlign w:val="bottom"/>
            <w:gridSpan w:val="13"/>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121</w:t>
            </w:r>
          </w:p>
        </w:tc>
        <w:tc>
          <w:tcPr>
            <w:tcW w:w="11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the instance document</w:t>
            </w:r>
          </w:p>
        </w:tc>
        <w:tc>
          <w:tcPr>
            <w:tcW w:w="26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does not appear in the</w:t>
            </w:r>
          </w:p>
        </w:tc>
        <w:tc>
          <w:tcPr>
            <w:tcW w:w="26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Interactive Data File</w:t>
            </w:r>
          </w:p>
        </w:tc>
        <w:tc>
          <w:tcPr>
            <w:tcW w:w="26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because its XBRL tags are</w:t>
            </w:r>
          </w:p>
        </w:tc>
        <w:tc>
          <w:tcPr>
            <w:tcW w:w="26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embedded within the</w:t>
            </w:r>
          </w:p>
        </w:tc>
        <w:tc>
          <w:tcPr>
            <w:tcW w:w="26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Document</w:t>
            </w:r>
          </w:p>
        </w:tc>
        <w:tc>
          <w:tcPr>
            <w:tcW w:w="2640" w:type="dxa"/>
            <w:vAlign w:val="bottom"/>
          </w:tcPr>
          <w:p>
            <w:pPr>
              <w:spacing w:after="0"/>
              <w:rPr>
                <w:sz w:val="20"/>
                <w:szCs w:val="20"/>
                <w:color w:val="auto"/>
              </w:rPr>
            </w:pPr>
          </w:p>
        </w:tc>
      </w:tr>
      <w:tr>
        <w:trPr>
          <w:trHeight w:val="25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Extension Schema</w:t>
            </w:r>
          </w:p>
        </w:tc>
        <w:tc>
          <w:tcPr>
            <w:tcW w:w="26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640" w:type="dxa"/>
            <w:vAlign w:val="bottom"/>
          </w:tcPr>
          <w:p>
            <w:pPr>
              <w:spacing w:after="0"/>
              <w:rPr>
                <w:sz w:val="20"/>
                <w:szCs w:val="20"/>
                <w:color w:val="auto"/>
              </w:rPr>
            </w:pPr>
          </w:p>
        </w:tc>
      </w:tr>
      <w:tr>
        <w:trPr>
          <w:trHeight w:val="26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Extension Calculation</w:t>
            </w:r>
          </w:p>
        </w:tc>
        <w:tc>
          <w:tcPr>
            <w:tcW w:w="26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c>
          <w:tcPr>
            <w:tcW w:w="2640" w:type="dxa"/>
            <w:vAlign w:val="bottom"/>
          </w:tcPr>
          <w:p>
            <w:pPr>
              <w:spacing w:after="0"/>
              <w:rPr>
                <w:sz w:val="20"/>
                <w:szCs w:val="20"/>
                <w:color w:val="auto"/>
              </w:rPr>
            </w:pPr>
          </w:p>
        </w:tc>
      </w:tr>
      <w:tr>
        <w:trPr>
          <w:trHeight w:val="26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Extension Definition</w:t>
            </w:r>
          </w:p>
        </w:tc>
        <w:tc>
          <w:tcPr>
            <w:tcW w:w="26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c>
          <w:tcPr>
            <w:tcW w:w="2640" w:type="dxa"/>
            <w:vAlign w:val="bottom"/>
          </w:tcPr>
          <w:p>
            <w:pPr>
              <w:spacing w:after="0"/>
              <w:rPr>
                <w:sz w:val="20"/>
                <w:szCs w:val="20"/>
                <w:color w:val="auto"/>
              </w:rPr>
            </w:pPr>
          </w:p>
        </w:tc>
      </w:tr>
      <w:tr>
        <w:trPr>
          <w:trHeight w:val="26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Extension Label Linkbase</w:t>
            </w:r>
          </w:p>
        </w:tc>
        <w:tc>
          <w:tcPr>
            <w:tcW w:w="26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640" w:type="dxa"/>
            <w:vAlign w:val="bottom"/>
          </w:tcPr>
          <w:p>
            <w:pPr>
              <w:spacing w:after="0"/>
              <w:rPr>
                <w:sz w:val="20"/>
                <w:szCs w:val="20"/>
                <w:color w:val="auto"/>
              </w:rPr>
            </w:pPr>
          </w:p>
        </w:tc>
      </w:tr>
      <w:tr>
        <w:trPr>
          <w:trHeight w:val="26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Extension Presentation</w:t>
            </w:r>
          </w:p>
        </w:tc>
        <w:tc>
          <w:tcPr>
            <w:tcW w:w="26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c>
          <w:tcPr>
            <w:tcW w:w="2640" w:type="dxa"/>
            <w:vAlign w:val="bottom"/>
          </w:tcPr>
          <w:p>
            <w:pPr>
              <w:spacing w:after="0"/>
              <w:rPr>
                <w:sz w:val="20"/>
                <w:szCs w:val="20"/>
                <w:color w:val="auto"/>
              </w:rPr>
            </w:pPr>
          </w:p>
        </w:tc>
      </w:tr>
      <w:tr>
        <w:trPr>
          <w:trHeight w:val="26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 File (formatted as</w:t>
            </w:r>
          </w:p>
        </w:tc>
        <w:tc>
          <w:tcPr>
            <w:tcW w:w="2640" w:type="dxa"/>
            <w:vAlign w:val="bottom"/>
          </w:tcPr>
          <w:p>
            <w:pPr>
              <w:spacing w:after="0"/>
              <w:rPr>
                <w:sz w:val="20"/>
                <w:szCs w:val="20"/>
                <w:color w:val="auto"/>
              </w:rPr>
            </w:pPr>
          </w:p>
        </w:tc>
      </w:tr>
    </w:tbl>
    <w:p>
      <w:pPr>
        <w:ind w:left="980"/>
        <w:spacing w:after="0"/>
        <w:rPr>
          <w:sz w:val="20"/>
          <w:szCs w:val="20"/>
          <w:color w:val="auto"/>
        </w:rPr>
      </w:pPr>
      <w:r>
        <w:rPr>
          <w:rFonts w:ascii="Times New Roman" w:cs="Times New Roman" w:eastAsia="Times New Roman" w:hAnsi="Times New Roman"/>
          <w:sz w:val="18"/>
          <w:szCs w:val="18"/>
          <w:color w:val="auto"/>
        </w:rPr>
        <w:t>inline XBRL with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applicable taxonomy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extension information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contained in Exhibits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245745</wp:posOffset>
            </wp:positionV>
            <wp:extent cx="14141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7" w:lineRule="exact"/>
        <w:rPr>
          <w:sz w:val="20"/>
          <w:szCs w:val="20"/>
          <w:color w:val="auto"/>
        </w:rPr>
      </w:pPr>
    </w:p>
    <w:p>
      <w:pPr>
        <w:ind w:left="240" w:right="159" w:hanging="190"/>
        <w:spacing w:after="0" w:line="312" w:lineRule="auto"/>
        <w:tabs>
          <w:tab w:leader="none" w:pos="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exhibits to the Agreement have been omitted pursuant to Item 601(a)(5) of Regulation S-K. A copy of any omitted schedule and/or exhibit will be furnished to the Securities and Exchange Commission upon request</w:t>
      </w:r>
    </w:p>
    <w:p>
      <w:pPr>
        <w:spacing w:after="0" w:line="342" w:lineRule="exact"/>
        <w:rPr>
          <w:sz w:val="20"/>
          <w:szCs w:val="20"/>
          <w:color w:val="auto"/>
        </w:rPr>
      </w:pPr>
    </w:p>
    <w:p>
      <w:pPr>
        <w:ind w:left="240" w:right="299" w:hanging="190"/>
        <w:spacing w:after="0" w:line="282" w:lineRule="auto"/>
        <w:tabs>
          <w:tab w:leader="none" w:pos="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portions of the exhibit. Confidential materials omitted and filed separately with the Securities and Exchange Commission.</w:t>
      </w:r>
    </w:p>
    <w:p>
      <w:pPr>
        <w:spacing w:after="0" w:line="54" w:lineRule="exact"/>
        <w:rPr>
          <w:sz w:val="20"/>
          <w:szCs w:val="20"/>
          <w:color w:val="auto"/>
        </w:rPr>
      </w:pPr>
    </w:p>
    <w:p>
      <w:pPr>
        <w:ind w:left="240" w:right="559" w:hanging="18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12529"/>
        </w:rPr>
        <w:t>Certain portions of the exhibit have been omitted pursuant to Regulation S-K Item 601(b) because it is both (i)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material to investors and (ii) likely to cause competitive harm to the Company if publicly disclosed.</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240" w:right="339" w:hanging="190"/>
        <w:spacing w:after="0" w:line="261" w:lineRule="auto"/>
        <w:tabs>
          <w:tab w:leader="none" w:pos="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Annual Report on Form 10-K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162" w:lineRule="exact"/>
        <w:rPr>
          <w:sz w:val="20"/>
          <w:szCs w:val="20"/>
          <w:color w:val="auto"/>
        </w:rPr>
      </w:pPr>
    </w:p>
    <w:p>
      <w:pPr>
        <w:jc w:val="center"/>
        <w:ind w:right="6539"/>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33" w:lineRule="exact"/>
        <w:rPr>
          <w:sz w:val="20"/>
          <w:szCs w:val="20"/>
          <w:color w:val="auto"/>
        </w:rPr>
      </w:pPr>
    </w:p>
    <w:p>
      <w:pPr>
        <w:jc w:val="center"/>
        <w:ind w:right="6519"/>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4660" w:val="left"/>
          <w:tab w:leader="none" w:pos="5160" w:val="left"/>
        </w:tabs>
        <w:rPr>
          <w:sz w:val="20"/>
          <w:szCs w:val="20"/>
          <w:color w:val="auto"/>
        </w:rPr>
      </w:pPr>
      <w:r>
        <w:rPr>
          <w:rFonts w:ascii="Times New Roman" w:cs="Times New Roman" w:eastAsia="Times New Roman" w:hAnsi="Times New Roman"/>
          <w:sz w:val="18"/>
          <w:szCs w:val="18"/>
          <w:color w:val="auto"/>
        </w:rPr>
        <w:t>Date: February 13, 2025</w:t>
      </w:r>
      <w:r>
        <w:rPr>
          <w:sz w:val="20"/>
          <w:szCs w:val="20"/>
          <w:color w:val="auto"/>
        </w:rPr>
        <w:tab/>
      </w:r>
      <w:r>
        <w:rPr>
          <w:rFonts w:ascii="Times New Roman" w:cs="Times New Roman" w:eastAsia="Times New Roman" w:hAnsi="Times New Roman"/>
          <w:sz w:val="18"/>
          <w:szCs w:val="18"/>
          <w:color w:val="auto"/>
        </w:rPr>
        <w:t>By:</w:t>
        <w:tab/>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34290</wp:posOffset>
            </wp:positionV>
            <wp:extent cx="23914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3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00" w:lineRule="exact"/>
        <w:rPr>
          <w:sz w:val="20"/>
          <w:szCs w:val="20"/>
          <w:color w:val="auto"/>
        </w:rPr>
      </w:pPr>
    </w:p>
    <w:p>
      <w:pPr>
        <w:spacing w:after="0" w:line="257"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9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29"/>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Kathryn Haviland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240" w:type="dxa"/>
            <w:vAlign w:val="bottom"/>
            <w:vMerge w:val="restart"/>
          </w:tcPr>
          <w:p>
            <w:pPr>
              <w:spacing w:after="0"/>
              <w:rPr>
                <w:sz w:val="5"/>
                <w:szCs w:val="5"/>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Kathryn Haviland</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Michael Landsittel</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240" w:type="dxa"/>
            <w:vAlign w:val="bottom"/>
            <w:vMerge w:val="restart"/>
          </w:tcPr>
          <w:p>
            <w:pPr>
              <w:spacing w:after="0"/>
              <w:rPr>
                <w:sz w:val="5"/>
                <w:szCs w:val="5"/>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Michael Landsittel</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Ariel Hurley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 Finance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34"/>
        </w:trPr>
        <w:tc>
          <w:tcPr>
            <w:tcW w:w="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6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W. Albers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Jeffrey W. Albers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Daniella Beckman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Alexis Borisy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Lonnel Coats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Lonnel Coats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Habib Dable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Habib Dable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Goldberg</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Lydon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Nicholas Lydon, Ph.D.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Seely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Lynn Seely,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Tsai</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John Tsai,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40" w:type="dxa"/>
            <w:vAlign w:val="bottom"/>
            <w:gridSpan w:val="4"/>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Blueprint Medicines Corporation</w:t>
            </w:r>
          </w:p>
        </w:tc>
        <w:tc>
          <w:tcPr>
            <w:tcW w:w="1520" w:type="dxa"/>
            <w:vAlign w:val="bottom"/>
          </w:tcPr>
          <w:p>
            <w:pPr>
              <w:spacing w:after="0"/>
              <w:rPr>
                <w:sz w:val="20"/>
                <w:szCs w:val="20"/>
                <w:color w:val="auto"/>
              </w:rPr>
            </w:pPr>
          </w:p>
        </w:tc>
      </w:tr>
      <w:tr>
        <w:trPr>
          <w:trHeight w:val="459"/>
        </w:trPr>
        <w:tc>
          <w:tcPr>
            <w:tcW w:w="2080" w:type="dxa"/>
            <w:vAlign w:val="bottom"/>
          </w:tcPr>
          <w:p>
            <w:pPr>
              <w:spacing w:after="0"/>
              <w:rPr>
                <w:sz w:val="24"/>
                <w:szCs w:val="24"/>
                <w:color w:val="auto"/>
              </w:rPr>
            </w:pPr>
          </w:p>
        </w:tc>
        <w:tc>
          <w:tcPr>
            <w:tcW w:w="530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520" w:type="dxa"/>
            <w:vAlign w:val="bottom"/>
          </w:tcPr>
          <w:p>
            <w:pPr>
              <w:spacing w:after="0"/>
              <w:rPr>
                <w:sz w:val="24"/>
                <w:szCs w:val="24"/>
                <w:color w:val="auto"/>
              </w:rPr>
            </w:pPr>
          </w:p>
        </w:tc>
      </w:tr>
      <w:tr>
        <w:trPr>
          <w:trHeight w:val="405"/>
        </w:trPr>
        <w:tc>
          <w:tcPr>
            <w:tcW w:w="73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2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160" w:type="dxa"/>
            <w:vAlign w:val="bottom"/>
            <w:gridSpan w:val="2"/>
          </w:tcPr>
          <w:p>
            <w:pPr>
              <w:spacing w:after="0"/>
              <w:rPr>
                <w:sz w:val="17"/>
                <w:szCs w:val="17"/>
                <w:color w:val="auto"/>
              </w:rPr>
            </w:pP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2700" w:type="dxa"/>
            <w:vAlign w:val="bottom"/>
          </w:tcPr>
          <w:p>
            <w:pPr>
              <w:spacing w:after="0"/>
              <w:rPr>
                <w:sz w:val="17"/>
                <w:szCs w:val="17"/>
                <w:color w:val="auto"/>
              </w:rPr>
            </w:pP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7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35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840" w:type="dxa"/>
            <w:vAlign w:val="bottom"/>
            <w:gridSpan w:val="3"/>
          </w:tcPr>
          <w:p>
            <w:pPr>
              <w:spacing w:after="0"/>
              <w:rPr>
                <w:sz w:val="17"/>
                <w:szCs w:val="17"/>
                <w:color w:val="auto"/>
              </w:rPr>
            </w:pP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Blueprint Medicines Corporation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Blueprint Medicines Corporation (the Company) as of December 31, 2024 and 2023, the related consolidated statements of operations and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7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13, 2025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i w:val="1"/>
          <w:iCs w:val="1"/>
          <w:color w:val="auto"/>
        </w:rPr>
        <w:t>Accrued Clinical Trial Expenses</w:t>
      </w:r>
    </w:p>
    <w:p>
      <w:pPr>
        <w:spacing w:after="0" w:line="227" w:lineRule="exact"/>
        <w:rPr>
          <w:sz w:val="20"/>
          <w:szCs w:val="20"/>
          <w:color w:val="auto"/>
        </w:rPr>
      </w:pPr>
    </w:p>
    <w:p>
      <w:pPr>
        <w:ind w:left="14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Description of</w:t>
      </w:r>
      <w:r>
        <w:rPr>
          <w:sz w:val="20"/>
          <w:szCs w:val="20"/>
          <w:color w:val="auto"/>
        </w:rPr>
        <w:tab/>
      </w:r>
      <w:r>
        <w:rPr>
          <w:rFonts w:ascii="Times New Roman" w:cs="Times New Roman" w:eastAsia="Times New Roman" w:hAnsi="Times New Roman"/>
          <w:sz w:val="18"/>
          <w:szCs w:val="18"/>
          <w:color w:val="auto"/>
        </w:rPr>
        <w:t>As discussed in Note 2 to the consolidated financial statements, the Company accrues costs for</w:t>
      </w:r>
    </w:p>
    <w:p>
      <w:pPr>
        <w:spacing w:after="0" w:line="29" w:lineRule="exact"/>
        <w:rPr>
          <w:sz w:val="20"/>
          <w:szCs w:val="20"/>
          <w:color w:val="auto"/>
        </w:rPr>
      </w:pPr>
    </w:p>
    <w:p>
      <w:pPr>
        <w:ind w:left="14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the Matter</w:t>
      </w:r>
      <w:r>
        <w:rPr>
          <w:sz w:val="20"/>
          <w:szCs w:val="20"/>
          <w:color w:val="auto"/>
        </w:rPr>
        <w:tab/>
      </w:r>
      <w:r>
        <w:rPr>
          <w:rFonts w:ascii="Times New Roman" w:cs="Times New Roman" w:eastAsia="Times New Roman" w:hAnsi="Times New Roman"/>
          <w:sz w:val="18"/>
          <w:szCs w:val="18"/>
          <w:color w:val="auto"/>
        </w:rPr>
        <w:t>clinical trial activities based upon estimates of the services received and related expenses incurred</w:t>
      </w:r>
    </w:p>
    <w:p>
      <w:pPr>
        <w:spacing w:after="0" w:line="9" w:lineRule="exact"/>
        <w:rPr>
          <w:sz w:val="20"/>
          <w:szCs w:val="20"/>
          <w:color w:val="auto"/>
        </w:rPr>
      </w:pPr>
    </w:p>
    <w:p>
      <w:pPr>
        <w:ind w:left="1780" w:right="179"/>
        <w:spacing w:after="0" w:line="260" w:lineRule="auto"/>
        <w:rPr>
          <w:sz w:val="20"/>
          <w:szCs w:val="20"/>
          <w:color w:val="auto"/>
        </w:rPr>
      </w:pPr>
      <w:r>
        <w:rPr>
          <w:rFonts w:ascii="Times New Roman" w:cs="Times New Roman" w:eastAsia="Times New Roman" w:hAnsi="Times New Roman"/>
          <w:sz w:val="18"/>
          <w:szCs w:val="18"/>
          <w:color w:val="auto"/>
        </w:rPr>
        <w:t>through the balance sheet date that have yet to be invoiced by the contract research organizations or other clinical trial vendors that perform the activities.</w:t>
      </w:r>
    </w:p>
    <w:p>
      <w:pPr>
        <w:spacing w:after="0" w:line="168" w:lineRule="exact"/>
        <w:rPr>
          <w:sz w:val="20"/>
          <w:szCs w:val="20"/>
          <w:color w:val="auto"/>
        </w:rPr>
      </w:pPr>
    </w:p>
    <w:p>
      <w:pPr>
        <w:ind w:left="1780" w:right="239"/>
        <w:spacing w:after="0" w:line="258" w:lineRule="auto"/>
        <w:rPr>
          <w:sz w:val="20"/>
          <w:szCs w:val="20"/>
          <w:color w:val="auto"/>
        </w:rPr>
      </w:pPr>
      <w:r>
        <w:rPr>
          <w:rFonts w:ascii="Times New Roman" w:cs="Times New Roman" w:eastAsia="Times New Roman" w:hAnsi="Times New Roman"/>
          <w:sz w:val="18"/>
          <w:szCs w:val="18"/>
          <w:color w:val="auto"/>
        </w:rPr>
        <w:t>Auditing the Company’s accruals for clinical trials is challenging due to the fact that information necessary to estimate the accruals is accumulated from multiple sources. In addition, in certain circumstances, the determination of the nature and level of services that have been received during the reporting period requires judgment because the timing and pattern of vendor invoicing does not correspond to the level of services provided and there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tbl>
      <w:tblPr>
        <w:tblLayout w:type="fixed"/>
        <w:tblInd w:w="6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7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126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be delays in invoicing from clinical study sites and other vendors.</w:t>
            </w:r>
          </w:p>
        </w:tc>
        <w:tc>
          <w:tcPr>
            <w:tcW w:w="0" w:type="dxa"/>
            <w:vAlign w:val="bottom"/>
          </w:tcPr>
          <w:p>
            <w:pPr>
              <w:spacing w:after="0"/>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 obtained an understanding of, evaluated the design and tested the operating effectiveness of</w:t>
            </w:r>
          </w:p>
        </w:tc>
        <w:tc>
          <w:tcPr>
            <w:tcW w:w="0" w:type="dxa"/>
            <w:vAlign w:val="bottom"/>
          </w:tcPr>
          <w:p>
            <w:pPr>
              <w:spacing w:after="0"/>
              <w:rPr>
                <w:sz w:val="1"/>
                <w:szCs w:val="1"/>
                <w:color w:val="auto"/>
              </w:rPr>
            </w:pPr>
          </w:p>
        </w:tc>
      </w:tr>
      <w:tr>
        <w:trPr>
          <w:trHeight w:val="21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internal controls that addressed the identified risks related to the Company’s process for recording</w:t>
            </w:r>
          </w:p>
        </w:tc>
        <w:tc>
          <w:tcPr>
            <w:tcW w:w="0" w:type="dxa"/>
            <w:vAlign w:val="bottom"/>
          </w:tcPr>
          <w:p>
            <w:pPr>
              <w:spacing w:after="0"/>
              <w:rPr>
                <w:sz w:val="1"/>
                <w:szCs w:val="1"/>
                <w:color w:val="auto"/>
              </w:rPr>
            </w:pPr>
          </w:p>
        </w:tc>
      </w:tr>
      <w:tr>
        <w:trPr>
          <w:trHeight w:val="21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clinical expenses.</w:t>
            </w:r>
          </w:p>
        </w:tc>
        <w:tc>
          <w:tcPr>
            <w:tcW w:w="0" w:type="dxa"/>
            <w:vAlign w:val="bottom"/>
          </w:tcPr>
          <w:p>
            <w:pPr>
              <w:spacing w:after="0"/>
              <w:rPr>
                <w:sz w:val="1"/>
                <w:szCs w:val="1"/>
                <w:color w:val="auto"/>
              </w:rPr>
            </w:pPr>
          </w:p>
        </w:tc>
      </w:tr>
      <w:tr>
        <w:trPr>
          <w:trHeight w:val="23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5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To evaluate the accrual for clinical expenses, our audit procedures included, among others,</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testing the completeness and accuracy of the underlying data used in the estimates and</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520" w:type="dxa"/>
            <w:vAlign w:val="bottom"/>
          </w:tcPr>
          <w:p>
            <w:pPr>
              <w:ind w:left="460"/>
              <w:spacing w:after="0" w:line="202" w:lineRule="exact"/>
              <w:rPr>
                <w:sz w:val="20"/>
                <w:szCs w:val="20"/>
                <w:color w:val="auto"/>
              </w:rPr>
            </w:pPr>
            <w:r>
              <w:rPr>
                <w:rFonts w:ascii="Times New Roman" w:cs="Times New Roman" w:eastAsia="Times New Roman" w:hAnsi="Times New Roman"/>
                <w:sz w:val="18"/>
                <w:szCs w:val="18"/>
                <w:color w:val="auto"/>
              </w:rPr>
              <w:t>evaluating the significant assumptions including, but not limited to, expected patient enrollment,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costs per patient, site activation and estimated project duration, that are used by management to</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estimate the recorded accruals. To assess the reasonableness of the significant assumptions, we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corroborated the progress of clinical trials with the Company’s clinical team and obtained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information directly from third parties related to active patient sites and currently enrolled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patients. We also tested subsequent invoicing received from such third parties and inspected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Company’s contracts with third parties and any pending change orders to assess the impact to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accrual through the balance sheet date and compared that to the Company’s estimates.</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13, 2025</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4"/>
        </w:trPr>
        <w:tc>
          <w:tcPr>
            <w:tcW w:w="66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83"/>
        </w:trPr>
        <w:tc>
          <w:tcPr>
            <w:tcW w:w="6620" w:type="dxa"/>
            <w:vAlign w:val="bottom"/>
            <w:shd w:val="clear" w:color="auto" w:fill="CCEEFF"/>
          </w:tcPr>
          <w:p>
            <w:pPr>
              <w:ind w:left="306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102,014</w:t>
            </w:r>
          </w:p>
        </w:tc>
        <w:tc>
          <w:tcPr>
            <w:tcW w:w="1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71,286</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513,473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639,355</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75,797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42,827</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21,223</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35,971</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33,351</w:t>
            </w:r>
          </w:p>
        </w:tc>
        <w:tc>
          <w:tcPr>
            <w:tcW w:w="100" w:type="dxa"/>
            <w:vAlign w:val="bottom"/>
            <w:tcBorders>
              <w:bottom w:val="single" w:sz="8" w:color="CCEEFF"/>
            </w:tcBorders>
          </w:tcPr>
          <w:p>
            <w:pPr>
              <w:spacing w:after="0"/>
              <w:rPr>
                <w:sz w:val="16"/>
                <w:szCs w:val="16"/>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742,678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808,393</w:t>
            </w:r>
          </w:p>
        </w:tc>
        <w:tc>
          <w:tcPr>
            <w:tcW w:w="100" w:type="dxa"/>
            <w:vAlign w:val="bottom"/>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248,450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56,530</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41,959</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73,691</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27,789</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30,650</w:t>
            </w:r>
          </w:p>
        </w:tc>
        <w:tc>
          <w:tcPr>
            <w:tcW w:w="100" w:type="dxa"/>
            <w:vAlign w:val="bottom"/>
            <w:shd w:val="clear" w:color="auto" w:fill="CCEEFF"/>
          </w:tcPr>
          <w:p>
            <w:pPr>
              <w:spacing w:after="0"/>
              <w:rPr>
                <w:sz w:val="16"/>
                <w:szCs w:val="16"/>
                <w:color w:val="auto"/>
              </w:rPr>
            </w:pPr>
          </w:p>
        </w:tc>
      </w:tr>
      <w:tr>
        <w:trPr>
          <w:trHeight w:val="223"/>
        </w:trPr>
        <w:tc>
          <w:tcPr>
            <w:tcW w:w="662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1,179,813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1,049,250</w:t>
            </w:r>
          </w:p>
        </w:tc>
        <w:tc>
          <w:tcPr>
            <w:tcW w:w="100" w:type="dxa"/>
            <w:vAlign w:val="bottom"/>
            <w:tcBorders>
              <w:bottom w:val="single" w:sz="8" w:color="CCEEFF"/>
            </w:tcBorders>
          </w:tcPr>
          <w:p>
            <w:pPr>
              <w:spacing w:after="0"/>
              <w:rPr>
                <w:sz w:val="19"/>
                <w:szCs w:val="19"/>
                <w:color w:val="auto"/>
              </w:rPr>
            </w:pPr>
          </w:p>
        </w:tc>
      </w:tr>
      <w:tr>
        <w:trPr>
          <w:trHeight w:val="170"/>
        </w:trPr>
        <w:tc>
          <w:tcPr>
            <w:tcW w:w="6620" w:type="dxa"/>
            <w:vAlign w:val="bottom"/>
            <w:shd w:val="clear" w:color="auto" w:fill="CCEEFF"/>
          </w:tcPr>
          <w:p>
            <w:pPr>
              <w:ind w:left="2060"/>
              <w:spacing w:after="0" w:line="170"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1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133,088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127,992</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11,933</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liabilities related to the sale of future royalties and revenues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61,650</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39,198</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term loan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43,917</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30,278</w:t>
            </w:r>
          </w:p>
        </w:tc>
        <w:tc>
          <w:tcPr>
            <w:tcW w:w="100" w:type="dxa"/>
            <w:vAlign w:val="bottom"/>
            <w:tcBorders>
              <w:bottom w:val="single" w:sz="8" w:color="CCEEFF"/>
            </w:tcBorders>
          </w:tcPr>
          <w:p>
            <w:pPr>
              <w:spacing w:after="0"/>
              <w:rPr>
                <w:sz w:val="16"/>
                <w:szCs w:val="16"/>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260,796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214,923</w:t>
            </w:r>
          </w:p>
        </w:tc>
        <w:tc>
          <w:tcPr>
            <w:tcW w:w="100" w:type="dxa"/>
            <w:vAlign w:val="bottom"/>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68,790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81,751</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Liabilities related to the sale of future royalties and revenues, net of current portion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402,427</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 portion</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343,053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208,535</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6,792</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100" w:type="dxa"/>
            <w:vAlign w:val="bottom"/>
            <w:tcBorders>
              <w:bottom w:val="single" w:sz="8" w:color="CCEEFF"/>
            </w:tcBorders>
          </w:tcPr>
          <w:p>
            <w:pPr>
              <w:spacing w:after="0"/>
              <w:rPr>
                <w:sz w:val="16"/>
                <w:szCs w:val="16"/>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881,148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918,641</w:t>
            </w:r>
          </w:p>
        </w:tc>
        <w:tc>
          <w:tcPr>
            <w:tcW w:w="100" w:type="dxa"/>
            <w:vAlign w:val="bottom"/>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66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Common stock, $0.001 par value; 120,000,000 shares authorized; 63,712,256 and 61,147,236 shares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issued and outstanding at December 31, 2024 and December 31, 2023, respectively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2,709,183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2,473,985</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(2,407,031)</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(2,339,942)</w:t>
            </w:r>
          </w:p>
        </w:tc>
        <w:tc>
          <w:tcPr>
            <w:tcW w:w="100" w:type="dxa"/>
            <w:vAlign w:val="bottom"/>
            <w:tcBorders>
              <w:bottom w:val="single" w:sz="8" w:color="CCEEFF"/>
            </w:tcBorders>
          </w:tcPr>
          <w:p>
            <w:pPr>
              <w:spacing w:after="0"/>
              <w:rPr>
                <w:sz w:val="16"/>
                <w:szCs w:val="16"/>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298,665</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130,609</w:t>
            </w:r>
          </w:p>
        </w:tc>
        <w:tc>
          <w:tcPr>
            <w:tcW w:w="100" w:type="dxa"/>
            <w:vAlign w:val="bottom"/>
            <w:shd w:val="clear" w:color="auto" w:fill="CCEEFF"/>
          </w:tcPr>
          <w:p>
            <w:pPr>
              <w:spacing w:after="0"/>
              <w:rPr>
                <w:sz w:val="15"/>
                <w:szCs w:val="15"/>
                <w:color w:val="auto"/>
              </w:rPr>
            </w:pPr>
          </w:p>
        </w:tc>
      </w:tr>
      <w:tr>
        <w:trPr>
          <w:trHeight w:val="183"/>
        </w:trPr>
        <w:tc>
          <w:tcPr>
            <w:tcW w:w="66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1,179,813</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1,049,250</w:t>
            </w:r>
          </w:p>
        </w:tc>
        <w:tc>
          <w:tcPr>
            <w:tcW w:w="100" w:type="dxa"/>
            <w:vAlign w:val="bottom"/>
          </w:tcPr>
          <w:p>
            <w:pPr>
              <w:spacing w:after="0"/>
              <w:rPr>
                <w:sz w:val="15"/>
                <w:szCs w:val="15"/>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1520" w:right="1940"/>
        <w:spacing w:after="0" w:line="268" w:lineRule="auto"/>
        <w:rPr>
          <w:sz w:val="20"/>
          <w:szCs w:val="20"/>
          <w:color w:val="auto"/>
        </w:rPr>
      </w:pPr>
      <w:r>
        <w:rPr>
          <w:rFonts w:ascii="Times New Roman" w:cs="Times New Roman" w:eastAsia="Times New Roman" w:hAnsi="Times New Roman"/>
          <w:sz w:val="18"/>
          <w:szCs w:val="18"/>
          <w:b w:val="1"/>
          <w:bCs w:val="1"/>
          <w:color w:val="auto"/>
        </w:rPr>
        <w:t>Blueprint Medicines Corporation Consolidated Statements of Operations and Comprehensive Loss (in thousands, except per share data)</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4"/>
        </w:trPr>
        <w:tc>
          <w:tcPr>
            <w:tcW w:w="6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478,950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license and other revenue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65,543</w:t>
            </w: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508,824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477,419</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237,374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741,554</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(28,151)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(18,793)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extinguishment gain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(552,281)</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(506,984)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(557,517)</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pension benefit obligations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(67,145)</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(500,036)</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(563,827)</w:t>
            </w:r>
          </w:p>
        </w:tc>
        <w:tc>
          <w:tcPr>
            <w:tcW w:w="0" w:type="dxa"/>
            <w:vAlign w:val="bottom"/>
          </w:tcPr>
          <w:p>
            <w:pPr>
              <w:spacing w:after="0"/>
              <w:rPr>
                <w:sz w:val="1"/>
                <w:szCs w:val="1"/>
                <w:color w:val="auto"/>
              </w:rPr>
            </w:pPr>
          </w:p>
        </w:tc>
      </w:tr>
      <w:tr>
        <w:trPr>
          <w:trHeight w:val="197"/>
        </w:trPr>
        <w:tc>
          <w:tcPr>
            <w:tcW w:w="60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Weighted-average number of common shares used in net loss per share — basic</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62,857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60,558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59,642</w:t>
            </w:r>
          </w:p>
        </w:tc>
        <w:tc>
          <w:tcPr>
            <w:tcW w:w="0" w:type="dxa"/>
            <w:vAlign w:val="bottom"/>
          </w:tcPr>
          <w:p>
            <w:pPr>
              <w:spacing w:after="0"/>
              <w:rPr>
                <w:sz w:val="1"/>
                <w:szCs w:val="1"/>
                <w:color w:val="auto"/>
              </w:rPr>
            </w:pPr>
          </w:p>
        </w:tc>
      </w:tr>
      <w:tr>
        <w:trPr>
          <w:trHeight w:val="221"/>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8"/>
        </w:trPr>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6"/>
        </w:trPr>
        <w:tc>
          <w:tcPr>
            <w:tcW w:w="4180" w:type="dxa"/>
            <w:vAlign w:val="bottom"/>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44"/>
        </w:trPr>
        <w:tc>
          <w:tcPr>
            <w:tcW w:w="418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2"/>
                <w:szCs w:val="12"/>
                <w:color w:val="auto"/>
              </w:rPr>
            </w:pPr>
          </w:p>
        </w:tc>
        <w:tc>
          <w:tcPr>
            <w:tcW w:w="8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2"/>
                <w:szCs w:val="12"/>
                <w:color w:val="auto"/>
              </w:rPr>
            </w:pPr>
          </w:p>
        </w:tc>
        <w:tc>
          <w:tcPr>
            <w:tcW w:w="720" w:type="dxa"/>
            <w:vAlign w:val="bottom"/>
            <w:gridSpan w:val="2"/>
          </w:tcPr>
          <w:p>
            <w:pPr>
              <w:jc w:val="right"/>
              <w:ind w:right="320"/>
              <w:spacing w:after="0" w:line="144"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2"/>
                <w:szCs w:val="12"/>
                <w:color w:val="auto"/>
              </w:rPr>
            </w:pPr>
          </w:p>
        </w:tc>
        <w:tc>
          <w:tcPr>
            <w:tcW w:w="600" w:type="dxa"/>
            <w:vAlign w:val="bottom"/>
          </w:tcPr>
          <w:p>
            <w:pPr>
              <w:jc w:val="right"/>
              <w:ind w:right="117"/>
              <w:spacing w:after="0" w:line="144"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41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2021</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59,141,086</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59</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$ 2,250,250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(4,133)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5"/>
              </w:rPr>
              <w:t>(1,275,441)</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970,735</w:t>
            </w: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 and stock 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817,833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8,135</w:t>
            </w: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99,634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99,634</w:t>
            </w: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(6,310)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(6,310)</w:t>
            </w: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(557,517)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(557,517)</w:t>
            </w:r>
          </w:p>
        </w:tc>
      </w:tr>
      <w:tr>
        <w:trPr>
          <w:trHeight w:val="142"/>
        </w:trPr>
        <w:tc>
          <w:tcPr>
            <w:tcW w:w="41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2022</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59,958,919</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$ 2,358,018</w:t>
            </w:r>
          </w:p>
        </w:tc>
        <w:tc>
          <w:tcPr>
            <w:tcW w:w="120" w:type="dxa"/>
            <w:vAlign w:val="bottom"/>
          </w:tcPr>
          <w:p>
            <w:pPr>
              <w:spacing w:after="0"/>
              <w:rPr>
                <w:sz w:val="12"/>
                <w:szCs w:val="12"/>
                <w:color w:val="auto"/>
              </w:rPr>
            </w:pPr>
          </w:p>
        </w:tc>
        <w:tc>
          <w:tcPr>
            <w:tcW w:w="16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(10,443)</w:t>
            </w:r>
          </w:p>
        </w:tc>
        <w:tc>
          <w:tcPr>
            <w:tcW w:w="12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5"/>
              </w:rPr>
              <w:t>(1,832,958)</w:t>
            </w: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514,677</w:t>
            </w:r>
          </w:p>
        </w:tc>
      </w:tr>
      <w:tr>
        <w:trPr>
          <w:trHeight w:val="148"/>
        </w:trPr>
        <w:tc>
          <w:tcPr>
            <w:tcW w:w="4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 and stock 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1,188,317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22,712</w:t>
            </w: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93,256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93,256</w:t>
            </w: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6,948</w:t>
            </w:r>
          </w:p>
        </w:tc>
      </w:tr>
      <w:tr>
        <w:trPr>
          <w:trHeight w:val="14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(506,984)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(506,984)</w:t>
            </w:r>
          </w:p>
        </w:tc>
      </w:tr>
      <w:tr>
        <w:trPr>
          <w:trHeight w:val="142"/>
        </w:trPr>
        <w:tc>
          <w:tcPr>
            <w:tcW w:w="41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2023</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61,147,236</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61</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$ 2,473,985</w:t>
            </w:r>
          </w:p>
        </w:tc>
        <w:tc>
          <w:tcPr>
            <w:tcW w:w="120" w:type="dxa"/>
            <w:vAlign w:val="bottom"/>
          </w:tcPr>
          <w:p>
            <w:pPr>
              <w:spacing w:after="0"/>
              <w:rPr>
                <w:sz w:val="12"/>
                <w:szCs w:val="12"/>
                <w:color w:val="auto"/>
              </w:rPr>
            </w:pPr>
          </w:p>
        </w:tc>
        <w:tc>
          <w:tcPr>
            <w:tcW w:w="16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(3,495)</w:t>
            </w:r>
          </w:p>
        </w:tc>
        <w:tc>
          <w:tcPr>
            <w:tcW w:w="12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5"/>
              </w:rPr>
              <w:t>(2,339,942)</w:t>
            </w: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130,609</w:t>
            </w:r>
          </w:p>
        </w:tc>
      </w:tr>
      <w:tr>
        <w:trPr>
          <w:trHeight w:val="148"/>
        </w:trPr>
        <w:tc>
          <w:tcPr>
            <w:tcW w:w="4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 and stock 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2,020,301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76,365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76,367</w:t>
            </w:r>
          </w:p>
        </w:tc>
      </w:tr>
      <w:tr>
        <w:trPr>
          <w:trHeight w:val="14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109,920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109,920</w:t>
            </w: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At-the-market offerings, net of issuance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544,719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48,936</w:t>
            </w: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4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4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(67,089)</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(67,089)</w:t>
            </w:r>
          </w:p>
        </w:tc>
      </w:tr>
      <w:tr>
        <w:trPr>
          <w:trHeight w:val="142"/>
        </w:trPr>
        <w:tc>
          <w:tcPr>
            <w:tcW w:w="41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2024</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63,712,256</w:t>
            </w: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64</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7"/>
              </w:rPr>
              <w:t>$ 2,709,183</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(3,551)</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5"/>
              </w:rPr>
              <w:t>(2,407,031)</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298,665</w:t>
            </w:r>
          </w:p>
        </w:tc>
      </w:tr>
      <w:tr>
        <w:trPr>
          <w:trHeight w:val="20"/>
        </w:trPr>
        <w:tc>
          <w:tcPr>
            <w:tcW w:w="4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8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(67,089)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(506,984)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(557,517)</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98,971</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customer consideration</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debt extinguishment gain</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(173,676)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(accretion of discount) amortization of premium on investments</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(22,465)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16"/>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0" w:type="dxa"/>
            <w:vAlign w:val="bottom"/>
          </w:tcPr>
          <w:p>
            <w:pPr>
              <w:spacing w:after="0"/>
              <w:rPr>
                <w:sz w:val="1"/>
                <w:szCs w:val="1"/>
                <w:color w:val="auto"/>
              </w:rPr>
            </w:pPr>
          </w:p>
        </w:tc>
      </w:tr>
      <w:tr>
        <w:trPr>
          <w:trHeight w:val="216"/>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0" w:type="dxa"/>
            <w:vAlign w:val="bottom"/>
          </w:tcPr>
          <w:p>
            <w:pPr>
              <w:spacing w:after="0"/>
              <w:rPr>
                <w:sz w:val="1"/>
                <w:szCs w:val="1"/>
                <w:color w:val="auto"/>
              </w:rPr>
            </w:pPr>
          </w:p>
        </w:tc>
      </w:tr>
      <w:tr>
        <w:trPr>
          <w:trHeight w:val="216"/>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16"/>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(12,233)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0" w:type="dxa"/>
            <w:vAlign w:val="bottom"/>
          </w:tcPr>
          <w:p>
            <w:pPr>
              <w:spacing w:after="0"/>
              <w:rPr>
                <w:sz w:val="1"/>
                <w:szCs w:val="1"/>
                <w:color w:val="auto"/>
              </w:rPr>
            </w:pPr>
          </w:p>
        </w:tc>
      </w:tr>
      <w:tr>
        <w:trPr>
          <w:trHeight w:val="216"/>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(11,963)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(502,277)</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(966,431)</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(766,363)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(489,705)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349,373</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(149,541)</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at-the-market offerings, net of issuance costs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stock option exercises and employee stock purchase plan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term loan facility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137,786</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the sale of future royalties and revenues</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415,828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Principle payments for financing arrangements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273,111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119,225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561,810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(90,008)</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113,639</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124,904</w:t>
            </w: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79,852</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Property and equipment purchases unpaid at period end</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425</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(refunds received) for taxes, net</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1,104</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6,505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Blueprint Medicines Corporation (the Company), a Delaware corporation incorporated on October 14, 2008, is a global fully-integrated biopharmaceutical company that invents life-changing medicines in two core focus areas: allergy/inflammation and oncology/hematology. The Company’s approach targets the root causes of disease, using deep scientific knowledge in the Company’s core focus areas and drug discovery expertise across multiple therapeutic modalities.</w:t>
      </w:r>
    </w:p>
    <w:p>
      <w:pPr>
        <w:spacing w:after="0" w:line="187"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The Company has a track record of success with two approved medicines, including AYVAKIT®/AYVAKYT® (avapritinib), which the Company is bringing to patients living with systemic mastocytosis (SM) and PDGFRA Exon 18 mutant GIST in the U.S. and Europe. Leveraging the Company’s established research, development, and commercial capability and infrastructure, the Company now aims to significantly scale its impact by advancing a broad pipeline of programs ranging from early science to advanced clinical trials in mast cell diseases including SM and chronic urticaria, breast cancer and other solid tumors.</w:t>
      </w:r>
    </w:p>
    <w:p>
      <w:pPr>
        <w:spacing w:after="0" w:line="18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those of other commercial-stage companies, including but not limited to: successful commercialization of its current and future drugs, either by itself or through collaboration with third parties; establishing safety and efficacy in clinical trials and obtaining regulatory approvals for its drug candidates; competition from other companies; compliance with comprehensive and ongoing regulatory requirements and legislative changes; and the need to obtain adequate additional financing to fund the development of its drug candidates. If the Company is unable to raise capital when needed or on attractive terms, it may be forced to delay, reduce, eliminate or repartner certain of its research and development programs or future commercialization efforts.</w:t>
      </w:r>
    </w:p>
    <w:p>
      <w:pPr>
        <w:spacing w:after="0" w:line="175"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cash, cash equivalents and marketable securities of $863.9 million. Based on the Company’s current operating plans, the Company anticipates that its existing cash, cash equivalents and marketable securities will be sufficient to enable it to fund its current operations for at least the next twelve months from the issuance of the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Recent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audited consolidated financial statements of the Company included herein have been prepared in accordance with accounting principles generally accepted in the U.S. (GAAP) as found in the Accounting Standards Codification (ASC) and Accounting Standards Updates (ASU) of the Financial Accounting Standards Board (FASB) and the rules and regulations of the Securities and Exchange Commission (SEC).</w:t>
      </w:r>
    </w:p>
    <w:p>
      <w:pPr>
        <w:spacing w:after="0" w:line="187"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 related to the sale of future royalties and future revenues, equity investment, debt modification, and income taxes.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The Company accounts for contracts with customers in accordance with ASC Topic 606, </w:t>
      </w:r>
      <w:r>
        <w:rPr>
          <w:rFonts w:ascii="Times New Roman" w:cs="Times New Roman" w:eastAsia="Times New Roman" w:hAnsi="Times New Roman"/>
          <w:sz w:val="18"/>
          <w:szCs w:val="18"/>
          <w:i w:val="1"/>
          <w:iCs w:val="1"/>
          <w:color w:val="auto"/>
        </w:rPr>
        <w:t>Revenue from Contracts</w:t>
      </w:r>
    </w:p>
    <w:p>
      <w:pPr>
        <w:spacing w:after="0" w:line="50"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(ASC 606). The Company recognizes revenue when its customer obtains control of promised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8"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Consideration received prior to revenue recognition is recorded as deferred revenue in the consolidated balance sheets.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Amounts are recorded as accounts receivable if the Company transfer goods or services to a customer before the customer pays consideration and the Company’s right to consideration is unconditional.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generated product revenue primarily from sales of </w:t>
      </w:r>
      <w:r>
        <w:rPr>
          <w:rFonts w:ascii="Times New Roman" w:cs="Times New Roman" w:eastAsia="Times New Roman" w:hAnsi="Times New Roman"/>
          <w:sz w:val="18"/>
          <w:szCs w:val="18"/>
          <w:color w:val="0A0A0A"/>
          <w:highlight w:val="white"/>
        </w:rPr>
        <w:t>AYVAKIT</w:t>
      </w:r>
      <w:r>
        <w:rPr>
          <w:rFonts w:ascii="Times New Roman" w:cs="Times New Roman" w:eastAsia="Times New Roman" w:hAnsi="Times New Roman"/>
          <w:sz w:val="18"/>
          <w:szCs w:val="18"/>
          <w:color w:val="auto"/>
        </w:rPr>
        <w:t xml:space="preserve"> in the U.S and sales of AYVAKYT in the European Union to a limited number of specialty distributors and specialty pharmacy providers. These customers subsequently resell the products or dispense the products directly to patients. In addition, the Company entered into arrangements with payors that provide for government mandated rebates, discounts and allowances with respect to the utilization of </w:t>
      </w:r>
      <w:r>
        <w:rPr>
          <w:rFonts w:ascii="Times New Roman" w:cs="Times New Roman" w:eastAsia="Times New Roman" w:hAnsi="Times New Roman"/>
          <w:sz w:val="18"/>
          <w:szCs w:val="18"/>
          <w:color w:val="0A0A0A"/>
          <w:highlight w:val="white"/>
        </w:rPr>
        <w:t>its products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7"/>
          <w:szCs w:val="17"/>
          <w:color w:val="auto"/>
        </w:rPr>
        <w:t>Product revenue is recognized when the customer takes control of the product, typically upon delivery to the customer. Product revenue is recorded at the net sales price, or transaction price, which includes estimated reserves for variable consideration resulting from chargebacks, government rebates, trade discounts and allowances, product returns and other incentives that are offered within the contract with customers, healthcare providers, payors and other indirect customers relating to the sales of the Company’s product. Reserves are established based on the amounts earned or to be claimed on the related sales. Where appropriate, the Company utilizes the expected value method to determine the appropriate amount for estimates of variable consideration based on factors such as historical rebate payments for these programs, the Company’s current contractual and statutory requirements, specific known market events and trends, industry data and forecasted customer buying and payment patterns, the percentage of product that are sold via these programs, and the product’s pricing.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adjusts these estimates, which would affect net product revenue and earnings in the period such variances become known.</w:t>
      </w:r>
    </w:p>
    <w:p>
      <w:pPr>
        <w:spacing w:after="0" w:line="16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for fees and discounts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 to qualified healthcare providers and government agencies at prices lower than the list prices charged to the customers who directly purchase the product from the Company. The customers charge the Company for the difference between what they pay for the product and the ultimate contractually committed or</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government required lower selling price to the qualified healthcare providers. These reserves are estimated using the expected value method based upon a range of possible outcomes and are established in the same period that the related revenue is recognized, resulting in a reduction of product revenue.</w:t>
      </w:r>
    </w:p>
    <w:p>
      <w:pPr>
        <w:spacing w:after="0" w:line="17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Government rebates consist of Medicare, Tricare and Medicaid rebates, which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using the expected value method, based upon a range of possible outcomes for the estimated payor mix. These reserves are recorded in the same period the related revenue is recognized, resulting in a reduction of product revenue. For Medicare, the Company also estimates the number of patients in the prescription drug coverage gap for whom it will owe a rebate under the Medicare Part D program.</w:t>
      </w:r>
    </w:p>
    <w:p>
      <w:pPr>
        <w:spacing w:after="0" w:line="183"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The Company provides the customers with discounts that are explicitly stated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contracts and recorded as a reduction of revenue in the period the related product revenue is recognized. In addition, the Company also receives sales order management, inventory management and data services from the customers in exchange for certain fees.</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estimates the amount of its product sales that may be returned by its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records this estimate as a reduction of revenue in the period the related product revenue is recognized. The Company currently estimates product return liabilities using expected value method based on available industry data and its visibility into the inventory remaining in the distribution channel.</w:t>
      </w:r>
    </w:p>
    <w:p>
      <w:pPr>
        <w:spacing w:after="0" w:line="183"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deductions: </w:t>
      </w:r>
      <w:r>
        <w:rPr>
          <w:rFonts w:ascii="Times New Roman" w:cs="Times New Roman" w:eastAsia="Times New Roman" w:hAnsi="Times New Roman"/>
          <w:sz w:val="18"/>
          <w:szCs w:val="18"/>
          <w:color w:val="auto"/>
        </w:rPr>
        <w:t>Co-pay assistance relates to financial assistance provided to qualified patients, whereby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assist them with prescription drug co-payments required by the patient’s insurance provider. Reserves for co-pay assistance are recorded in the same period the related revenue is recognized, resulting in a reduction of product revenue.</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license and other revenue</w:t>
      </w:r>
    </w:p>
    <w:p>
      <w:pPr>
        <w:spacing w:after="0" w:line="22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and license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w:t>
      </w:r>
    </w:p>
    <w:p>
      <w:pPr>
        <w:spacing w:after="0" w:line="19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other participants associated with multiple activities in a collaboration arrangement based on the nature of each separate activity. For the co-commercialization and marketing activities of certain of the Company’s products and product candidates in a collaboration arrangement, where the Company is the principal on sales transactions with third parties, the Company recognizes revenues, cost of sales and operating expenses on a gross basis in their respective lines in its consolidated statements of operations and comprehensive income (loss). Where the Company is not the principal on sales transactions with third parties, the Company records its share of the revenues, cost of sales and operating expenses on a net basis as revenue (expenses) from the collaboration arrangement in its consolidated statements of operations and comprehensive loss.</w:t>
      </w:r>
    </w:p>
    <w:p>
      <w:pPr>
        <w:spacing w:after="0" w:line="188"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For elements accounted within scope of ASC 606, to determine the appropriate amount of revenue to be recognized for the arrangements,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performance obligations based on the determination under step (ii) above; (b) the transaction price under step (iii) above; and (c) the stand-alone selling price for each performance obligation identified in the contract for the allocation of transaction price in step (iv) above.</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 uses judgment to determine whether milestones or other variable consideration, including royalties and sales-based milestones,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78"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Exclusive Licenses. </w:t>
      </w:r>
      <w:r>
        <w:rPr>
          <w:rFonts w:ascii="Times New Roman" w:cs="Times New Roman" w:eastAsia="Times New Roman" w:hAnsi="Times New Roman"/>
          <w:sz w:val="17"/>
          <w:szCs w:val="17"/>
          <w:color w:val="auto"/>
        </w:rPr>
        <w:t>If the license to the Company’s intellectual property is determined to be distinct from the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7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The promises under the Company’s collaboration agreements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services to be performed by the Company on behalf of the partner. Payments or reimbursements resulting from the Company’s research and development efforts are recognized as revenue when the services are performed and presented on a gross basis because the Company is the principal for such efforts. Payments or reimbursements from the partner that are the result of a collaborative relationship with the partner, instead of a customer relationship, such as co-development activities, are recorded as a reduction to research and development expense.</w:t>
      </w:r>
    </w:p>
    <w:p>
      <w:pPr>
        <w:spacing w:after="0" w:line="18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If an arrangement is determined to contain customer options that allow the customer to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90"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research or development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94"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license arrangements that include sales-based royalties, including milestone payments upon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sales and milestone payments based on a level of sales, which are the result of a customer-vendor relationship and for which the license is deemed to be the predominant item to which the royalties relate, the Company recognizes revenue at the later of (i) when the related sales occur, or (ii) when the performance obligation to which some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or all of the royalty has been allocated has been satisfied or partially satisfied. For arrangements involving the sale of intellectual property to customers, the Company estimates and recognizes revenue upon satisfying the related performance obligation, including any royalty payments deemed probable of achievement and not subject to significant subsequent revenue reversal. At the end of each subsequent reporting period, the Company reevaluates the expected royalties and adjusts its estimate of the overall transaction price. Any such adjustments are recorded on a cumulative catch-up basis, which would affect revenues and earnings in the period of adjustment.</w:t>
      </w:r>
    </w:p>
    <w:p>
      <w:pPr>
        <w:spacing w:after="0" w:line="185"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color w:val="auto"/>
        </w:rPr>
        <w:t xml:space="preserve">For a complete discussion of accounting for collaboration, license and other revenues, see Note 11,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and Other Agreements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Accounts receivable arise from product sales and amounts due from the Company’s collaboration partners. The amount from product sales primarily represents amounts due from specialty distributors and specialty pharmacy providers in the U.S. The Company provides reserves against accounts receivable for current expected credit losses that are estimated based on the composition of its accounts receivable and the financial condition of the counterparty, considering past events, current economic conditions, and reasonable and supportable forecasts about the future economic conditions. The contractual life of our accounts receivable is generally short-term. Amounts determined to be uncollectible are charged or written off against the reserve. For the years ended December 31, 2024, 2023 and 2022, the Company did not record any significant expected credit losses related to outstanding accounts receivable.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 The Company classifies its inventory costs as long-term when it expects to utilize the inventory beyond its normal operating cycle and includes these costs in other assets in the consolidated balance sheets.</w:t>
      </w:r>
    </w:p>
    <w:p>
      <w:pPr>
        <w:spacing w:after="0" w:line="18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Prior to the regulatory approval of its drug candidates, the Company incurs expenses for the manufacture of drug product supplies to support clinical development that could potentially be available to support the commercial launch of those drugs. Until the date at which regulatory approval has been received or is otherwise considered probable, the Company records all such costs as research and development expenses.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inventories during each reporting period and writes down any excess and obsolete inventory to its net realizable value in the period in which the impairment is first identified. Such impairment charges, should they occur, are recorded as a component of cost of product sales in the consolidated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left="60" w:right="559" w:firstLine="648"/>
        <w:spacing w:after="0" w:line="312" w:lineRule="auto"/>
        <w:rPr>
          <w:sz w:val="20"/>
          <w:szCs w:val="20"/>
          <w:color w:val="auto"/>
        </w:rPr>
      </w:pPr>
      <w:r>
        <w:rPr>
          <w:rFonts w:ascii="Times New Roman" w:cs="Times New Roman" w:eastAsia="Times New Roman" w:hAnsi="Times New Roman"/>
          <w:sz w:val="17"/>
          <w:szCs w:val="17"/>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126" w:lineRule="exact"/>
        <w:rPr>
          <w:sz w:val="20"/>
          <w:szCs w:val="20"/>
          <w:color w:val="auto"/>
        </w:rPr>
      </w:pPr>
    </w:p>
    <w:p>
      <w:pPr>
        <w:ind w:left="1380" w:right="119" w:hanging="331"/>
        <w:spacing w:after="0" w:line="282"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values are determined utilizing quoted prices (unadjusted) in active markets for identical assets or liabilities that the Company has the ability to access;</w:t>
      </w:r>
    </w:p>
    <w:p>
      <w:pPr>
        <w:spacing w:after="0" w:line="161" w:lineRule="exact"/>
        <w:rPr>
          <w:rFonts w:ascii="Times New Roman" w:cs="Times New Roman" w:eastAsia="Times New Roman" w:hAnsi="Times New Roman"/>
          <w:sz w:val="18"/>
          <w:szCs w:val="18"/>
          <w:color w:val="auto"/>
        </w:rPr>
      </w:pPr>
    </w:p>
    <w:p>
      <w:pPr>
        <w:ind w:left="1380" w:right="439" w:hanging="331"/>
        <w:spacing w:after="0" w:line="266"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values are determined by utilizing quoted prices for identical or similar assets and liabilities in active markets or other market observable inputs such as interest rates, yield curves and foreign currency spot rates; and</w:t>
      </w:r>
    </w:p>
    <w:p>
      <w:pPr>
        <w:spacing w:after="0" w:line="175" w:lineRule="exact"/>
        <w:rPr>
          <w:rFonts w:ascii="Times New Roman" w:cs="Times New Roman" w:eastAsia="Times New Roman" w:hAnsi="Times New Roman"/>
          <w:sz w:val="18"/>
          <w:szCs w:val="18"/>
          <w:color w:val="auto"/>
        </w:rPr>
      </w:pPr>
    </w:p>
    <w:p>
      <w:pPr>
        <w:ind w:left="1380" w:right="119" w:hanging="331"/>
        <w:spacing w:after="0" w:line="261"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assets, which include cash equivalents and marketable securities, have been initially valued at the transaction price, and subsequently revalued at the end of each reporting period, utilizing third-party pricing services. The pricing services utilize industry standard valuation models, including both income and market based approaches, to determine value.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have been no changes to the valuation methods during the years ended December 31, 2024, 2023 and 2022.</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from the date of purchase to be cash equivalents. As of December 31, 2024 and 2023, the Company’s cash equivalents comprised of money market funds with less than 90 days from the date of purchase. Cash equivalents are reported at fair value.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2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classifies its investments in marketable debt securities as available-for-sale when their original maturities, from the date of purchase, exceed three months. Available-for-sale debt securities with a remaining maturity date greater than one year are classified as non-current assets. Available-for-sale marketable debt securities are maintained by an investment manager and mainly consist of U.S. treasury securities and U.S. government agency securities. Available-for-sale marketable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Realized losses are recognized only if the Company has the intention to sell the security or it is expecting to be required to sell the security before recovery of its amortized cost basis. The Company also reviews its portfolio of available-for-sale debt securities, using both quantitative and qualitative factors, to determine if declines in fair value below cost have resulted from a credit-related loss. If the decline in fair value is due to credit-related factors, a loss is recognized in other income (expense).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2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of a business enterprise during a period from transactions and other events and circumstances from non-owner sources. Other comprehensive income (loss) consisted of foreign currency translation adjustments, unrealized gains and losses on available-for-sale investments and unrealized gains and losses on pension benefit obligations.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Expenditures relating to research and development are expensed in the period incurred. Research and development expenses consist of both internal and external costs associated with the development of the Company’s selective therapies and building of its discovery platform. As part of the process of preparing the consolidated financial statements, the Company accrues costs for clinical trial activities based upon estimates of the services received and related expenses incurred that have yet to be invoiced by the contract research organizations or other clinical trial vendors that perform the activities.</w:t>
      </w:r>
    </w:p>
    <w:p>
      <w:pPr>
        <w:spacing w:after="0" w:line="17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In circumstances where amounts have been paid in excess of costs incurred, the Company records a prepaid expense.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399" w:firstLine="648"/>
        <w:spacing w:after="0" w:line="296" w:lineRule="auto"/>
        <w:rPr>
          <w:sz w:val="20"/>
          <w:szCs w:val="20"/>
          <w:color w:val="auto"/>
        </w:rPr>
      </w:pPr>
      <w:r>
        <w:rPr>
          <w:rFonts w:ascii="Times New Roman" w:cs="Times New Roman" w:eastAsia="Times New Roman" w:hAnsi="Times New Roman"/>
          <w:sz w:val="17"/>
          <w:szCs w:val="17"/>
          <w:color w:val="auto"/>
        </w:rPr>
        <w:t>Selling, general and administrative expenses are primarily comprised of compensation and benefits associated with sales and marketing, finance, human resources, legal, information technology and other administrative personnel,</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business development, advertising and legal expenses and other general and administrative costs. Advertising costs are expensed as incurred. For years ended December 31, 2024, 2023 and 2022, advertising costs totaled $31.1 million, $16.9 million and $18.1 million, respectively.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straight-line method.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whether events or circumstances have occurred that indicate that the carrying amount of any of its long-lived assets might not be recoverable and that impairment might exist. If indicators of impairment are present, the Company performs a test for recoverability. The Company has not recognized any significant impairment charges associated with long-lived assets for the years ended December 31, 2024, 2023 and 2022.</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12"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color w:val="auto"/>
        </w:rPr>
        <w:t xml:space="preserve">Leases are accounted for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 At inception of a lease, the Company allocates the consideration in the contract to each lease component based on its relative stand-alone price to determine the lease payments.</w:t>
      </w:r>
    </w:p>
    <w:p>
      <w:pPr>
        <w:spacing w:after="0" w:line="184"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87"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the secured incremental borrowing rate for the same term as the underlying lease.</w:t>
      </w:r>
    </w:p>
    <w:p>
      <w:pPr>
        <w:spacing w:after="0" w:line="187" w:lineRule="exact"/>
        <w:rPr>
          <w:sz w:val="20"/>
          <w:szCs w:val="20"/>
          <w:color w:val="auto"/>
        </w:rPr>
      </w:pPr>
    </w:p>
    <w:p>
      <w:pPr>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44"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not recognize leases with an initial term of 12 months or less within its consolidated balance sheets and to recognize those lease payments on a straight-line basis in its consolidated statements of income over the lease term.</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Stock-based compensation awards are accounted for in accordance with ASC Topic 718, </w:t>
      </w:r>
      <w:r>
        <w:rPr>
          <w:rFonts w:ascii="Times New Roman" w:cs="Times New Roman" w:eastAsia="Times New Roman" w:hAnsi="Times New Roman"/>
          <w:sz w:val="18"/>
          <w:szCs w:val="18"/>
          <w:i w:val="1"/>
          <w:iCs w:val="1"/>
          <w:color w:val="auto"/>
        </w:rPr>
        <w:t>Compensation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The Company expenses the fair value of stock awards granted to employees and members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over the requisite service period, which is typically the vesting period. Compensation cost for stock-based awards issued to employees is measured using the estimated fair value at the grant date and is adjusted to reflect actual forfeitures.</w:t>
      </w:r>
    </w:p>
    <w:p>
      <w:pPr>
        <w:spacing w:after="0" w:line="18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Fair value of restricted stock awards granted to employees is based upon the quoted closing market price per share on the date of grant. Fair value of options granted to employees at the date of grant are estimated using the Black-Scholes option-pricing model that requires management to apply judgment and make estimates, including:</w:t>
      </w:r>
    </w:p>
    <w:p>
      <w:pPr>
        <w:spacing w:after="0" w:line="176" w:lineRule="exact"/>
        <w:rPr>
          <w:sz w:val="20"/>
          <w:szCs w:val="20"/>
          <w:color w:val="auto"/>
        </w:rPr>
      </w:pPr>
    </w:p>
    <w:p>
      <w:pPr>
        <w:ind w:left="1380" w:right="139" w:hanging="331"/>
        <w:spacing w:after="0" w:line="258"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which was calculated using the historical volatility of the Company’s publicly traded stock. The Company computed the historical volatility data using the daily closing prices during the equivalent period of the calculated expected term of its stock-based awards;</w:t>
      </w:r>
    </w:p>
    <w:p>
      <w:pPr>
        <w:spacing w:after="0" w:line="196" w:lineRule="exact"/>
        <w:rPr>
          <w:rFonts w:ascii="Times New Roman" w:cs="Times New Roman" w:eastAsia="Times New Roman" w:hAnsi="Times New Roman"/>
          <w:sz w:val="18"/>
          <w:szCs w:val="18"/>
          <w:color w:val="auto"/>
        </w:rPr>
      </w:pPr>
    </w:p>
    <w:p>
      <w:pPr>
        <w:ind w:left="1380" w:right="559" w:hanging="331"/>
        <w:spacing w:after="0" w:line="282"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is based on the U.S. Treasury yield curve in effect at the time of grant commensurate with the expected term assumption;</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53"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expected term, which is calculated using the simplified method, as prescribed by the Securities and Exchange Commission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as the Company has insufficient historical information regarding its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 and</w:t>
      </w:r>
    </w:p>
    <w:p>
      <w:pPr>
        <w:spacing w:after="0" w:line="189"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which is zero based on the fact that the Company never paid cash dividends and does not expect to pay any cash dividends in the foreseeable future.</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Fair value of performance-based restricted stock unit awards (PSUs) at the grant date are estimated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 The PSUs cliff vest at the end of the service period and the compensation expense for PSUs is recognized straight-line over the applicable service period.</w:t>
      </w:r>
    </w:p>
    <w:p>
      <w:pPr>
        <w:spacing w:after="0" w:line="187"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Stock-based awards issued to non-employees, including directors for non-board-related services, are accounted for based on the fair value of such services received or the fair value of the awards granted on the grant date, whichever is more reliably measured. Stock-based awards subject to service-based vesting conditions are expensed on a straight-line basis over the vesting period.</w:t>
      </w:r>
    </w:p>
    <w:p>
      <w:pPr>
        <w:spacing w:after="0" w:line="187" w:lineRule="exact"/>
        <w:rPr>
          <w:sz w:val="20"/>
          <w:szCs w:val="20"/>
          <w:color w:val="auto"/>
        </w:rPr>
      </w:pPr>
    </w:p>
    <w:p>
      <w:pPr>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The purchase price of common stock under the Company’s 2015 employee stock purchase plan (as amended, the 2015 ESPP) is equal to 85% of the lesser of (i) the fair market value per share of the common stock on the first business day of an offering period and (ii) the fair market value per share of the common stock on the purchase date. The fair value of the discounted purchases made under 2015 ESPP is calculated using the Black-Scholes valuation model. The fair value of the look-back provision plus the 15% discount is recognized as compensation expense over the 180-day purchase period.</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w:t>
      </w:r>
    </w:p>
    <w:p>
      <w:pPr>
        <w:spacing w:after="0" w:line="214"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Investments in non-marketable equity securities of privately-held companies that do not have readily determinable fair values are carried at cost, less any impairments, plus or minus changes resulting from observable price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changes in orderly transactions for the identical or a similar investment of the same issuer. Each period the Company assesses relevant transactions to identify observable price changes, and the Company regularly monitors these investments to evaluate whether there is an indication of impairment. The Company evaluates whether an investment’s fair value is less than its carrying value using an estimate of fair value, if such an estimate is available. For periods in which there is no estimate of fair value, the Company evaluates whether an event or change in circumstances has occurred that may have a significant adverse effect on the value of the investment.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Liabilities related to the sale of future royalties and revenues</w:t>
      </w:r>
    </w:p>
    <w:p>
      <w:pPr>
        <w:spacing w:after="0" w:line="214"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The Company accounts for net proceeds from sales of the Company’s rights to receive future royalty payments and from sales of future revenues as liabilities if the Company has significant continuing involvement in the generation of the related future cash flows. Interest expenses on the liabilities related to the sale of future royalties and revenues are recognized using the effective interest rate method over the life of the related royalty or revenue stream. The liabilities related to the sale of future royalties and revenues and the related interest expenses are based on the Company’s current estimates of future royalties or revenues as well as commercial milestones expected to be achieved and received over the life of the arrangement, which the Company determines by using forecasts of the underlying drug products of the underlying regions. The Company periodically assesses the expected payments and to the extent the amount or timing of the future estimated payments is materially different than previous estimates, the Company accounts for any such change by adjusting the carrying value of the liabilities related to the sale of future royalties and revenues, and prospectively recognizing the related interest expenses.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Modification of debt instruments</w:t>
      </w:r>
    </w:p>
    <w:p>
      <w:pPr>
        <w:spacing w:after="0" w:line="227"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When the Company’s debt instrument, where the Company is the debtor, is modified or exchanged, the Company analyzes whether the modification should be accounted for as a modification or an extinguishment. Modified terms are considered substantially different if, after an exchange or modification of debt instruments with the same creditor, the present value of cash flows under the terms of the new debt instrument differs by at least 10% from the present value of the remaining cash flows under the terms of the original debt instrument. If the modified instrument is considered substantially different from the original debt instrument, the modification or exchange is accounted for as an extinguishment. The new instrument is recorded at its fair value and that fair value is used to determine the extinguishment gain or loss.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of each of the Company’s subsidiaries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in stockholders’ equity. Foreign currency transaction gains and losses are included in other (expense) income, net in the results of operations.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 Significant Suppliers</w:t>
      </w:r>
    </w:p>
    <w:p>
      <w:pPr>
        <w:spacing w:after="0" w:line="22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Company has no significant off-balance-sheet risk such as foreign exchange contracts, option contracts, or other foreign hedging arrangements. Financial instruments that potentially expose the Company to concentrations of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credit risk primarily consist of cash and cash equivalents, marketable securities, accounts receivable and unbilled account receivables.</w:t>
      </w:r>
    </w:p>
    <w:p>
      <w:pPr>
        <w:spacing w:after="0" w:line="16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its cash, cash equivalents and marketable securities in custodian accounts at high quality financial institutions, and as of December 31, 2024 and 2023, substantially all the Company’s cash, cash equivalents and marketable securities were invested in money market funds and U.S. government agency securities and treasury obligations, and consequently, the Company believes that such funds are subject to minimal credit risk. The Company has adopted an investment policy that limits the amounts the Company may invest in any one type of investment. The Company has not experienced any significant credit losses and does not believe it is exposed to any significant credit risk on these funds.</w:t>
      </w:r>
    </w:p>
    <w:p>
      <w:pPr>
        <w:spacing w:after="0" w:line="1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receivables and unbilled accounts receivables represent amounts arising from product sales and amounts due from the Company’s collaboration partners. The Company monitors economic conditions to identify facts or circumstances that may indicate that its receivables are at risk of collection. The Company has not experienced any credit losses and does not believe it is exposed to any significant credit risk on these funds.</w:t>
      </w:r>
    </w:p>
    <w:p>
      <w:pPr>
        <w:spacing w:after="0" w:line="180" w:lineRule="exact"/>
        <w:rPr>
          <w:sz w:val="20"/>
          <w:szCs w:val="20"/>
          <w:color w:val="auto"/>
        </w:rPr>
      </w:pPr>
    </w:p>
    <w:p>
      <w:pPr>
        <w:ind w:left="60" w:right="339" w:firstLine="648"/>
        <w:spacing w:after="0" w:line="253"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commercial and research and development activities associated with its drug and drug candidates, as applicable. In particular, the Company relies and expects to continue to rely on a small number of manufacturers to supply it with its requirements for the active pharmaceutical ingredients and formulated drugs related to the Company's drug and drug candidate activities. These activities, including the commercialization of AYVAKIT/AYVAKYT, could be adversely affected by a significant interruption in the supply of active pharmaceutical ingredients and formulated drugs.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Operating segments are identified as components of an enterprise about which separate discrete financial information is available for evaluation by the chief operating decision maker in making decisions on how to allocate resources and assess performance. The Company’s chief operating decision maker is the chief executive officer. The chief operating decision maker views the Company’s operations and manage its business as one operating segment. The Company operates in the U.S. and Europe. All material long-lived assets of the Company reside in the U.S. For additional information, see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(Topic 280): Improvements to Reportable</w:t>
      </w:r>
    </w:p>
    <w:p>
      <w:pPr>
        <w:spacing w:after="0" w:line="29" w:lineRule="exact"/>
        <w:rPr>
          <w:sz w:val="20"/>
          <w:szCs w:val="20"/>
          <w:color w:val="auto"/>
        </w:rPr>
      </w:pPr>
    </w:p>
    <w:p>
      <w:pPr>
        <w:ind w:left="60" w:right="199"/>
        <w:spacing w:after="0" w:line="249" w:lineRule="auto"/>
        <w:rPr>
          <w:sz w:val="20"/>
          <w:szCs w:val="20"/>
          <w:color w:val="auto"/>
        </w:rPr>
      </w:pP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is intended to improve reportable segment disclosure requirements,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disclosures about significant segment expenses. The standard is effective for fiscal years beginning after December 15, 2023, and interim periods within fiscal years beginning after December 15, 2024, with early adoption permitted. The Company adopted the new standard in fiscal year 2024 for annual and retrospective reporting periods with all interim disclosures to begin in the first quarter of fiscal year 2025. For additional information, see Note 18,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Improvements to Income Tax Disclosures</w:t>
      </w:r>
      <w:r>
        <w:rPr>
          <w:rFonts w:ascii="Times New Roman" w:cs="Times New Roman" w:eastAsia="Times New Roman" w:hAnsi="Times New Roman"/>
          <w:sz w:val="18"/>
          <w:szCs w:val="18"/>
          <w:color w:val="auto"/>
        </w:rPr>
        <w:t>, which requires entities to disclose disaggregated information about their effective tax rate reconciliation and income taxes paid. The disclosure requirements will be applied on a prospective basis, with the option to apply them retrospectively. The standard is effective for fiscal years beginning after December 15, 2024, with early adoption permitted. The Company is currently evaluating the disclosure requirements related to this new standard.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which requires disclosure of additional information about specific expense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1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Certain items in the prior year’s consolidated financial statements have been reclassified to conform to the current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Financing Arrangements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Royalty Pharma Purchase and Sale Agreement</w:t>
      </w:r>
    </w:p>
    <w:p>
      <w:pPr>
        <w:spacing w:after="0" w:line="227"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On June 30, 2022, the Company entered into a purchase and sale agreement (Royalty Purchase Agreement) with Royalty Pharma Investments 2019 ICAV (Royalty Pharma). Pursuant to the Royalty Purchase Agreement, the Company received an upfront payment of $175.0 million in consideration for the Company’s rights to receive royalty payments on the net sales of GAVRETO worldwide excluding the CStone Territory (as defined below) and the U.S., under the terms of the Roche pralsetinib collaboration agreement.</w:t>
      </w:r>
    </w:p>
    <w:p>
      <w:pPr>
        <w:spacing w:after="0" w:line="1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Despite selling all rights to receive royalties on GAVRETO net sales of the underlying territories to Royalty Pharma, the Company maintained its involvement in the global co-development of pralsetinib with Roche and was therefore involved in the generation of these future royalties. Due to the Company’s significant continued involvement, any royalties and development and commercialization milestones earned pertaining to the underlying territory under the Roche pralsetinib collaboration agreement were recognized as collaboration revenue on the consolidated statements of operations and comprehensive loss throughout the contract term of the Roche pralsetinib collaboration agreement. The net proceeds received from the transaction were recorded as a liability related to sale of future royalties and revenues on the consolidated balance sheet on June 30, 2022.</w:t>
      </w:r>
    </w:p>
    <w:p>
      <w:pPr>
        <w:spacing w:after="0" w:line="192"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The Roche pralsetinib collaboration agreement was terminated in February 2024 and the Company regained commercialization and development rights to GAVRETO from Roche worldwide excluding the CStone Territory. In connection with and effective upon the termination of the Roche pralsetinib collaboration agreement, on February 22, 2024 (the Royalty Pharma Termination Date), Royalty Pharma and the Company agreed to terminate the Royalty Purchase Agreement (Royalty Pharma Termination Agreement). Following the termination of the Royalty Purchase Agreement, the Company has no outstanding obligations under the Royalty Purchase Agreement, other than the remaining royalty payment obligation related to GAVRETO net sales as of the termination effective date. As of December 31, 2024, the Company had no plan to enter into a new arrangement to commercialize GAVRETO outside of the U.S. and the CStone Territory.</w:t>
      </w:r>
    </w:p>
    <w:p>
      <w:pPr>
        <w:spacing w:after="0" w:line="17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Company has no material outstanding obligations under the Royalty Pharma Termination Agreement and it was accounted for as a debt extinguishment under ASC 470-50 as the terms and conditions of the Royalty Purchase Agreement had undergone a substantial modification and the modified terms are considered substantially different. As a result, during the year ended December 31, 2024, the Company recorded a debt extinguishment gain of $173.7 million as other income in the consolidated statements of operations and comprehensive loss. As of December 31, 2024, the net carrying value of the Company’s liability related to these agreements was $0.7 million, which was determined based on the fair value of the remaining cash flow associated with anticipated future payments outlined in the Royalty Pharma Termination Agreement. The Company subsequently paid the final $0.7 million amount in February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Arrangements with Sixth Street Partners</w:t>
      </w:r>
    </w:p>
    <w:p>
      <w:pPr>
        <w:spacing w:after="0" w:line="22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July 2022, the Company closed two transactions pursuant to a purchase and sale agreement (Future Revenue Purchase Agreement) and a debt financing transaction for up to $660.0 million (as amended, Financing Agreement) with Sixth Street Partners.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Sixth Street Partners Purchase and Sale Agreement</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Pursuant to the Future Revenue Purchase Agreement, the Company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BLU-263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Company continues to own the research, development, manufacturing and commercialization of AYVAKIT/ AYVAKYT and if it is approved, elenestinib, and has significant continuing involvement in the generation of the cash flows under the Future Revenue Purchase Agreement. Therefore, the Company continues to account for any revenue earned from worldwide product sales of AYVAKIT/ AYVAKYT and, if it is approved, elenestinib, on its consolidated statements of operations and comprehensive loss. Net proceeds received from the transaction were recorded as a liability related to sale of future royalties and revenues on the consolidated balance sheet. The Company accretes the $250.0 million, net of transaction costs of $5.4 million, to the total of these future payments as interest expense using the effective interest method over the estimated life of the arrangement.</w:t>
      </w:r>
    </w:p>
    <w:p>
      <w:pPr>
        <w:spacing w:after="0" w:line="19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As payments are made to Sixth Street Partners, the balance of the liability is effectively repaid over the life of the Future Revenue Purchase Agreement. In order to determine the amortization of the liability, the Company estimates the total amount of future revenue payments to be paid to Sixth Street Partners over the life of the arrangement. The exact amount of repayment is likely to change each reporting period. A significant increase or decrease in worldwide product sales of AYVAKIT/ AYVAKYT and, if it is approved, elenestinib, will materially impact the liability related to this arrangement, interest expense and the time period for repayment. The Company periodically assesses the expected payments to Sixth Street Partners and prospectively adjusts the amortization of the liability related to this arrangement for material changes in such payments. As of December 31, 2024, the Company’s estimate of this total interest expense resulted in an effective annual interest rate of 10.3%. These estimates contain assumptions that impact the amount recorded and the interest expense that will be recognized in future periods.</w:t>
      </w:r>
    </w:p>
    <w:p>
      <w:pPr>
        <w:spacing w:after="0" w:line="19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net carrying value of the liability related to this arrangement was $254.4 million. The following table shows the activity within the liability account during the years ended December 31, 2024 and 2023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6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266,670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254,328</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w:t>
            </w: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(39,368)</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at December 31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254,436</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266,670</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Sixth Street Partners Term Loan</w:t>
      </w:r>
    </w:p>
    <w:p>
      <w:pPr>
        <w:spacing w:after="0" w:line="227"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The Financing Agreement entered into by the parties in connection with the transaction provides for (i) a senior secured term loan facility of up to $150.0 million and (ii) a senior secured delayed draw term loan facility of up to $250.0 million to be funded in two tranches at the Company’s choice subject to certain terms and conditions. The term loans will mature on June 30, 2028 and bear interest at a variable rate equal to either the Secured Overnight Financing Rate (SOFR) plus 6.50% or the base rate plus 5.50%, subject to a floor of 1% and 2% with respect to the SOFR and base rate,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proceeds the Company has received under the Financing Agreement with Sixth Street Partners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Debt discount/</w:t>
            </w:r>
          </w:p>
        </w:tc>
        <w:tc>
          <w:tcPr>
            <w:tcW w:w="800" w:type="dxa"/>
            <w:vAlign w:val="bottom"/>
          </w:tcPr>
          <w:p>
            <w:pPr>
              <w:spacing w:after="0"/>
              <w:rPr>
                <w:sz w:val="15"/>
                <w:szCs w:val="15"/>
                <w:color w:val="auto"/>
              </w:rPr>
            </w:pPr>
          </w:p>
        </w:tc>
      </w:tr>
      <w:tr>
        <w:trPr>
          <w:trHeight w:val="195"/>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 loan draw</w:t>
            </w: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 cost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proceeds</w:t>
            </w:r>
          </w:p>
        </w:tc>
      </w:tr>
      <w:tr>
        <w:trPr>
          <w:trHeight w:val="215"/>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$ 137,786</w:t>
            </w: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1st Senior Secured Delayed Draw Term Loan Facility</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97,933</w:t>
            </w: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2nd Senior Secured Delayed Draw Term Loan Facility</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2024</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146,973</w:t>
            </w:r>
          </w:p>
        </w:tc>
      </w:tr>
      <w:tr>
        <w:trPr>
          <w:trHeight w:val="210"/>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$ 382,692</w:t>
            </w: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Debt discounts and transaction costs have been recorded as a reduction to the carrying amount of the debt on the Company’s consolidated balance sheet and are amortized as additional interest expenses using the effective interest rate method over the period from issuance through maturity. In addition, the Company may at any time request an incremental term loan in an amount not to exceed $260.0 million on terms to be agreed and subject to the consent of Sixth Street Partners providing such incremental term loan. As of December 31, 2024, the Company’s estimate of the total interest expense resulted in an effective annual interest rate of 12.0%. The carrying amount of the debt as of December 31, 2024 is subject to variable interest rates, which are based on current market rates, and as such, approximates fair value.</w:t>
      </w:r>
    </w:p>
    <w:p>
      <w:pPr>
        <w:spacing w:after="0" w:line="187"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activity within the liability account during the years ended December 31, 2024 and 2023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6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139,083</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received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97,933</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(40,484)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(21,743)</w:t>
            </w:r>
          </w:p>
        </w:tc>
      </w:tr>
      <w:tr>
        <w:trPr>
          <w:trHeight w:val="210"/>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at December 31</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238,813</w:t>
            </w:r>
          </w:p>
        </w:tc>
      </w:tr>
      <w:tr>
        <w:trPr>
          <w:trHeight w:val="20"/>
        </w:trPr>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The total estimated total gross payments due under the term loan are as follows as of December 31, 2024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14"/>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43,917</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43,917</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43,917</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421,897</w:t>
            </w:r>
          </w:p>
        </w:tc>
      </w:tr>
      <w:tr>
        <w:trPr>
          <w:trHeight w:val="209"/>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553,648</w:t>
            </w: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Company’s obligations under the Financing Agreement are secured, subject to certain exceptions, by security interests in substantially all assets of the Company and certain of its subsidiaries. The Financing Agreement contains customary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the Company to maintain a consolidated liquidity of at least $80.0 million. As of December 31, 2024, the Company was in compliance with the applicable terms and conditions of the covenants under the Financing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Marketable securities consisted of the following at December 31, 2024 and 2023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6"/>
                <w:szCs w:val="16"/>
                <w:color w:val="auto"/>
              </w:rPr>
            </w:pPr>
          </w:p>
        </w:tc>
        <w:tc>
          <w:tcPr>
            <w:tcW w:w="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26"/>
        </w:trPr>
        <w:tc>
          <w:tcPr>
            <w:tcW w:w="5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9"/>
                <w:szCs w:val="19"/>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9"/>
                <w:szCs w:val="19"/>
                <w:color w:val="auto"/>
              </w:rPr>
            </w:pPr>
          </w:p>
        </w:tc>
        <w:tc>
          <w:tcPr>
            <w:tcW w:w="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129,897</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631,514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632,138</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761,411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761,923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24"/>
                <w:szCs w:val="24"/>
                <w:color w:val="auto"/>
              </w:rPr>
            </w:pPr>
          </w:p>
        </w:tc>
        <w:tc>
          <w:tcPr>
            <w:tcW w:w="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26"/>
        </w:trPr>
        <w:tc>
          <w:tcPr>
            <w:tcW w:w="5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9"/>
                <w:szCs w:val="19"/>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9"/>
                <w:szCs w:val="19"/>
                <w:color w:val="auto"/>
              </w:rPr>
            </w:pPr>
          </w:p>
        </w:tc>
        <w:tc>
          <w:tcPr>
            <w:tcW w:w="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170,194</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525,880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526,082</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696,074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695,885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basis and estimated fair value of the Company’s available-for-sale securities by contractual maturity as of December 31, 2024 and 2023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6"/>
                <w:szCs w:val="16"/>
                <w:color w:val="auto"/>
              </w:rPr>
            </w:pPr>
          </w:p>
        </w:tc>
      </w:tr>
      <w:tr>
        <w:trPr>
          <w:trHeight w:val="221"/>
        </w:trPr>
        <w:tc>
          <w:tcPr>
            <w:tcW w:w="5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514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4"/>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512,515</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$ 513,473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$ 639,881</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$ 639,355</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one through five years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248,896</w:t>
            </w: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248,450</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56,193</w:t>
            </w: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56,530</w:t>
            </w:r>
          </w:p>
        </w:tc>
      </w:tr>
      <w:tr>
        <w:trPr>
          <w:trHeight w:val="21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761,411</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$ 761,923</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$ 696,074</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$ 695,885</w:t>
            </w: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and 2023, the Company held 32 and 62 debt securities, respectively, that were in an unrealized loss position. The following table summarizes the estimated fair value and the aggregate unrealized loss of the Company’s available-for-sale securities that are in loss position as of December 31, 2024 and 2023 by the length of time the security has been in loss position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223"/>
        </w:trPr>
        <w:tc>
          <w:tcPr>
            <w:tcW w:w="5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9"/>
                <w:szCs w:val="19"/>
                <w:color w:val="auto"/>
              </w:rPr>
            </w:pPr>
          </w:p>
        </w:tc>
      </w:tr>
      <w:tr>
        <w:trPr>
          <w:trHeight w:val="218"/>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233"/>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20"/>
                <w:szCs w:val="20"/>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20"/>
                <w:szCs w:val="20"/>
                <w:color w:val="auto"/>
              </w:rPr>
            </w:pP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16"/>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in unrealized loss position for 12 months or less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in unrealized loss position for more than 12 months</w:t>
            </w: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0"/>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securities in unrealized loss position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the intent and ability to hold its debt securities until recovery of amortized cost basis. As a result, the Company did not recognize any differences between the fair value and amortized cost basis as a loss in its consolidated statements of operations and comprehensive loss for the years ended December 31, 2024, 2023 and 2022. The Company did not record any credit-related impairments for its </w:t>
      </w:r>
      <w:r>
        <w:rPr>
          <w:rFonts w:ascii="Times New Roman" w:cs="Times New Roman" w:eastAsia="Times New Roman" w:hAnsi="Times New Roman"/>
          <w:sz w:val="18"/>
          <w:szCs w:val="18"/>
          <w:color w:val="212529"/>
        </w:rPr>
        <w:t>available-for-sale</w:t>
      </w:r>
      <w:r>
        <w:rPr>
          <w:rFonts w:ascii="Times New Roman" w:cs="Times New Roman" w:eastAsia="Times New Roman" w:hAnsi="Times New Roman"/>
          <w:sz w:val="18"/>
          <w:szCs w:val="18"/>
          <w:color w:val="auto"/>
        </w:rPr>
        <w:t xml:space="preserve"> securities for the years ended December 31, 2024, 2023 </w:t>
      </w:r>
      <w:r>
        <w:rPr>
          <w:rFonts w:ascii="Times New Roman" w:cs="Times New Roman" w:eastAsia="Times New Roman" w:hAnsi="Times New Roman"/>
          <w:sz w:val="18"/>
          <w:szCs w:val="18"/>
          <w:color w:val="212529"/>
        </w:rPr>
        <w:t>and 2022.</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212529"/>
        </w:rPr>
        <w:t>The following table summarizes the proceeds from maturities of debt securities during the years ended December 31, 2024, 2023 and 2022 (in thousands):</w:t>
      </w:r>
    </w:p>
    <w:p>
      <w:pPr>
        <w:spacing w:after="0" w:line="20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24765</wp:posOffset>
            </wp:positionV>
            <wp:extent cx="18434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8">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debt securities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$ 923,560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$ 1,056,465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$ 349,373</w:t>
            </w:r>
          </w:p>
        </w:tc>
      </w:tr>
    </w:tbl>
    <w:p>
      <w:pPr>
        <w:spacing w:after="0" w:line="200" w:lineRule="exact"/>
        <w:rPr>
          <w:sz w:val="20"/>
          <w:szCs w:val="20"/>
          <w:color w:val="auto"/>
        </w:rPr>
      </w:pPr>
    </w:p>
    <w:p>
      <w:pPr>
        <w:spacing w:after="0" w:line="214" w:lineRule="exact"/>
        <w:rPr>
          <w:sz w:val="20"/>
          <w:szCs w:val="20"/>
          <w:color w:val="auto"/>
        </w:rPr>
      </w:pPr>
    </w:p>
    <w:p>
      <w:pPr>
        <w:ind w:left="60" w:right="979" w:firstLine="648"/>
        <w:spacing w:after="0" w:line="282" w:lineRule="auto"/>
        <w:rPr>
          <w:sz w:val="20"/>
          <w:szCs w:val="20"/>
          <w:color w:val="auto"/>
        </w:rPr>
      </w:pPr>
      <w:r>
        <w:rPr>
          <w:rFonts w:ascii="Times New Roman" w:cs="Times New Roman" w:eastAsia="Times New Roman" w:hAnsi="Times New Roman"/>
          <w:sz w:val="18"/>
          <w:szCs w:val="18"/>
          <w:color w:val="212529"/>
        </w:rPr>
        <w:t>The Company did not realize any gains or losses from maturities of debt securities for the years ended December 31, 2024, 2023 and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48"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marketable securities measured at fair value on a recurring basis as of December 31, 2024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26"/>
        </w:trPr>
        <w:tc>
          <w:tcPr>
            <w:tcW w:w="40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831,652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701,867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129,785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marketable securities measured at fair value on a recurring basis as of December 31, 2023 (in thousands):</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26"/>
        </w:trPr>
        <w:tc>
          <w:tcPr>
            <w:tcW w:w="40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9"/>
                <w:szCs w:val="19"/>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751,297</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Product Revenue and Related Reserves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revenue recognized from the sales of AYVAKIT/AYVAKYT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2023 and 2022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74"/>
        </w:trPr>
        <w:tc>
          <w:tcPr>
            <w:tcW w:w="60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181,971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97,226</w:t>
            </w:r>
          </w:p>
        </w:tc>
      </w:tr>
      <w:tr>
        <w:trPr>
          <w:trHeight w:val="21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w:t>
            </w:r>
          </w:p>
        </w:tc>
      </w:tr>
      <w:tr>
        <w:trPr>
          <w:trHeight w:val="21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478,950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110,993</w:t>
            </w: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primarily sells AYVAKIT/AYVAKYT through specialty distributors and specialty pharmacies. The following table summarizes the customers that represent 10% or greater of gross product revenue for the years ended December 31, 2024, 2023, and 2022:</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23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ind w:left="700"/>
        <w:spacing w:after="0"/>
        <w:rPr>
          <w:sz w:val="20"/>
          <w:szCs w:val="20"/>
          <w:color w:val="auto"/>
        </w:rPr>
      </w:pPr>
      <w:r>
        <w:rPr>
          <w:rFonts w:ascii="Times New Roman" w:cs="Times New Roman" w:eastAsia="Times New Roman" w:hAnsi="Times New Roman"/>
          <w:sz w:val="16"/>
          <w:szCs w:val="16"/>
          <w:color w:val="auto"/>
        </w:rPr>
        <w:t>* Indicates the customer’s share is under 10%.</w:t>
      </w:r>
    </w:p>
    <w:p>
      <w:pPr>
        <w:spacing w:after="0" w:line="203"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customers with amounts due that represent 10% or greater of the accounts receivable associated with the Company’s product sales as of December 31, 2024 and 2023:</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23"/>
        </w:trPr>
        <w:tc>
          <w:tcPr>
            <w:tcW w:w="67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ind w:left="700"/>
        <w:spacing w:after="0"/>
        <w:rPr>
          <w:sz w:val="20"/>
          <w:szCs w:val="20"/>
          <w:color w:val="auto"/>
        </w:rPr>
      </w:pPr>
      <w:r>
        <w:rPr>
          <w:rFonts w:ascii="Times New Roman" w:cs="Times New Roman" w:eastAsia="Times New Roman" w:hAnsi="Times New Roman"/>
          <w:sz w:val="16"/>
          <w:szCs w:val="16"/>
          <w:color w:val="auto"/>
        </w:rPr>
        <w:t>* Indicates the customer’s share is under 10%.</w:t>
      </w:r>
    </w:p>
    <w:p>
      <w:pPr>
        <w:spacing w:after="0" w:line="243" w:lineRule="exact"/>
        <w:rPr>
          <w:sz w:val="20"/>
          <w:szCs w:val="20"/>
          <w:color w:val="auto"/>
        </w:rPr>
      </w:pPr>
    </w:p>
    <w:p>
      <w:pPr>
        <w:ind w:left="60" w:right="1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the product revenue allowance and reserve for the years ended December 31, 2024 and 2023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6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37,281</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related to prior periods sales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(65,776)</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(27,095)</w:t>
            </w:r>
          </w:p>
        </w:tc>
      </w:tr>
      <w:tr>
        <w:trPr>
          <w:trHeight w:val="210"/>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total reserves that are included in the Company’s consolidated balance sheets as of December 31, 2024 and 2023, are summarized as follows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23"/>
        </w:trPr>
        <w:tc>
          <w:tcPr>
            <w:tcW w:w="6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accounts receivable,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r>
      <w:tr>
        <w:trPr>
          <w:trHeight w:val="23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Component of accrued expenses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17,465</w:t>
            </w:r>
          </w:p>
        </w:tc>
      </w:tr>
      <w:tr>
        <w:trPr>
          <w:trHeight w:val="210"/>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Capitalized inventory consists of the following as of December 31, 2024 and 2023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39,275</w:t>
            </w:r>
          </w:p>
        </w:tc>
        <w:tc>
          <w:tcPr>
            <w:tcW w:w="360" w:type="dxa"/>
            <w:vAlign w:val="bottom"/>
          </w:tcPr>
          <w:p>
            <w:pPr>
              <w:spacing w:after="0"/>
              <w:rPr>
                <w:sz w:val="18"/>
                <w:szCs w:val="18"/>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37,102</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Balance sheet classification</w:t>
            </w: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0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25,664</w:t>
            </w:r>
          </w:p>
        </w:tc>
        <w:tc>
          <w:tcPr>
            <w:tcW w:w="3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39,275</w:t>
            </w:r>
          </w:p>
        </w:tc>
        <w:tc>
          <w:tcPr>
            <w:tcW w:w="3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obsolescence, unmarketability or other reasons are charged to cost of sales. For the years ended December 31, 2024, 2023 and 2022, the Company recognized write-downs of $0.4 million, $0.7 million and $2.1 million, respectively. Long-term inventory, which primarily consists of work in process is included in other assets in the consolidated balance sheets.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Restricted Cash</w:t>
      </w:r>
    </w:p>
    <w:p>
      <w:pPr>
        <w:spacing w:after="0" w:line="229"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Company’s consolidated balance sheets that sum to the total of the same such amounts shown in the consolidated statements of cash flows for the years ended December 31, 2024, 2023 and 2022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6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r>
      <w:tr>
        <w:trPr>
          <w:trHeight w:val="16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102,014</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71,286</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119,709</w:t>
            </w:r>
          </w:p>
        </w:tc>
        <w:tc>
          <w:tcPr>
            <w:tcW w:w="80" w:type="dxa"/>
            <w:vAlign w:val="bottom"/>
            <w:shd w:val="clear" w:color="auto" w:fill="CCEEFF"/>
          </w:tcPr>
          <w:p>
            <w:pPr>
              <w:spacing w:after="0"/>
              <w:rPr>
                <w:sz w:val="14"/>
                <w:szCs w:val="14"/>
                <w:color w:val="auto"/>
              </w:rPr>
            </w:pPr>
          </w:p>
        </w:tc>
      </w:tr>
      <w:tr>
        <w:trPr>
          <w:trHeight w:val="175"/>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10,238</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80" w:type="dxa"/>
            <w:vAlign w:val="bottom"/>
            <w:tcBorders>
              <w:bottom w:val="single" w:sz="8" w:color="CCEEFF"/>
            </w:tcBorders>
          </w:tcPr>
          <w:p>
            <w:pPr>
              <w:spacing w:after="0"/>
              <w:rPr>
                <w:sz w:val="15"/>
                <w:szCs w:val="15"/>
                <w:color w:val="auto"/>
              </w:rPr>
            </w:pPr>
          </w:p>
        </w:tc>
      </w:tr>
      <w:tr>
        <w:trPr>
          <w:trHeight w:val="169"/>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consolidated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113,639</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81,524</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124,904</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6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At December 31, 2024 and 2023, $11.6 million and $10.2 million, respectively, of the Company’s cash is restricted by a financial institution primarily related to funds held to satisfy the requirements of certain government agreements and the security deposits for the lease agreements for the Company’s office and laboratory spaces. For additional information, see Note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and related accumulated depreciation as of December 31, 2024 and 2023 are as follows (in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1"/>
        </w:trPr>
        <w:tc>
          <w:tcPr>
            <w:tcW w:w="6000" w:type="dxa"/>
            <w:vAlign w:val="bottom"/>
          </w:tcPr>
          <w:p>
            <w:pPr>
              <w:spacing w:after="0"/>
              <w:rPr>
                <w:sz w:val="19"/>
                <w:szCs w:val="19"/>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10"/>
        </w:trPr>
        <w:tc>
          <w:tcPr>
            <w:tcW w:w="60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8"/>
                <w:szCs w:val="18"/>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Term of lease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42,301</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80,453</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(47,755)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(38,494)</w:t>
            </w:r>
          </w:p>
        </w:tc>
      </w:tr>
      <w:tr>
        <w:trPr>
          <w:trHeight w:val="210"/>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41,959</w:t>
            </w:r>
          </w:p>
        </w:tc>
      </w:tr>
      <w:tr>
        <w:trPr>
          <w:trHeight w:val="20"/>
        </w:trPr>
        <w:tc>
          <w:tcPr>
            <w:tcW w:w="6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recorded at historical cost, net of accumulated depreciation. Depreciation expense for the years ended December 31, 2024, 2023 and 2022 was $9.7 million, $7.7 million and $6.5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as of December 31, 2024 and 2023 consist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4"/>
        </w:trPr>
        <w:tc>
          <w:tcPr>
            <w:tcW w:w="6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development and commercial contract costs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49,354</w:t>
            </w: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43,434</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Revenue-related reserves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17,465</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133,088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127,992</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Collaboration, License and Other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Rigel</w:t>
      </w:r>
    </w:p>
    <w:p>
      <w:pPr>
        <w:spacing w:after="0" w:line="229"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On February 22, 2024, the Company entered into an Asset Purchase Agreement with Rigel Pharmaceuticals, Inc. (“Rigel”) for Rigel to purchase certain assets from the Company comprising the U.S. rights to research, develop, manufacture and commercialize GAVRETO (pralsetinib). Such assets include, among other things, applicable intellectual property related to pralsetinib in the U.S, including patents, copyrights and trademarks, as well as clinical regulatory and commercial data and records. Simultaneously and in connection with entering into the Asset Purchase Agreement, the parties also entered into certain supporting agreements, including a customary transition agreement, (such agreements collectively, the Rigel Agreement), pursuant to which, the Company transitioned certain inventory and regulatory and distribution responsibilities for pralsetinib to Rigel.</w:t>
      </w:r>
    </w:p>
    <w:p>
      <w:pPr>
        <w:spacing w:after="0" w:line="17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Rigel Agreement, the Company has the right to receive a purchase price of $15.0 million, with $10.0 million paid upon first commercial sale of GAVRETO by Rigel and an additional $5.0 million as a delayed purchase price payable on the later of (i) the first anniversary of the closing date of the transaction, or (ii) the completion of certain transition activities. The Company is also eligible to receive up to $102.5 million in contingent specified regulatory and commercial milestone payments, in addition to tiered percentage royalties ranging from 10 percent to 30 percent on annual net sales of GAVRETO in the U.S. The royalties will be payable until the later of (i) the expiration of the royalty term, as defined in the agreement, which begins on the date of the first commercial sale of</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GAVRETO in the U.S., (ii) the date of expiration of the last valid patent claim within the Company’s IP that covers GAVRETO in the U.S., and (iii) the expiration of the last regulatory exclusivity for GAVRETO in the U.S.</w:t>
      </w:r>
    </w:p>
    <w:p>
      <w:pPr>
        <w:spacing w:after="0" w:line="162"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The Company determined that the Rigel Agreement is a transaction with a customer and therefore accounted for the transaction in accordance with ASC 606. As of the effective date, the Company determined that the agreement includes three performance obligations: the delivery of (1) the U.S. rights to GAVRETO; (2) additional pralsetinib clinical data; and</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 GAVRETO product to be purchased from Genentech.</w:t>
      </w:r>
    </w:p>
    <w:p>
      <w:pPr>
        <w:spacing w:after="0" w:line="207"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 transaction price under ASC 606 was fully constrained at the inception of the Rigel Agreement due to the pending completion of key transition activities stipulated in the agreement, including the transfer of the new drug application (NDA). These key transition activities, including the transfer of the NDA, related patents, and GAVRETO product, were completed in the second quarter of 2024. The performance obligations related to the U.S. rights to GAVRETO and the delivery of GAVRETO product were satisfied at a point in time upon the completion of these key transition activities. The transaction price was determined to be $27.7 million, which consisted of $6.5 million consideration for the GAVRETO product, $10.0 million upfront purchase price payment, and $11.2 million in the milestone and royalty payments that were considered probable of achievement and not subject to significant subsequent reversal of revenue. The transaction price was allocated to the three performance obligations on a relative stand-alone selling price basis.</w:t>
      </w:r>
    </w:p>
    <w:p>
      <w:pPr>
        <w:spacing w:after="0" w:line="193"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total revenue of $24.3 million which is primarily comprised of GAVRETO product consideration of $6.5 million and the transaction price allocated to the U.S. rights to GAVRETO performance obligation of $17.6 million. The additional clinical data performance obligation will be satisfied at a point in time once the transfer of such data to Rigel is completed, and the allocated transaction price of $3.6 million was recorded as deferred revenue on the consolidated financial statements as of December 31, 2024.</w:t>
      </w:r>
    </w:p>
    <w:p>
      <w:pPr>
        <w:spacing w:after="0" w:line="183"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87"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assets and liabilities under the Rigel agreements as of December 31, 2024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00" w:type="dxa"/>
            <w:vAlign w:val="bottom"/>
            <w:tcBorders>
              <w:bottom w:val="single" w:sz="8" w:color="auto"/>
            </w:tcBorders>
          </w:tcPr>
          <w:p>
            <w:pPr>
              <w:spacing w:after="0"/>
              <w:rPr>
                <w:sz w:val="16"/>
                <w:szCs w:val="16"/>
                <w:color w:val="auto"/>
              </w:rPr>
            </w:pPr>
          </w:p>
        </w:tc>
      </w:tr>
      <w:tr>
        <w:trPr>
          <w:trHeight w:val="209"/>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240" w:type="dxa"/>
            <w:vAlign w:val="bottom"/>
          </w:tcPr>
          <w:p>
            <w:pPr>
              <w:spacing w:after="0"/>
              <w:rPr>
                <w:sz w:val="18"/>
                <w:szCs w:val="18"/>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5"/>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r>
    </w:tbl>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IDRx</w:t>
      </w:r>
    </w:p>
    <w:p>
      <w:pPr>
        <w:spacing w:after="0" w:line="21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August 2022, the Company entered into a license agreement with IDRx, Inc. (IDRx), pursuant to which the Company granted IDRx an exclusive, worldwide, royalty-bearing license to exploit the Company’s internally discovered KIT exon 13 inhibitor IDRX-73 (IDRx License Agreement). IDRx is a clinical-stage biopharmaceutical company and among IDRx’s founders are Alexis Borisy, George Demetri, M.D., and Nicholas Lydon, Ph.D., who were each a member of the Company’s board of directors at the time. Due to these relationships, the transaction with IDRx is a related party transaction.</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IDRx License Agreement, the Company also entered into a stock purchase agreement with IDRx (IDRx Stock Purchase Agreement), pursuant to which the Company received 4,509,105 shares of IDRx’s Series A preferred stock with the right to receive additional shares of IDRx’s Series A preferred stock through an anti-dilution provision subject to a defined financing cap. In July 2023, the Company received 192,282 additional shares under the anti-dilution provision. The shares are restricted from reselling unless IDRx subsequently proposes a resale registered under the Securities Act or if an exemption from registration is otherwise available.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eligible to receive up to $217.5 million in contingent cash payments, including specified development, regulatory and sales-based milestone payments. In addition, IDRx is obligated to pay to the Company royalties on aggregate annual worldwide net sales of licensed products at tiered percentage rates up to low-teens, subject to adjustments in specified circumstances under the IDRx License Agreement.</w:t>
      </w:r>
    </w:p>
    <w:p>
      <w:pPr>
        <w:spacing w:after="0" w:line="180"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the Company. Either party may also terminate the IDRx License Agreement for material breach of the other party or for insolvency, and the 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intellectual property of IDRx to continue to exploit the compound and terminated product, subject to a royalty that will be negotiated at the time of termination.</w:t>
      </w:r>
    </w:p>
    <w:p>
      <w:pPr>
        <w:spacing w:after="0" w:line="20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considered the ASC 606 criteria for combining contracts and determined the IDRx License Agreement and the IDRx Stock Purchase Agreement should be combined into a single contract because they were negotiated and entered into in contemplation of one another. Therefore, the Company determined that the 4,509,105 shares of IDRx’s Series A preferred stock and the anti-dilution right to receive additional shares should be attributed to the transaction price of the IDRx License Agreement.</w:t>
      </w:r>
    </w:p>
    <w:p>
      <w:pPr>
        <w:spacing w:after="0" w:line="183"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IDRx License Agreement under ASC 606. The Company identified the following material promises under the agreement: (1) the exclusive license and (2) the initial know-how transfer.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transfer, should be combined into one distinct performance obligation. The Company concluded that the license is a functional intellectual property license. The Company determined that IDRx benefited from the license along with the initial know-how transfer at the time of grant, and therefore the related performance obligation is satisfied at a point in time.</w:t>
      </w:r>
    </w:p>
    <w:p>
      <w:pPr>
        <w:spacing w:after="0" w:line="178"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For the purposes of ASC 606, the transaction price of the IDRx License Agreement at the contract inception was determined to be $27.5 million and recorded as license revenue-related party on the consolidated statements of operations and comprehensive loss in 2022. The fair value was derived from IDRx’s most recent financing transaction with unrelated investors. All potential milestone payments that the Company is eligible to receive under the IDRx License Agreement have been excluded from the transaction price. The Company reevaluates the transaction price for inclusion of milestone payments and royalties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Additionally, the Company is entitled to sales milestones and royalties from the sales of the licensed products, and revenue are recognized when the related sales occur.</w:t>
      </w:r>
    </w:p>
    <w:p>
      <w:pPr>
        <w:spacing w:after="0" w:line="189"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The Company concluded the preferred stock investment should be accounted for as an equity investment as it is not mandatorily redeemable nor does the Company have the unilateral right to redeem the preferred stock, and the Company, along with its related parties, do not have a controlling financial interest in IDRx nor have the ability to influence the financial and operating policies through the ownership of preferred stock. IDRx’s preferred stock is not exchange-traded and does not have a readily determinable fair value. Therefore, the preferred stock investment was accounted for under the measurement alternative for equity investments that do not have a readily determinable fair value, at cost of $27.8 million including transaction costs of $0.3 million. If observable price changes in orderly transactions for the identical or similar investment are identified, the Company will adjust the carrying value of the investment to its fair value as of the transaction date. During the year ended December 31, 2024, IDRx completed a Series B preferred stock financing and accordingly, the Company adjusted the carrying value of its investment in IDRx to $28.7 million. The $0.9 million investment gain was recorded as other income on the Company’s consolidated</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statements of operations and comprehensive loss. No revenue was recorded under the IDRx License Agreement during the years ended December 31, 2024 and 2023.</w:t>
      </w:r>
    </w:p>
    <w:p>
      <w:pPr>
        <w:spacing w:after="0" w:line="162"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In January 2025, IDRx announced that they had entered into an agreement under which GSK plc will acquire IDRx for $1.0 billion upfront with an additional $150.0 million regulatory approval-based milestone payment. The transaction is expected to close in the first quarter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VantAI</w:t>
      </w:r>
    </w:p>
    <w:p>
      <w:pPr>
        <w:spacing w:after="0" w:line="229"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7"/>
          <w:szCs w:val="17"/>
          <w:color w:val="auto"/>
        </w:rPr>
        <w:t>In February 2022, the Company entered into an exclusive collaboration agreement with Oncopia Therapeutics, Inc. d/b/a Proteovant Therapeutics, Inc. (“Proteovant”) (the 2022 Agreement) to jointly research and advance certain protein degrader therapies into development candidates, with VantAI, Inc. (“VantAI”) performing computational chemistry services on behalf of Proteovant under the agreement. In December 2023, the Company entered into an Amended and Restated Collaboration and License Agreement (the “A&amp;R Agreement”) with VantAI and Proteovant, which amended and restated and replaced in its entirety the 2022 Agreement. Under the A&amp;R Agreement, Proteovant ceased its role under the 2022 Agreement and VantAI provides expanded computational support directly to the Company, including computational biology and expanded computational chemistry to advance three novel protein degrader programs, and the Company has the option, at its sole discretion, to expand the collaboration to include a fourth target program.</w:t>
      </w:r>
    </w:p>
    <w:p>
      <w:pPr>
        <w:spacing w:after="0" w:line="176"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Under the A&amp;R Agreement, VantAI is eligible to receive up to $1.67 billion in contingent payments including specified research, development, regulatory and commercialization milestones for all the target programs. The Company will be obligated to pay VantAI tiered percentage royalties on a licensed product-by-licensed product basis ranging from the mid-single digits on annual net sales of each licensed product in the applicable territory, subject to adjustment in specified circumstances.</w:t>
      </w:r>
    </w:p>
    <w:p>
      <w:pPr>
        <w:spacing w:after="0" w:line="183"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Under the 2022 Agreement, the Company paid Proteovant an upfront payment of $20.0 million in connection with the execution of the 2022 Agreement. This upfront payment was recorded as a prepaid asset on the Company’s consolidated balance sheet and was amortized as research and development expense over the expected research period because the Company concluded that Proteovant was providing the Company with research services throughout such period. The Company determined to continue to amortize the remaining prepaid asset balance as research and development expense over the expected research period of the A&amp;R Agreement as VantAI continued to provide such research and development services. During the year ended December 31, 2024, the Company recorded research and development expense of $7.5 million under the A&amp;R Agreement. During the years ended December 31, 2023 and 2022, research and development expense recorded under the 2022 Agreement was $4.0 million and $4.4 million, respectively. The following table summarizes the prepaid assets associated with the A&amp;R Agreement as of December 31, 2024 and 2023 (in thousands):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20" w:type="dxa"/>
            <w:vAlign w:val="bottom"/>
            <w:tcBorders>
              <w:bottom w:val="single" w:sz="8" w:color="auto"/>
            </w:tcBorders>
          </w:tcPr>
          <w:p>
            <w:pPr>
              <w:spacing w:after="0"/>
              <w:rPr>
                <w:sz w:val="16"/>
                <w:szCs w:val="16"/>
                <w:color w:val="auto"/>
              </w:rPr>
            </w:pPr>
          </w:p>
        </w:tc>
      </w:tr>
      <w:tr>
        <w:trPr>
          <w:trHeight w:val="210"/>
        </w:trPr>
        <w:tc>
          <w:tcPr>
            <w:tcW w:w="344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6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6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assets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4,971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2,666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6,581</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6,581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13,162</w:t>
            </w:r>
          </w:p>
        </w:tc>
      </w:tr>
    </w:tbl>
    <w:p>
      <w:pPr>
        <w:spacing w:after="0" w:line="200" w:lineRule="exact"/>
        <w:rPr>
          <w:sz w:val="20"/>
          <w:szCs w:val="20"/>
          <w:color w:val="auto"/>
        </w:rPr>
      </w:pPr>
    </w:p>
    <w:p>
      <w:pPr>
        <w:spacing w:after="0" w:line="214"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reevaluates the expected research period at the end of each reporting period and prospectively adjusts the amortization of the asset for changes in the expected research period. Each research and development milestone payment is accrued and expensed when probable.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16"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In November 2021, the Company entered into a collaboration (the Zai Lab agreement) with Zai Lab (Shanghai) Co., Ltd., (Zai Lab) to develop and commercialize certain licensed products for the treatment of EGFR-driven non-small cell lung cancer in Greater China, including Mainland China, Hong Kong, Macau and Taiwan (collectively, the Zai Lab Territory), which currently include BLU-945 and BLU-525. In January 2024, the Company decided to discontinue further investment in the early clinical-stage therapies for EGFR-mutant NSCLC globally. Zai Lab retains its rights to BLU-945 and BLU-525 under the agreement. The Company retains exclusive rights to the licensed products outside the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Zai Lab Territory. The decision to deprioritize the licensed products does not have an impact on the Company’s accounting treatment related to the Zai Lab agreement.</w:t>
      </w:r>
    </w:p>
    <w:p>
      <w:pPr>
        <w:spacing w:after="0" w:line="16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is responsible for costs related to clinical trials in the Zai Lab Territory, other than the specified shared services costs as defined in the Zai Lab agreement which are shared by the Company and Zai Lab. Zai Lab is responsible for conducting all development and commercialization activities in the Zai Lab Territory related to the licensed drug candidates.</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Zai Lab agreement will continue on a licensed product-by-product and region-by-region basis until the later of (i) the 12th anniversary of the date of the first commercial sale of a licensed product in the Zai Lab Territory, (ii) the date of expiration of the last valid patent claim related to the Company’s patent rights of the product in the Zai Lab Territory, and (iii) the expiration of the last regulatory exclusivity for that product in a region in the Zai Lab Territory. Zai Lab may terminate the agreement for convenience by giving a written notice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spacing w:after="0" w:line="189"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The Company concluded that the Zai Lab agreement is a collaborative agreement under ASC 808. The Company determined that the Zai Lab agreement contained two material components: (i) licenses granted to Zai Lab to exploit and develop each licensed product in the Zai Lab Territory and related activities in the Zai Lab Territory, including manufacturing, and (ii) global development of the licensed products. The Company concluded that Zai Lab is the Company’s customer for the licenses and related activities in the Zai Lab Territory under ASC 606, whereas payments received by the Company for global development activities, including manufacturing, are accounted for as a reduction of related expenses. The Company did not record significant net reductions of expenses under the Zai Lab agreement during the years ended December 31, 2024, 2023 and 2022.</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evaluated the Zai Lab Territory specific licenses and related activities under ASC 606 and identified one performance obligation, which consists of the licenses and their initial know-how transfer at the outset of the arrangement. The manufacturing activities were excluded as performance obligation at the outset of the arrangement because it represented a customer option that was not a material right.</w:t>
      </w:r>
    </w:p>
    <w:p>
      <w:pPr>
        <w:spacing w:after="0" w:line="18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Company determined that the license is a functional intellectual property license as Zai Lab benefited from the license along with the initial know-how transfer at the time of grant, and therefore the related performance obligation is satisfied at a point in time. The transaction price of the Zai Lab agreement at the outset of the arrangement was determined to be $25.0 million and the Company satisfied the performance obligation upon delivery of the licenses and initial know-how transfer and accordingly, the upfront payment of $25.0 million was recognized as revenue in 2021. All milestone and royalty payments that the Company is eligible to receive were excluded from the transaction price, as all amounts were fully constrained based on the probability of achievement. The Company reevaluates the transaction price at the end of each reporting period and as uncertain events are resolved or other changes in circumstances occur. Costs that are incurred associated with Zai Lab Territory specific activities are reimbursable from Zai Lab and are recognized as revenue. The Company did not record any revenue under the Zai Lab agreement during the year ended December 31, 2024 and the revenue recorded during the years ended December 31, 2023 and 2022 was not significant.</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Pralsetinib Collaboration</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The Roche pralsetinib collaboration agreement was terminated on February 22, 2024 (the collaboration termination effective date), at which time the Company regained commercialization</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and development rights to GAVRETO from Roche worldwide excluding the CStone Territory. The Company and Roche continued to perform their respective obligations under the Roche pralsetinib collaboration agreement through the collaboration termination effective date. On February 22, 2024, the Company and Roche entered into a transition agreement (the Roche transition agreement) in connection with the termination of the Roche pralsetinib collaboration agreement.</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 the Roche pralsetinib collaboration agreement, the Company received an upfront cash payment of $675.0</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and Roche Holdings, Inc. (Roche Holdings) purchased 1,035,519 shares of the Company’s common stock at a</w:t>
      </w:r>
    </w:p>
    <w:p>
      <w:pPr>
        <w:ind w:left="60"/>
        <w:spacing w:after="0"/>
        <w:rPr>
          <w:sz w:val="20"/>
          <w:szCs w:val="20"/>
          <w:color w:val="auto"/>
        </w:rPr>
      </w:pPr>
      <w:r>
        <w:rPr>
          <w:rFonts w:ascii="Times New Roman" w:cs="Times New Roman" w:eastAsia="Times New Roman" w:hAnsi="Times New Roman"/>
          <w:sz w:val="18"/>
          <w:szCs w:val="18"/>
          <w:color w:val="auto"/>
        </w:rPr>
        <w:t>purchase price of $96.57 per share for consideration of $100.0 million under a stock purchase agreement entered into in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July 2020 in connection with the agreement. The fair market value of the common stock issued to Roche Holdings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$79.3 million on the date of issuance and the premium of $20.7 million was attributed to the transaction price of the Roche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pralsetinib collaboration agreement.</w:t>
      </w:r>
    </w:p>
    <w:p>
      <w:pPr>
        <w:spacing w:after="0" w:line="207"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In the U.S., the Company and Roche co-commercialized pralsetinib and shared profits and losses equally. In addition, the Company received tiered royalties on annual net sales of pralsetinib outside the U.S., excluding the CStone Territory (the Roche Territory). The Company and Roche shared global development costs for pralsetinib at a rate of 45 percent for the Company and 55 percent for Roche.</w:t>
      </w:r>
    </w:p>
    <w:p>
      <w:pPr>
        <w:spacing w:after="0" w:line="187"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The Company concluded that the Roche pralsetinib collaboration agreement contained two material promises within the scope of ASC 606, pralsetinib license and the Roche Territory activities. The Company evaluated the Roche pralsetinib license under ASC 606 and concluded that the pralsetinib license was a functional intellectual property license and a distinct performance obligation. The Company determined that Roche benefited from the pralsetinib license at the time of grant, and therefore the related performance obligation was satisfied at a point in time.</w:t>
      </w:r>
    </w:p>
    <w:p>
      <w:pPr>
        <w:spacing w:after="0" w:line="183" w:lineRule="exact"/>
        <w:rPr>
          <w:sz w:val="20"/>
          <w:szCs w:val="20"/>
          <w:color w:val="auto"/>
        </w:rPr>
      </w:pPr>
    </w:p>
    <w:p>
      <w:pPr>
        <w:ind w:left="60" w:right="99" w:firstLine="648"/>
        <w:spacing w:after="0" w:line="271" w:lineRule="auto"/>
        <w:rPr>
          <w:sz w:val="20"/>
          <w:szCs w:val="20"/>
          <w:color w:val="auto"/>
        </w:rPr>
      </w:pPr>
      <w:r>
        <w:rPr>
          <w:rFonts w:ascii="Times New Roman" w:cs="Times New Roman" w:eastAsia="Times New Roman" w:hAnsi="Times New Roman"/>
          <w:sz w:val="17"/>
          <w:szCs w:val="17"/>
          <w:color w:val="auto"/>
        </w:rPr>
        <w:t>The transaction price of the Roche pralsetinib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the collaboration termination effective date, the Company achieved an aggregate of $105.0 million in specified regulatory and commercialization milestones, which were added to the estimated transaction price of the Roche pralsetinib collaboration agreement and recorded as revenue in the respective periods when they were achieved.</w:t>
      </w:r>
    </w:p>
    <w:p>
      <w:pPr>
        <w:spacing w:after="0" w:line="174"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For the parties’ participation in global development for pralsetinib and the U.S. commercialization activities for GAVRETO, the Company concluded that those activities and cost-sharing payments related to such activities were within the scope of ASC 808, as both parties were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were accounted for either as an increase or reduction of research and development expenses.</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No operating expenses were recorded under the Roche pralsetinib collaboration since June 30, 2024. The following table summarizes the amounts recognized as reductions to selling, general and administrative expenses related to the commercialization of GAVRETO in the U.S., and reductions to (increases in) research and development expenses related to global development activities for pralsetinib under the Roche pralsetinib collaboration during the years ended December 31, 2024, 2023 and 2022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r>
      <w:tr>
        <w:trPr>
          <w:trHeight w:val="208"/>
        </w:trPr>
        <w:tc>
          <w:tcPr>
            <w:tcW w:w="5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to selling, general and administrative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in research and development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r>
    </w:tbl>
    <w:p>
      <w:pPr>
        <w:spacing w:after="0" w:line="19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Roche was the principal for recording product sales to customers in the U.S., and the Company recognized a portion of the profit as revenue and losses as collaboration loss sharing in its consolidated statements of operations and comprehensive loss. During the year ended December 31, 2024, the Company recorded revenue of $1.4 million derived from profit sharing on Roche sales of GAVRETO in the U.S. During the years ended December 31, 2023 and 2022, the Company recorded a collaboration loss sharing expense of $4.3 million and $8.9 million on Roche’s sales of GAVRETO in the U.S., respectively. Costs incurred associated with the Roche Territory activities were reimbursable from Roche and were recognized as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recognized under the Roche pralsetinib collaboration during the years ended December 31, 2024, 2023 and 2022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r>
      <w:tr>
        <w:trPr>
          <w:trHeight w:val="209"/>
        </w:trPr>
        <w:tc>
          <w:tcPr>
            <w:tcW w:w="5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59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Manufacturing and research and development services related to</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34"/>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 Territory-specific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sharing 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Roche pralsetinib collaboration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739" w:firstLine="648"/>
        <w:spacing w:after="0" w:line="289" w:lineRule="auto"/>
        <w:rPr>
          <w:sz w:val="20"/>
          <w:szCs w:val="20"/>
          <w:color w:val="auto"/>
        </w:rPr>
      </w:pPr>
      <w:r>
        <w:rPr>
          <w:rFonts w:ascii="Times New Roman" w:cs="Times New Roman" w:eastAsia="Times New Roman" w:hAnsi="Times New Roman"/>
          <w:sz w:val="17"/>
          <w:szCs w:val="17"/>
          <w:color w:val="auto"/>
        </w:rPr>
        <w:t>Upon termination of the Roche pralsetinib collaboration agreement, the Company chose not to assume responsibility for any ongoing pralsetinib clinical trials, and under the terms of the Roche pralsetinib collaboration agreement, Roche bears sole responsibility for all costs associated with the wind-down of these trials.</w:t>
      </w:r>
    </w:p>
    <w:p>
      <w:pPr>
        <w:spacing w:after="0" w:line="158"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Pursuant to the Roche transition agreement, the Company is obligated to reimburse Roche for wind-down costs associated with the marketing and commercialization activities occurred for Roche Territory until December 31, 2026. Additionally, the Company is obligated to reimburse Roche for any U.S. transition related costs that exceeds GAVRETO’s net sales in the U.S., and any remaining net profit are shared equally between the Company and Roche until December 31, 2025. The Company has concluded that such activities and associated payments to Roche are not within the scope of ASC 808 as only the Company is exposed to significant risks and awards associated with those activities. The Company records those wind-down costs and the net amount of U.S. transition costs reimbursable to Roche as selling, general, and administrative expenses when they are incurred. During the year ended December 31, 2024, the Company recorded a total of $5.7 million in such costs.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associated with the Roche pralsetinib agreements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1"/>
        </w:trPr>
        <w:tc>
          <w:tcPr>
            <w:tcW w:w="6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0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r>
    </w:tbl>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Clementia</w:t>
      </w:r>
    </w:p>
    <w:p>
      <w:pPr>
        <w:spacing w:after="0" w:line="21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1F2328"/>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clinical development for the treatment of fibrodysplasia ossificans progressiva (FOP), now referred to as fidrisertib, as well as specified other compounds related to the BLU-782 program.</w:t>
      </w:r>
    </w:p>
    <w:p>
      <w:pPr>
        <w:spacing w:after="0" w:line="18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1F2328"/>
        </w:rPr>
        <w:t xml:space="preserve">Under the Clementia agreement, the Company received an upfront cash payment of $25.0 million and through December 31, 2024, the Company has received an aggregate of $50.0 million in cash milestone payments. Subject to the terms of the Clementia agreement, in addition to the upfront and milestone payments </w:t>
      </w:r>
      <w:r>
        <w:rPr>
          <w:rFonts w:ascii="Times New Roman" w:cs="Times New Roman" w:eastAsia="Times New Roman" w:hAnsi="Times New Roman"/>
          <w:sz w:val="18"/>
          <w:szCs w:val="18"/>
          <w:color w:val="000000"/>
        </w:rPr>
        <w:t>received through December 31, 2024</w:t>
      </w:r>
      <w:r>
        <w:rPr>
          <w:rFonts w:ascii="Times New Roman" w:cs="Times New Roman" w:eastAsia="Times New Roman" w:hAnsi="Times New Roman"/>
          <w:sz w:val="18"/>
          <w:szCs w:val="18"/>
          <w:color w:val="1F2328"/>
        </w:rPr>
        <w:t>,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w:t>
      </w:r>
    </w:p>
    <w:p>
      <w:pPr>
        <w:spacing w:after="0" w:line="17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the Company. Either party may terminate the agreement for the other party’s uncured material breach or insolvency and in</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certain other circumstances agreed to by the parties. In certain termination circumstances, the Company is entitled to retain specified licenses to be able to continue to exploit the Clementia licensed products.</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91"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determined that the transaction price at the outset of the arrangement was $46.5 million, which was allocated to the three performance obligations on a relative stand-alone selling price basis, and was recognized as revenue in prior years.</w:t>
      </w:r>
    </w:p>
    <w:p>
      <w:pPr>
        <w:spacing w:after="0" w:line="16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did not recognize revenue under the Clementia agreement during the years ended December 31, 2024 and 2023. During the year ended December 31, 2022, cash consideration associated with an achieved development milestone of $30.0 million was added to the estimated transaction price for the Clementia agreement and recognized as revenue. All potential milestone payments that the Company is eligible to receive were excluded from the transaction price, as the amounts were fully constrained based on the probability of achievement.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78" w:lineRule="exact"/>
        <w:rPr>
          <w:sz w:val="20"/>
          <w:szCs w:val="20"/>
          <w:color w:val="auto"/>
        </w:rPr>
      </w:pPr>
    </w:p>
    <w:p>
      <w:pPr>
        <w:ind w:left="60" w:right="1159" w:firstLine="648"/>
        <w:spacing w:after="0" w:line="282" w:lineRule="auto"/>
        <w:rPr>
          <w:sz w:val="20"/>
          <w:szCs w:val="20"/>
          <w:color w:val="auto"/>
        </w:rPr>
      </w:pPr>
      <w:r>
        <w:rPr>
          <w:rFonts w:ascii="Times New Roman" w:cs="Times New Roman" w:eastAsia="Times New Roman" w:hAnsi="Times New Roman"/>
          <w:sz w:val="18"/>
          <w:szCs w:val="18"/>
          <w:color w:val="auto"/>
        </w:rPr>
        <w:t>There was no revenue deferred as a contract liability associated with the Clementia agreement as of December 31, 2024 and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CStone Pharmaceuticals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and other forms thereof, in Mainland China, Hong Kong, Macau and Taiwan (each, a CStone region and collectively, the CStone Territory), either as a monotherapy or as part of a combination therapy.</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an upfront cash payment of $40.0 million, and through December 31, 2024, the Company has achieved an aggregate of $38.5 million in milestones under this collaboration. Subject to the terms of the CStone agreement, in addition to the upfront payments received and milestones achieved through December 31, 2024, the Company will be eligible to receive up to $307.5 million in contingent payments, including specified development, regulatory and sales-based milestones for licensed products. In addition, CStone is obligated to pay the Company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are shared by the Company and CStone.</w:t>
      </w:r>
    </w:p>
    <w:p>
      <w:pPr>
        <w:spacing w:after="0" w:line="18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96"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net payments received by the Company for global development activities under the CStone agreement, including manufacturing, are accounted for as a reduction of related expenses.</w:t>
      </w:r>
    </w:p>
    <w:p>
      <w:pPr>
        <w:spacing w:after="0" w:line="19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have significant manufacturing and research and development services related to the global development activities during the years ended December 31, 2024 and 2023. During the year ended December 31, 2022, the Company recorded $1.7 million in reduction of related expenses from manufacturing and research and development services related to global development activities, net of expenses payable to CStone.</w:t>
      </w:r>
    </w:p>
    <w:p>
      <w:pPr>
        <w:spacing w:after="0" w:line="18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9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76"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Under the CStone agreement, in order to evaluate the transaction price for purposes of ASC 606, the Company determined that the upfront amount of $40.0 million constituted the entirety of the consideration to be included in the transaction price at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in 2018.</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did not achieve any milestones under the CStone agreement during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During the years ended December 31, 2023, and 2022, cash consideration associated with achieved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development and sales-based milestones of $9.0 million and $6.5 million, respectively, were added to the estimated</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 price for the CStone agreement and recognized as revenue in such periods. The Company reevaluates the</w:t>
      </w:r>
    </w:p>
    <w:p>
      <w:pPr>
        <w:ind w:left="60"/>
        <w:spacing w:after="0"/>
        <w:rPr>
          <w:sz w:val="20"/>
          <w:szCs w:val="20"/>
          <w:color w:val="auto"/>
        </w:rPr>
      </w:pPr>
      <w:r>
        <w:rPr>
          <w:rFonts w:ascii="Times New Roman" w:cs="Times New Roman" w:eastAsia="Times New Roman" w:hAnsi="Times New Roman"/>
          <w:sz w:val="18"/>
          <w:szCs w:val="18"/>
          <w:color w:val="auto"/>
        </w:rPr>
        <w:t>transaction price at the end of each reporting period and as uncertain events are resolved or other changes in circumstances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occur, and if necessary, the Company adjusts its estimate of the transaction price, and any addition to the transaction price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would be recognized as revenue when it becomes probable that inclusion would not lead to a significant revenue reversal.</w:t>
      </w:r>
    </w:p>
    <w:p>
      <w:pPr>
        <w:spacing w:after="0" w:line="20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Subsequent to the CStone agreement, the Company entered into various commercial supply and manufacturing technology transfer agreements for avapritinib and pralsetinib related to supply of active pharmaceutical ingredient (API), drug substance and commercialization activities conducted specifically for the CStone Territory. The manufacturing activities in these agreements were considered as distinct performance obligations from the CStone collaboration agreement and collaboration revenue is recognized upon delivery of the supply to CStone. Considerations payable to CStone related to the Company’s obligations in connection with commercial supply of pralsetinib for the CStone Territory was recognized as a reduction of collaboration revenue.</w:t>
      </w:r>
    </w:p>
    <w:p>
      <w:pPr>
        <w:spacing w:after="0" w:line="18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A summary of revenue recognized under the CStone agreement during the years ended December 31, 2024, 2023 and 2022 is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4"/>
        </w:trPr>
        <w:tc>
          <w:tcPr>
            <w:tcW w:w="6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milestone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198"/>
        </w:trPr>
        <w:tc>
          <w:tcPr>
            <w:tcW w:w="6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Manufacturing services and royalty revenue related to CStone Territory-specific</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17,794</w:t>
            </w: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CStone collaboration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w:t>
            </w: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have any contract assets related to the CStone collaboration as of December 31, 2024 and 2023. The following table presents the contract liabilities associated with the CStone collaboration as of December 31, 2024 and 2023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10"/>
        </w:trPr>
        <w:tc>
          <w:tcPr>
            <w:tcW w:w="7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r>
    </w:tbl>
    <w:p>
      <w:pPr>
        <w:spacing w:after="0" w:line="193" w:lineRule="exact"/>
        <w:rPr>
          <w:sz w:val="20"/>
          <w:szCs w:val="20"/>
          <w:color w:val="auto"/>
        </w:rPr>
      </w:pPr>
    </w:p>
    <w:p>
      <w:pPr>
        <w:jc w:val="both"/>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The Company’s liabilities associated with the CStone collaboration as of December 31, 2024 and 2023 resulted primarily from the Company’s obligations in connection with commercial supply of pralsetinib for the CStone Territory.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Immunotherapy Collaboration</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as single products or possibly in combination with other therapeutics.</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On April 30, 2023, the Company and Roche entered into a mutual termination agreement to terminate the Roche immunotherapy agreement. Certain licenses granted by Roche to the Company survived and became exclusive, worldwide, perpetual, royalty-free and irrevocable and the Company retained ownership of all the targets developed under the collaboration.</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Roche immunotherapy agreement represented a vendor-customer relationship under ASC 606 as the Company performed its one performance obligation at the outset of the Roche immunotherapy agreement, which consisted of: (1) the non-exclusive license; (2) the research and development activities through Phase 1; and (3) regulatory responsibilities under Phase 1 clinical trials.</w:t>
      </w:r>
    </w:p>
    <w:p>
      <w:pPr>
        <w:spacing w:after="0" w:line="18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7"/>
          <w:szCs w:val="17"/>
          <w:color w:val="auto"/>
        </w:rPr>
        <w:t>The aggregate net transaction price of the Roche immunotherapy agreement was $64.7 million. The Company recognized revenue associated with the performance obligation using an input method, based on the costs incurred for the research and development activities on each program and the costs expected to be incurred in the future to satisfy the performance obligation for each respective period. The amounts received that had not yet been recognized as revenue were deferred as a contract liability on the Company’s consolidated balance sheet and recognized over the remaining research and development period until the performance obligation was satisfied. The performance obligation was completely satisfied as of June 30, 2023 and no revenue was recognized thereafter for this agreement. During the years ended December 31, 2023 and 2022, the Company recognized research and development services revenue of $25.7 million and $2.3 million, respectively, under the Roche immunotherapy agreement, of which $16.0 million and $4.4 million, respectively, resulted from changes in contract liability balances at the beginning of the period. There was no revenue deferred as a contract liability associated with the Roche immunotherapy agreement as of December 31, 2024 and 2023.</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0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February 2022, the Company entered into an at-the-market (ATM) Facility with Cowen and Company, LLC (Cowen), pursuant to which the Company may offer and sell, from time to time at its sole discretion, shares of its common stock having an aggregate offering price of up to $300.0 million through Cowen as sales agent. During the year ended December 31, 2024, the Company issued and sold 544,719 shares of its common stock under the ATM Facility and received net proceeds of $48.9 million. The Company did not issue any shares under the ATM Facility during the years ended December 31, 2023 and 2022.</w:t>
      </w: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7"/>
          <w:szCs w:val="17"/>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performance-based restricted stock units, unrestricted stock, performance-based awards and cash-based awards. The Company initially reserved a total of 1,460,084 shares of common stock for the issuance of awards under the 2015 Plan.</w:t>
      </w:r>
    </w:p>
    <w:p>
      <w:pPr>
        <w:spacing w:after="0" w:line="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2015 Plan provided that the number of shares reserved and available for issuance under the 2015 Plan would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2024, the number of shares reserved for issuance under the 2015 Plan was increased by 2,445,889 shares.</w:t>
      </w:r>
    </w:p>
    <w:p>
      <w:pPr>
        <w:spacing w:after="0" w:line="173" w:lineRule="exact"/>
        <w:rPr>
          <w:sz w:val="20"/>
          <w:szCs w:val="20"/>
          <w:color w:val="auto"/>
        </w:rPr>
      </w:pPr>
    </w:p>
    <w:p>
      <w:pPr>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Company initially reserved a total of 1,000,000 shares of common stock for the issuance of awards under the Inducement Plan and in June 2022, the Company’s board of directors approved the reservation of an additional 1,500,000 shares of common stock for the issuance of awards under the Inducement Plan.</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At the Company’s annual meeting of stockholders held on June 12, 2024, the Company’s stockholders approved the 2024 Stock Incentive Plan (the 2024 Plan), which replaced the Company’s 2015 Plan and the Inducement Plan. As of December 31, 2024, there were 7,832,847 and 724,176 shares underlying awards outstanding under the 2015 Plan and the Inducement Plan, respectively. No further shares will be granted under the 2015 Plan and the Inducement Plan after the effective date of the 2024 Plan. The 2024 Plan provides for the granting of incentive stock options, nonstatutory stock options, stock appreciation rights, restricted stock, restricted stock units, performance-based restricted stock units, unrestricted stock and cash-based awards. The 2024 Plan provides for the issuance of up to 9,200,000 shares. Any shares of common stock underlying any awards that are forfeited, canceled, held back upon exercise or settlement of an award to satisfy the exercise price or tax withholding, repurchased, expire or are otherwise terminated by the Company under the 2024 Plan and the 2015 Plan will be added back to the shares of common stock available for issuance under the 2024 Plan. As of December 31, 2024, there were 9,116,614 shares available for future grant under the 2024 Plan.</w:t>
      </w:r>
    </w:p>
    <w:p>
      <w:pPr>
        <w:spacing w:after="0" w:line="174"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On November 22, 2024, the Company learned that the record date for its 2024 annual meeting was 61 days prior to the meeting, exceeding the 60-day limit under Section 213(a) of the Delaware General Corporation Law (DGCL). On December 2, 2024, the Company petitioned the Delaware Court of Chancery under Section 205 of the DGCL to validate the actions taken at the 2024 annual meeting, including the adoption of the 2024 Plan. The Court granted the Company’s petition on January 23, 2025, ratifying these actions as of the meeting date. During the year ended December 31, 2024, the Company granted 247,987 shares under the 2024 Plan. For more information, see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in Note 19,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21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years beginning January 1, 2024 and 2025, the number of shares reserved for issuance under the 2015 ESPP was increased by 611,472 and 637,122 shares, respectively. As of December 31, 2024, there were 4,196,701 shares available for issuance under the 2015 ESPP. The Company issued 65,813, 96,290, and 80,717 shares under the ESPP during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totaling $108.9 million, $92.7 million and $99.0 million for the years ended December 31, 2024, 2023 and 2022, respectively. Stock-based compensation expense by award type included within the consolidated statements of operations and comprehensive loss is as follows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52,931</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45,285</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3"/>
        </w:trPr>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93,256</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99,634</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costs</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09"/>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Stock-based compensation expense included in total cost and operating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108,911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92,672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98,971</w:t>
            </w: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that is included in operating expenses by classification within the consolidated statements of operations and comprehensive loss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4"/>
        </w:trPr>
        <w:tc>
          <w:tcPr>
            <w:tcW w:w="6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40,302</w:t>
            </w:r>
          </w:p>
        </w:tc>
        <w:tc>
          <w:tcPr>
            <w:tcW w:w="40" w:type="dxa"/>
            <w:vAlign w:val="bottom"/>
            <w:shd w:val="clear" w:color="auto" w:fill="CCEEFF"/>
          </w:tcPr>
          <w:p>
            <w:pPr>
              <w:spacing w:after="0"/>
              <w:rPr>
                <w:sz w:val="18"/>
                <w:szCs w:val="18"/>
                <w:color w:val="auto"/>
              </w:rPr>
            </w:pPr>
          </w:p>
        </w:tc>
      </w:tr>
      <w:tr>
        <w:trPr>
          <w:trHeight w:val="216"/>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58,669</w:t>
            </w:r>
          </w:p>
        </w:tc>
        <w:tc>
          <w:tcPr>
            <w:tcW w:w="40" w:type="dxa"/>
            <w:vAlign w:val="bottom"/>
            <w:tcBorders>
              <w:bottom w:val="single" w:sz="8" w:color="CCEEFF"/>
            </w:tcBorders>
          </w:tcPr>
          <w:p>
            <w:pPr>
              <w:spacing w:after="0"/>
              <w:rPr>
                <w:sz w:val="18"/>
                <w:szCs w:val="18"/>
                <w:color w:val="auto"/>
              </w:rPr>
            </w:pPr>
          </w:p>
        </w:tc>
      </w:tr>
      <w:tr>
        <w:trPr>
          <w:trHeight w:val="21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included in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98,971</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there was $207.6 million of total unrecognized compensation cost related to non-vested stock awards, which is expected to be recognized over a weighted-average period of 2.4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Stock options granted by the Company generally vest ratably over four years, with a one-year cliff for new employee awards and are exercisable from the date of grant for a period of ten years. The fair value of each option issued to employees was estimated at the date of grant using the Black-Scholes option pricing model with the following weighted-average assumptions: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4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3240" w:type="dxa"/>
            <w:vAlign w:val="bottom"/>
            <w:tcBorders>
              <w:bottom w:val="single" w:sz="8" w:color="CCEEFF"/>
            </w:tcBorders>
          </w:tcPr>
          <w:p>
            <w:pPr>
              <w:spacing w:after="0"/>
              <w:rPr>
                <w:sz w:val="15"/>
                <w:szCs w:val="15"/>
                <w:color w:val="auto"/>
              </w:rPr>
            </w:pPr>
          </w:p>
        </w:tc>
        <w:tc>
          <w:tcPr>
            <w:tcW w:w="27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2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55.15 %</w:t>
            </w:r>
          </w:p>
        </w:tc>
        <w:tc>
          <w:tcPr>
            <w:tcW w:w="20" w:type="dxa"/>
            <w:vAlign w:val="bottom"/>
          </w:tcPr>
          <w:p>
            <w:pPr>
              <w:spacing w:after="0"/>
              <w:rPr>
                <w:sz w:val="20"/>
                <w:szCs w:val="20"/>
                <w:color w:val="auto"/>
              </w:rPr>
            </w:pPr>
          </w:p>
        </w:tc>
      </w:tr>
      <w:tr>
        <w:trPr>
          <w:trHeight w:val="684"/>
        </w:trPr>
        <w:tc>
          <w:tcPr>
            <w:tcW w:w="3240" w:type="dxa"/>
            <w:vAlign w:val="bottom"/>
          </w:tcPr>
          <w:p>
            <w:pPr>
              <w:spacing w:after="0"/>
              <w:rPr>
                <w:sz w:val="24"/>
                <w:szCs w:val="24"/>
                <w:color w:val="auto"/>
              </w:rPr>
            </w:pPr>
          </w:p>
        </w:tc>
        <w:tc>
          <w:tcPr>
            <w:tcW w:w="3380" w:type="dxa"/>
            <w:vAlign w:val="bottom"/>
            <w:gridSpan w:val="2"/>
          </w:tcPr>
          <w:p>
            <w:pPr>
              <w:jc w:val="right"/>
              <w:ind w:right="1919"/>
              <w:spacing w:after="0"/>
              <w:rPr>
                <w:sz w:val="20"/>
                <w:szCs w:val="20"/>
                <w:color w:val="auto"/>
              </w:rPr>
            </w:pPr>
            <w:r>
              <w:rPr>
                <w:rFonts w:ascii="Times New Roman" w:cs="Times New Roman" w:eastAsia="Times New Roman" w:hAnsi="Times New Roman"/>
                <w:sz w:val="18"/>
                <w:szCs w:val="18"/>
                <w:color w:val="auto"/>
              </w:rPr>
              <w:t>F-37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year ended December 31, 2024:</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6,658,444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6"/>
                <w:szCs w:val="26"/>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1,075,799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(205,250)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6,369,724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115,874</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82,016</w:t>
            </w:r>
          </w:p>
        </w:tc>
        <w:tc>
          <w:tcPr>
            <w:tcW w:w="0" w:type="dxa"/>
            <w:vAlign w:val="bottom"/>
          </w:tcPr>
          <w:p>
            <w:pPr>
              <w:spacing w:after="0" w:line="20" w:lineRule="exact"/>
              <w:rPr>
                <w:sz w:val="1"/>
                <w:szCs w:val="1"/>
                <w:color w:val="auto"/>
              </w:rPr>
            </w:pPr>
          </w:p>
        </w:tc>
      </w:tr>
      <w:tr>
        <w:trPr>
          <w:trHeight w:val="197"/>
        </w:trPr>
        <w:tc>
          <w:tcPr>
            <w:tcW w:w="5280" w:type="dxa"/>
            <w:vAlign w:val="bottom"/>
            <w:gridSpan w:val="3"/>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4,514,741</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71.51</w:t>
            </w:r>
          </w:p>
        </w:tc>
        <w:tc>
          <w:tcPr>
            <w:tcW w:w="9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700" w:right="99" w:hanging="650"/>
        <w:spacing w:after="0" w:line="260" w:lineRule="auto"/>
        <w:tabs>
          <w:tab w:leader="none" w:pos="7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Intrinsic value represents the amount by which the fair market value as of December 31, 2024 of the underlying common stock exceeds the exercise price of the option.</w:t>
      </w:r>
    </w:p>
    <w:p>
      <w:pPr>
        <w:ind w:left="700" w:hanging="650"/>
        <w:spacing w:after="0"/>
        <w:tabs>
          <w:tab w:leader="none" w:pos="7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 of stock options granted in 2024, 55,119 stock options were granted under the 2024 Plan.</w:t>
      </w:r>
    </w:p>
    <w:p>
      <w:pPr>
        <w:spacing w:after="0" w:line="209"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in the years ended December 31, 2024, 2023 and 2022 was $54.15, $25.81 and $32.30, respectively. The total intrinsic value of options exercised in the years ended December 31, 2024, 2023, and 2022 was $45.1 million, $11.6 million, and $11.8 million, respectively.</w:t>
      </w:r>
    </w:p>
    <w:p>
      <w:pPr>
        <w:spacing w:after="0" w:line="183"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the total unrecognized compensation expense related to unvested stock option awards was $71.4 million, which is expected to be recognized over a weighted-average period of approximately 2.4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364" w:lineRule="exact"/>
        <w:rPr>
          <w:sz w:val="20"/>
          <w:szCs w:val="20"/>
          <w:color w:val="auto"/>
        </w:rPr>
      </w:pPr>
    </w:p>
    <w:p>
      <w:pPr>
        <w:ind w:left="60" w:right="719" w:firstLine="648"/>
        <w:spacing w:after="0" w:line="266" w:lineRule="auto"/>
        <w:rPr>
          <w:sz w:val="20"/>
          <w:szCs w:val="20"/>
          <w:color w:val="auto"/>
        </w:rPr>
      </w:pPr>
      <w:r>
        <w:rPr>
          <w:rFonts w:ascii="Times New Roman" w:cs="Times New Roman" w:eastAsia="Times New Roman" w:hAnsi="Times New Roman"/>
          <w:sz w:val="18"/>
          <w:szCs w:val="18"/>
          <w:color w:val="auto"/>
        </w:rPr>
        <w:t>Restricted stock units granted by the Company generally vest ratably over four years. The following table summarizes the restricted stock units activity for the year ended December 31,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6"/>
        </w:trPr>
        <w:tc>
          <w:tcPr>
            <w:tcW w:w="20" w:type="dxa"/>
            <w:vAlign w:val="bottom"/>
          </w:tcPr>
          <w:p>
            <w:pPr>
              <w:spacing w:after="0"/>
              <w:rPr>
                <w:sz w:val="18"/>
                <w:szCs w:val="18"/>
                <w:color w:val="auto"/>
              </w:rPr>
            </w:pPr>
          </w:p>
        </w:tc>
        <w:tc>
          <w:tcPr>
            <w:tcW w:w="6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2,107,026</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25"/>
                <w:szCs w:val="25"/>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(795,219)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(151,192)</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at December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2,290,931</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67"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6"/>
          <w:szCs w:val="16"/>
          <w:color w:val="auto"/>
        </w:rPr>
        <w:t>(1)</w:t>
        <w:tab/>
        <w:t>Out of restricted stock units granted in 2024, 192,868 restricted stock units were granted under the 2024 Plan.</w:t>
      </w:r>
    </w:p>
    <w:p>
      <w:pPr>
        <w:spacing w:after="0" w:line="39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years ended December 31, 2024, 2023 and 2022 was $75.8 million, $31.6 million and $29.4 million, respectively. As of December 31, 2024, the total unrecognized compensation expense related to unvested restricted stock units was $126.2 million, which is expected to be recognized over a weighted-average period of approximately 2.4 years.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89"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In 2023, the Company began granting performance-based restricted stock units (PSUs) that will settle in stock. PSUs awarded to employees have a three-year performance period and vest on the third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 Participants may ultimately earn between zero and 200.0% of the target number of PSUs granted based on the degree of achievement of the performance metric which is measured on a three-year cumulative relative total shareholder return metric. Accordingly, additional PSUs may be issued or currently issued PSUs may be cancelled upon final determination of the number of units earned.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PSU activity for year ended December 31, 2024:</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216"/>
        </w:trPr>
        <w:tc>
          <w:tcPr>
            <w:tcW w:w="6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21"/>
        </w:trPr>
        <w:tc>
          <w:tcPr>
            <w:tcW w:w="682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9"/>
                <w:szCs w:val="19"/>
                <w:color w:val="auto"/>
              </w:rPr>
            </w:pP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4"/>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w:t>
            </w: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2024</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w:t>
            </w:r>
          </w:p>
        </w:tc>
      </w:tr>
      <w:tr>
        <w:trPr>
          <w:trHeight w:val="20"/>
        </w:trPr>
        <w:tc>
          <w:tcPr>
            <w:tcW w:w="6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expense related to unvested PSUs was $10.0 million, which is expected to be recognized over a weighted-average period of approximately 1.8 years.</w:t>
      </w:r>
    </w:p>
    <w:p>
      <w:pPr>
        <w:spacing w:after="0" w:line="121"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values PSUs on the grant date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 average shares of common stock outstanding during the period, without consideration for common stock equivalents. Diluted net loss per share is calculated by adjusting weighted average shares outstanding for the dilutive effect of common stock equivalents outstanding for the period. For purposes of the diluted net loss per share calculation, stock options, unvested restricted stock units, PSUs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spacing w:after="0" w:line="187"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years ended December 31, 2024, 2023 and 2022 because including them would have had an anti-dilutive effect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26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4"/>
        </w:trPr>
        <w:tc>
          <w:tcPr>
            <w:tcW w:w="638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8"/>
                <w:szCs w:val="18"/>
                <w:color w:val="auto"/>
              </w:rPr>
            </w:pPr>
          </w:p>
        </w:tc>
      </w:tr>
      <w:tr>
        <w:trPr>
          <w:trHeight w:val="21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left="60" w:right="4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provision of $1.2 million for the year ended December 31, 2024 due to state income taxes and taxable income from the jurisdictions in which the Company is subject to tax.</w:t>
      </w:r>
    </w:p>
    <w:p>
      <w:pPr>
        <w:spacing w:after="0" w:line="162" w:lineRule="exact"/>
        <w:rPr>
          <w:sz w:val="20"/>
          <w:szCs w:val="20"/>
          <w:color w:val="auto"/>
        </w:rPr>
      </w:pPr>
    </w:p>
    <w:p>
      <w:pPr>
        <w:ind w:left="60" w:right="4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U.S. statutory income tax rate to the Company’s effective tax rate is as follows for the years ended December 31, 2024, 2023 and 2022:</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2480" w:type="dxa"/>
            <w:vAlign w:val="bottom"/>
            <w:gridSpan w:val="6"/>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5"/>
        </w:trPr>
        <w:tc>
          <w:tcPr>
            <w:tcW w:w="6420" w:type="dxa"/>
            <w:vAlign w:val="bottom"/>
            <w:tcBorders>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(benefit) at statutory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 on foreign earnings</w:t>
            </w:r>
          </w:p>
        </w:tc>
        <w:tc>
          <w:tcPr>
            <w:tcW w:w="8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orphan drug credits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Deferred rate change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credit</w:t>
            </w:r>
          </w:p>
        </w:tc>
        <w:tc>
          <w:tcPr>
            <w:tcW w:w="8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60" w:type="dxa"/>
            <w:vAlign w:val="bottom"/>
            <w:tcBorders>
              <w:bottom w:val="single" w:sz="8" w:color="CCEEFF"/>
            </w:tcBorders>
          </w:tcPr>
          <w:p>
            <w:pPr>
              <w:spacing w:after="0"/>
              <w:rPr>
                <w:sz w:val="18"/>
                <w:szCs w:val="18"/>
                <w:color w:val="auto"/>
              </w:rPr>
            </w:pPr>
          </w:p>
        </w:tc>
      </w:tr>
      <w:tr>
        <w:trPr>
          <w:trHeight w:val="209"/>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Company’s deferred tax assets and liabilities consist of the following (in thousands) as of December 31,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09"/>
        </w:trPr>
        <w:tc>
          <w:tcPr>
            <w:tcW w:w="5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7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244,189</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232,624</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53,329</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Orphan drug credit carryforwards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156,816</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60,350</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Pharma milestones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R&amp;D capitalization</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153,836</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arrangements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107,693</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rent</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22,204</w:t>
            </w:r>
          </w:p>
        </w:tc>
      </w:tr>
      <w:tr>
        <w:trPr>
          <w:trHeight w:val="216"/>
        </w:trPr>
        <w:tc>
          <w:tcPr>
            <w:tcW w:w="5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(17,423)</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16"/>
        </w:trPr>
        <w:tc>
          <w:tcPr>
            <w:tcW w:w="5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(798,096)</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(774,766)</w:t>
            </w:r>
          </w:p>
        </w:tc>
      </w:tr>
      <w:tr>
        <w:trPr>
          <w:trHeight w:val="210"/>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80" w:firstLine="648"/>
        <w:spacing w:after="0" w:line="252" w:lineRule="auto"/>
        <w:rPr>
          <w:sz w:val="20"/>
          <w:szCs w:val="20"/>
          <w:color w:val="auto"/>
        </w:rPr>
      </w:pPr>
      <w:r>
        <w:rPr>
          <w:rFonts w:ascii="Times New Roman" w:cs="Times New Roman" w:eastAsia="Times New Roman" w:hAnsi="Times New Roman"/>
          <w:sz w:val="18"/>
          <w:szCs w:val="18"/>
          <w:color w:val="auto"/>
        </w:rPr>
        <w:t>Management has evaluated the positive and negative evidence bearing upon the realizability of its deferred tax assets and has determined that it is more likely than not that the Company will not recognize the benefits of its net federal, foreign and state deferred tax assets, and as a result, a valuation allowance of $798.1 million and $774.8 million has been established at December 31, 2024 and 2023, respectively. The change in the valuation allowance was $23.3 million and $149.7 million for the years ended December 31, 2024 and 2023, respectively. The increase of deferred tax asset between December 31, 2024 and 2023 is primarily driven by the generation of federal and state net operating losses and the generation of research and development and orphan drug credits, as well as the capitalization and amortization of all Sec. 174 costs associated with research and development costs.</w:t>
      </w:r>
    </w:p>
    <w:p>
      <w:pPr>
        <w:sectPr>
          <w:pgSz w:w="11900" w:h="16838" w:orient="portrait"/>
          <w:cols w:equalWidth="0" w:num="1">
            <w:col w:w="9020"/>
          </w:cols>
          <w:pgMar w:left="1440" w:top="513" w:right="14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has incurred net operating losses (NOL) since inception with the exception of years 2020 and 2022. As of December 31, 2024, the Company had federal and state NOL carryforwards of $859.2 million and $1,077.3 million, respectively, which begin to expire in 2030, and of which $843.3 million of the Company’s federal NOL is post 2017 NOL that will be carried forward indefinitely. As of December 31, 2024, the Company had federal and state research and development tax credit carryforwards of $39.9 million and $31.0 million, respectively, which begin to expire in 2039 and 2028 respectively. As of December 31, 2024, the Company had federal orphan drug credits of $168.8 million, which begin to expire in 2035 and state investment tax credits of $0.9 million, which have begun to expire in 2024. As of December 31, 2024, the Company has foreign tax credits of $2.5 million which will expire in 2031.</w:t>
      </w:r>
    </w:p>
    <w:p>
      <w:pPr>
        <w:spacing w:after="0" w:line="192"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Company has analyzed and validated its research and development tax credits as well as its orphan drug credits for 2011-2023. The Company generated research credits in 2024 but has not conducted a formal study to document its qualified activities. This study may result in an adjustment to the Company’s research and development credit carryforwards. No amounts are being presented as an uncertain tax position as of December 31, 2024 until such study is completed and the adjustment is known. A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Internal Revenue Code of 1986, as amended (the Code), provides for a limitation of the annual use of NOL and other tax attributes (such as research and development tax credit carryforwards) following certain ownership changes (as defined by the Code) that could limit the Company’s ability to utilize these carryforwards. The Company may have experienced such ownership changes in the past, and may experience ownership changes in the future as a result of shifts in its stock ownership, some of which are outside the Company’s control. Approximately $2.0 million of the Company’s NOL carryforwards may not be available for utilization within their applicable carryforward periods based on the Section 382 study in 2021. In addition, U.S. tax laws limit the time during which these carryforwards may be applied against future taxes. Therefore, the Company may not be able to take full advantage of these carryforwards for federal or state income tax purposes.</w:t>
      </w:r>
    </w:p>
    <w:p>
      <w:pPr>
        <w:spacing w:after="0" w:line="19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Interest and penalty charges, if any, related to unrecognized tax benefits would be classified as income tax expense in the accompanying statements of operations and comprehensive income (loss). As of December 31, 2024, the Company did not have any gross unrecognized tax benefit, excluding interest and penalties. As of December 31, 2024, the Company was open to examination in the U.S. federal and certain state jurisdictions for all of the Company’s tax years since the net operating losses may potentially be utilized in future years to reduce taxable income. Since the Company is in a loss carryforward position, it is generally subject to examination by the U.S. federal, state, and local income tax authorities for all tax years in which a loss carryforward is available.</w:t>
      </w:r>
    </w:p>
    <w:p>
      <w:pPr>
        <w:spacing w:after="0" w:line="187"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Effective January 1, 2022, a provision of the Tax Cuts and Jobs Act (TCJA) took effect creating a significant change to the treatment of research and experimental (R&amp;E) expenditures under Section 174 of the Code (Sec. 174 expenses). Historically, businesses have had the option of deducting Sec. 174 expenses in the year incurred or capitalizing and amortizing the costs over five years. The TCJA provision, however, eliminates this option and requires Sec. 174 expenses associated with research conducted in the U.S to be capitalized and amortized over a five-year period. For expenses associated with research outside of the United States, Sec. 174 expenses are capitalized and amortized over a 15-year period. The Company has included the tax impact of capitalizing and amortizing these costs over the required periods for the calendar year ended December 31, 2024.</w:t>
      </w:r>
    </w:p>
    <w:p>
      <w:pPr>
        <w:spacing w:after="0" w:line="19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 xml:space="preserve">On June 30, 2022, the Company entered into a Royalty Purchase Agreement with Royalty Pharma and a Future Revenue Purchase Agreement with Sixth Street Partners. Pursuant to the agreements, the Company received gross proceeds of $175.0 million from Royalty Pharma in June 2022 and $250.0 million from Sixth Street Partners in July 2022 upon the transactions closing. The total cash consideration of $425.0 million, in its entirety, was considered taxable income for calendar year ended December 31, 2022. In connection with and effective upon the termination of the Roche collaboration agreement, on February 22, 2024, Royalty Pharma and the Company entered into the Royalty Pharma Termination Agreement to terminate the Royalty Purchase Agreement. The Company accounted for the Royalty Pharma Termination Agreement as a debt extinguishment. As a result, during the year ended December 31, 2024 the Company recorded $173.7 million as a debt extinguishment gain in its consolidated financial statements.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For tax purposes, the debt extinguishment gain was excluded from the December 31, 2024 estimated taxable income calculation since it was previously included in taxable income during the year ended December 31,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On August 1, 2022, the Company entered into the IDRx License Agreement and IDRx Stock Purchase Agreement. Pursuant to these agreements, the Company licensed its internally discovered KIT exon 13 inhibitor to IDRx in exchange for a 4,509,105 shares of IDRx’s Series A preferred stock and the eligibility to receive future milestones and tiered royalty payments. For book and tax purposes, the value of the equity totaling $27.5 million was included in the taxable income for the year ended December 31, 2022.</w:t>
      </w:r>
    </w:p>
    <w:p>
      <w:pPr>
        <w:spacing w:after="0" w:line="183" w:lineRule="exact"/>
        <w:rPr>
          <w:sz w:val="20"/>
          <w:szCs w:val="20"/>
          <w:color w:val="auto"/>
        </w:rPr>
      </w:pPr>
    </w:p>
    <w:p>
      <w:pPr>
        <w:jc w:val="both"/>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did not have any gross unrecognized tax benefits, excluding interest and penalties due to an audit settlement. The following table provides the reconciliation of the total amounts of the Company’s unrecognized tax benefits for the years ended December 31, 2024 and 2023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3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r>
      <w:tr>
        <w:trPr>
          <w:trHeight w:val="234"/>
        </w:trPr>
        <w:tc>
          <w:tcPr>
            <w:tcW w:w="6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20"/>
                <w:szCs w:val="20"/>
                <w:color w:val="auto"/>
              </w:rPr>
            </w:pP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Increases - tax positions in prior periods</w:t>
            </w:r>
          </w:p>
        </w:tc>
        <w:tc>
          <w:tcPr>
            <w:tcW w:w="84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8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Lapse of statutes</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6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The Company’s building leases are comprised of office and laboratory spaces under non-cancelable operating leases. The lease agreements contain various clauses for renewal at the Company’s option and only certain exercised renewal options were included in the calculation of the operating lease assets and the operating lease liabilities, as other renewal options were not reasonably certain of being exercised as of December 31, 2024.</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38 Sidney Street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February 2015, the Company entered into a lease for approximately 39,000 rentable square feet of office and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laboratory space at 38 Sidney Street in Cambridge, Massachusetts, which was extended in December 2021. The extended</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term will expire on November 30, 2029. The Company agreed to pay an initial annual base rent of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$4.5 million, which rises annually until it reaches approximately $5.5 million. The lease extension provided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an allowance for leasehold improvements of $0.8 million improvements to be made to the premises. A security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deposit of $0.9 million was recorded as restricted cash on the Company’s consolidated balance sheet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The Company’s sublease agreements for the 38 Sidney Street property expired in 2022.</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45 Sidney Street</w:t>
      </w:r>
    </w:p>
    <w:p>
      <w:pPr>
        <w:spacing w:after="0" w:line="21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April 2017, the Company entered into a lease agreement for approximately 99,833 rentable square feet of office and laboratory space located at 45 Sidney Street in Cambridge, Massachusetts. In September 2018, the Company entered into an amendment to the lease agreement to expand the rentable square footage to approximately 139,216 square feet. The initial term of the lease agreement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18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has agreed to pay for the 99,833 rentable square feet an initial annual base rent of approximately $7.7 million, which increases annually until it reaches approximately $10.6 million in the last year of the initial term. The Company has also agreed to pay an initial annual base rent of approximately $3.2 million for the expansion premises, which increases annually until it reaches approximately $4.2 million in the last year of the initial term for the expansion premises. The amended lease provided the Company with a total tenant improvement allowance of approximately $17.4 million for improvements to be made to the premises. A security deposit of $3.3 million was recorded as restricted cash on the Company’s consolidated balance sheet as of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The lease agreements do not contain residual value guarantees and the components of lease cost for the years ended December 31, 2024, 2023 and 2022 were as follows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21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w:t>
            </w:r>
          </w:p>
        </w:tc>
      </w:tr>
      <w:tr>
        <w:trPr>
          <w:trHeight w:val="21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10"/>
        </w:trPr>
        <w:tc>
          <w:tcPr>
            <w:tcW w:w="6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lease cost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not entered into any material short-term leases or financing leases as of December 31, 2024.</w:t>
      </w:r>
    </w:p>
    <w:p>
      <w:pPr>
        <w:spacing w:after="0" w:line="22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2024, 2023 and 2022 was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6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r>
      <w:tr>
        <w:trPr>
          <w:trHeight w:val="215"/>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4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8"/>
                <w:szCs w:val="18"/>
                <w:color w:val="auto"/>
              </w:rPr>
            </w:pPr>
          </w:p>
        </w:tc>
      </w:tr>
      <w:tr>
        <w:trPr>
          <w:trHeight w:val="562"/>
        </w:trPr>
        <w:tc>
          <w:tcPr>
            <w:tcW w:w="40" w:type="dxa"/>
            <w:vAlign w:val="bottom"/>
          </w:tcPr>
          <w:p>
            <w:pPr>
              <w:spacing w:after="0"/>
              <w:rPr>
                <w:sz w:val="24"/>
                <w:szCs w:val="24"/>
                <w:color w:val="auto"/>
              </w:rPr>
            </w:pPr>
          </w:p>
        </w:tc>
        <w:tc>
          <w:tcPr>
            <w:tcW w:w="8940" w:type="dxa"/>
            <w:vAlign w:val="bottom"/>
            <w:gridSpan w:val="11"/>
          </w:tcPr>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of the operating leases are as</w:t>
            </w:r>
          </w:p>
        </w:tc>
      </w:tr>
      <w:tr>
        <w:trPr>
          <w:trHeight w:val="234"/>
        </w:trPr>
        <w:tc>
          <w:tcPr>
            <w:tcW w:w="4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5"/>
        </w:trPr>
        <w:tc>
          <w:tcPr>
            <w:tcW w:w="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r>
      <w:tr>
        <w:trPr>
          <w:trHeight w:val="210"/>
        </w:trPr>
        <w:tc>
          <w:tcPr>
            <w:tcW w:w="4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20"/>
                <w:szCs w:val="20"/>
                <w:color w:val="auto"/>
              </w:rPr>
            </w:pPr>
          </w:p>
        </w:tc>
      </w:tr>
    </w:tbl>
    <w:p>
      <w:pPr>
        <w:spacing w:after="0" w:line="179"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2024 were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8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19,318</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20,451</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97,754</w:t>
            </w: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(15,618)</w:t>
            </w:r>
          </w:p>
        </w:tc>
      </w:tr>
      <w:tr>
        <w:trPr>
          <w:trHeight w:val="210"/>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82,136</w:t>
            </w:r>
          </w:p>
        </w:tc>
      </w:tr>
      <w:tr>
        <w:trPr>
          <w:trHeight w:val="20"/>
        </w:trPr>
        <w:tc>
          <w:tcPr>
            <w:tcW w:w="5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Employee Benefit Plans</w:t>
      </w:r>
    </w:p>
    <w:p>
      <w:pPr>
        <w:spacing w:after="0" w:line="22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various retirement and pension plans. The estimates of liabilities and expenses for these plans incorporate a number of assumptions, including expected rates of return on plan assets and interest rates used to discount future benefits.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401(k) Savings Plan</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401(k) plan for employees (the 401(k) Plan). The 401(k) Plan is intended to qualify under Section 401(k) of the Code, so that contributions to the 401(k) Plan by the Company, and the investment earnings on contributions, are not taxable to the employees until withdrawn from the 401(k) Plan, and so that contributions by the Company, if any, will be deductible by the Company when made. Under the 401(k) Plan, employees may elect to reduce their current compensation by up to the statutorily prescribed annual limit and to have the amount of such reduction</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contributed to the 401(k) Plan. The 401(k) Plan permits the Company to make contributions up to the limits allowed by law on behalf of all eligible employees. The expense related to the 401(k) Plan primarily consists of the Company’s matching contributions. The expenses related to the 401(k) Plan for the years ended December 31, 2024, 2023 and 2022 were $4.7 million, $4.6 million and $3.7 million, respectively.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Switzerland Defined Benefit Plan</w:t>
      </w:r>
    </w:p>
    <w:p>
      <w:pPr>
        <w:spacing w:after="0" w:line="18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Company maintains a pension plan covering employees of its Swiss subsidiary, Blueprint Medicines (Switzerland) GmbH (the “Swiss Plan”). The Swiss Plan is a government-mandated retirement fund that provides employees with a minimum benefit. Employer and employee contributions are made to the Swiss Plan based on various percentages of salary and wages that vary according to employee age and other factors. As is customary with Swiss pension plans, the assets of the Swiss Plan are invested in a collective fund with multiple employers. The Company has no investment authority over the assets of the Swiss Plan, which are held and invested by a Swiss insurance company. The investment strategy of the Swiss Plan is managed by an independent asset manager with the objective of achieving a consistent long-term return which will provide sufficient funding for future pension obligations while limiting risk.</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plan balances as of December 31, 2024 and 2023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1"/>
        </w:trPr>
        <w:tc>
          <w:tcPr>
            <w:tcW w:w="6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(16,065)</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status recorded as other long-term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12,071</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10,984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net periodic benefit cost for the years ended December 31, 2024, 2023 and 2022 was $1.4 million, $1.0 million and $1.2 million, respectively. The contributions to the Swiss Plan for the years ended December 31, 2024, 2023 and 2022 were $1.1 million, $1.0 million, and $0.8 million.</w:t>
      </w:r>
    </w:p>
    <w:p>
      <w:pPr>
        <w:spacing w:after="0" w:line="135"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benefits expected to be paid by the Company in each of the next five years and in aggregate for the five years thereafter as of December 31, 2024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48"/>
        </w:trPr>
        <w:tc>
          <w:tcPr>
            <w:tcW w:w="77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to 2034</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r>
    </w:tbl>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operates as one operating segment, focused on discovering, developing and delivering therapies for allergy/immunology and oncology/hematology. The determination of a single business segment is consistent with the consolidated financial information regularly provided to the Company’s chief operating decision maker (“CODM”). The Company’s CEO, as the chief operating decision maker (CODM), uses consolidated, single-segment financial information for purposes of evaluating performance, making operating decisions, allocating resources, and planning and forecasting for future periods.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consolidated net income (loss).</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measure is used to monitor budget versus actual results to evaluate the performance of the segment.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CODM reviews cash, cash equivalents and marketable securities as a measure of segment assets. As of December 31, 2024 and 2023, the Company’s cash, cash equivalents and marketable securities were $863.9 million and $767.2 million, respectively.</w:t>
      </w:r>
    </w:p>
    <w:p>
      <w:pPr>
        <w:spacing w:after="0" w:line="135"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illustrates information about segment revenue, significant segment expenses and segment operating loss for the years ended December 31, 2024, 2023 and 2022 (in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4"/>
        </w:trPr>
        <w:tc>
          <w:tcPr>
            <w:tcW w:w="60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204,036</w:t>
            </w:r>
          </w:p>
        </w:tc>
      </w:tr>
      <w:tr>
        <w:trPr>
          <w:trHeight w:val="216"/>
        </w:trPr>
        <w:tc>
          <w:tcPr>
            <w:tcW w:w="60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w:t>
            </w:r>
          </w:p>
        </w:tc>
      </w:tr>
      <w:tr>
        <w:trPr>
          <w:trHeight w:val="216"/>
        </w:trPr>
        <w:tc>
          <w:tcPr>
            <w:tcW w:w="604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Research and development expense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96,625</w:t>
            </w: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Early drug discovery and platform</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75,542</w:t>
            </w: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Clinical and manufacturing related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198,317</w:t>
            </w: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Facilities and IT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28,917</w:t>
            </w: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w:t>
            </w:r>
          </w:p>
        </w:tc>
      </w:tr>
      <w:tr>
        <w:trPr>
          <w:trHeight w:val="216"/>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r>
      <w:tr>
        <w:trPr>
          <w:trHeight w:val="209"/>
        </w:trPr>
        <w:tc>
          <w:tcPr>
            <w:tcW w:w="604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Total research and development expense</w:t>
            </w:r>
            <w:r>
              <w:rPr>
                <w:rFonts w:ascii="Times New Roman" w:cs="Times New Roman" w:eastAsia="Times New Roman" w:hAnsi="Times New Roman"/>
                <w:sz w:val="24"/>
                <w:szCs w:val="24"/>
                <w:color w:val="auto"/>
                <w:vertAlign w:val="superscript"/>
              </w:rPr>
              <w:t>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437,117</w:t>
            </w:r>
          </w:p>
        </w:tc>
      </w:tr>
      <w:tr>
        <w:trPr>
          <w:trHeight w:val="216"/>
        </w:trPr>
        <w:tc>
          <w:tcPr>
            <w:tcW w:w="604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Selling, general and administrative expense</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84,324</w:t>
            </w: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related expenses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33,334</w:t>
            </w: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36,264</w:t>
            </w: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Facilities and IT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w:t>
            </w: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w:t>
            </w:r>
          </w:p>
        </w:tc>
      </w:tr>
      <w:tr>
        <w:trPr>
          <w:trHeight w:val="210"/>
        </w:trPr>
        <w:tc>
          <w:tcPr>
            <w:tcW w:w="6040" w:type="dxa"/>
            <w:vAlign w:val="bottom"/>
          </w:tcPr>
          <w:p>
            <w:pPr>
              <w:ind w:left="120"/>
              <w:spacing w:after="0" w:line="210" w:lineRule="exact"/>
              <w:rPr>
                <w:sz w:val="20"/>
                <w:szCs w:val="20"/>
                <w:color w:val="auto"/>
              </w:rPr>
            </w:pPr>
            <w:r>
              <w:rPr>
                <w:rFonts w:ascii="Times New Roman" w:cs="Times New Roman" w:eastAsia="Times New Roman" w:hAnsi="Times New Roman"/>
                <w:sz w:val="17"/>
                <w:szCs w:val="17"/>
                <w:color w:val="auto"/>
              </w:rPr>
              <w:t>Total selling, general and administrative expense</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178,705</w:t>
            </w: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w:t>
            </w: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98,971</w:t>
            </w:r>
          </w:p>
        </w:tc>
      </w:tr>
      <w:tr>
        <w:trPr>
          <w:trHeight w:val="216"/>
        </w:trPr>
        <w:tc>
          <w:tcPr>
            <w:tcW w:w="60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(20,707)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w:t>
            </w: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(506,984)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(557,517)</w:t>
            </w: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720" w:right="699" w:hanging="319"/>
        <w:spacing w:after="0" w:line="261"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ind w:left="720" w:right="639" w:hanging="319"/>
        <w:spacing w:after="0" w:line="250"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 for the years ended December 31, 2024, 2023 and 2022 exclude $47.5 million, $41.5 million, and $40.3 million of stock-based compensation expense, respectively.</w:t>
      </w:r>
    </w:p>
    <w:p>
      <w:pPr>
        <w:ind w:left="720" w:right="519" w:hanging="319"/>
        <w:spacing w:after="0" w:line="250"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 for the years ended December 31, 2024, 2023 and 2022 exclude $61.5 million, $51.1 million, and $58.7 million of stock-based compensation expense, respectively.</w:t>
      </w:r>
    </w:p>
    <w:p>
      <w:pPr>
        <w:ind w:left="720" w:right="379" w:hanging="319"/>
        <w:spacing w:after="0" w:line="260"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interest expense, net, other income (expense), net, debt extinguishment gain, and income tax expense.</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operates in the U.S. and Europe. All material long-lived assets of the Company reside in the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For geographic information about the Company’s product revenues, see Note 6, </w:t>
      </w:r>
      <w:r>
        <w:rPr>
          <w:rFonts w:ascii="Times New Roman" w:cs="Times New Roman" w:eastAsia="Times New Roman" w:hAnsi="Times New Roman"/>
          <w:sz w:val="18"/>
          <w:szCs w:val="18"/>
          <w:i w:val="1"/>
          <w:iCs w:val="1"/>
          <w:color w:val="auto"/>
        </w:rPr>
        <w:t>Product Revenue and Related Reserves</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Associated with Clinical and Commercial Supply Agreements</w:t>
      </w:r>
    </w:p>
    <w:p>
      <w:pPr>
        <w:spacing w:after="0" w:line="18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commercialization of AYVAKIT/AYVAKYT, the Company has negotiated manufacturing agreements with certain vendors that require the Company to meet minimum purchase obligations on an annual basis. The aggregate amount of future unconditional purchase obligations under these manufacturing agreements over the period of next five years is approximately $2.0 million as of December 31, 2024.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the normal course of business, the Company from time to time is named as a party to various legal claims, actions and complaints, which have included and may include matters involving securities, employment, intellectual property, arising from the use of therapeutics utilizing its technology, or others. The Company records a loss contingency reserve for a legal proceeding when it considers the potential loss probable and it can reasonably estimate the amount of the loss or determine a probable range of loss. The Company provides disclosure when it considers a loss reasonably possible or when it determines that a loss in excess of a reserve is reasonably possible. The Company provides an estimate of such reasonably possible losses or an aggregate range of such reasonably possible losses, unless the Company believes that such an estimate cannot be made. The Company expenses the costs related to its legal proceedings as they are incurred. As of December 31, 2024, the Company has not recorded any significant accruals for loss contingencies.</w:t>
      </w:r>
    </w:p>
    <w:p>
      <w:pPr>
        <w:spacing w:after="0" w:line="150"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On June 7, 2024, a purported stockholder filed a putative class action lawsuit against the Company in the Court of Chancery of the State of Delaware, with the caption Johnson v. Blueprint Medicines Corporation, Case No. 2024-0625. Plaintiff claims in the complaint that a “Proxy Access” provision in the Company’s Amended and Restated Bylaws, effective November 30, 2022, is invalid under Delaware law because it allegedly usurps the right of stockholders to select the members of the board of directors, and plaintiff seeks declaratory relief invalidating that provision, as well as attorneys’ fees and costs. On October 7, 2024, the lawsuit was consolidated with twelve other lawsuits against companies with similar bylaw provisions under the caption In re Irrevocable Resignation Bylaw Litigation, Consolidated C.A. No. 2024-0538-JTL. On October 11, 2024, the Company, together with the other companies in the consolidated action, filed an opening brief in support of a motion to dismiss the complaint. Plaintiff filed an answering brief on November 25, 2024, and the Company filed a reply brief on December 20, 2024. The Company does not believe the outcome of this matter will have a material effect on its financial position, results of operations, or liquidity.</w:t>
      </w:r>
    </w:p>
    <w:p>
      <w:pPr>
        <w:spacing w:after="0" w:line="153"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November 22, 2024, a purported stockholder filed a putative class action against the Company, the members of the board of directors and certain executive officers of the Company, as well as a derivative action against the members of the board of directors and certain executive officers of the Company, in the Court of Chancery of the State of Delaware in an action captioned </w:t>
      </w:r>
      <w:r>
        <w:rPr>
          <w:rFonts w:ascii="Times New Roman" w:cs="Times New Roman" w:eastAsia="Times New Roman" w:hAnsi="Times New Roman"/>
          <w:sz w:val="18"/>
          <w:szCs w:val="18"/>
          <w:i w:val="1"/>
          <w:iCs w:val="1"/>
          <w:color w:val="auto"/>
        </w:rPr>
        <w:t>Taylor v. Haviland, et al.</w:t>
      </w:r>
      <w:r>
        <w:rPr>
          <w:rFonts w:ascii="Times New Roman" w:cs="Times New Roman" w:eastAsia="Times New Roman" w:hAnsi="Times New Roman"/>
          <w:sz w:val="18"/>
          <w:szCs w:val="18"/>
          <w:color w:val="auto"/>
        </w:rPr>
        <w:t>, C.A. No. 2024-1203-JTL (the “</w:t>
      </w:r>
      <w:r>
        <w:rPr>
          <w:rFonts w:ascii="Times New Roman" w:cs="Times New Roman" w:eastAsia="Times New Roman" w:hAnsi="Times New Roman"/>
          <w:sz w:val="18"/>
          <w:szCs w:val="18"/>
          <w:i w:val="1"/>
          <w:iCs w:val="1"/>
          <w:color w:val="auto"/>
        </w:rPr>
        <w:t>Taylor</w:t>
      </w:r>
      <w:r>
        <w:rPr>
          <w:rFonts w:ascii="Times New Roman" w:cs="Times New Roman" w:eastAsia="Times New Roman" w:hAnsi="Times New Roman"/>
          <w:sz w:val="18"/>
          <w:szCs w:val="18"/>
          <w:color w:val="auto"/>
        </w:rPr>
        <w:t xml:space="preserve"> Action”). Plaintiff in the </w:t>
      </w:r>
      <w:r>
        <w:rPr>
          <w:rFonts w:ascii="Times New Roman" w:cs="Times New Roman" w:eastAsia="Times New Roman" w:hAnsi="Times New Roman"/>
          <w:sz w:val="18"/>
          <w:szCs w:val="18"/>
          <w:i w:val="1"/>
          <w:iCs w:val="1"/>
          <w:color w:val="auto"/>
        </w:rPr>
        <w:t>Taylor</w:t>
      </w:r>
      <w:r>
        <w:rPr>
          <w:rFonts w:ascii="Times New Roman" w:cs="Times New Roman" w:eastAsia="Times New Roman" w:hAnsi="Times New Roman"/>
          <w:sz w:val="18"/>
          <w:szCs w:val="18"/>
          <w:color w:val="auto"/>
        </w:rPr>
        <w:t xml:space="preserve"> Action claims that the record date for the Company’s 2024 annual meeting of stockholders, which was the close of business on Friday, April 12, 2024, did not comply with the 60-day maximum under Section 213(a) of the DGCL, because it was 61 days before the date of the 2024 annual meeting. Plaintiff brings direct claims for violation of Section 213(a) of the DGCL and breach of fiduciary duty, and derivative claims for breach of fiduciary duty and unjust enrichment, and seeks a declaration that certain actions taken in connection with the Company’s annual meeting of stockholders are void, as well as attorneys’ fees and costs.</w:t>
      </w:r>
    </w:p>
    <w:p>
      <w:pPr>
        <w:spacing w:after="0" w:line="14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 xml:space="preserve">On December 2, 2024, the Company filed a petition pursuant to Section 205 of the DGCL seeking the validation of the certain actions taken in connection with the Company’s 2024 annual meeting of stockholders, retroactive to the date of the 2024 annual meeting, in the Court of Chancery of the State of Delaware in an action captioned In re Blueprint Medicines Corporation, C.A. No. 2024-1234-JTL (the “Section 205 Action”). On December 4, 2024, plaintiff in the </w:t>
      </w:r>
      <w:r>
        <w:rPr>
          <w:rFonts w:ascii="Times New Roman" w:cs="Times New Roman" w:eastAsia="Times New Roman" w:hAnsi="Times New Roman"/>
          <w:sz w:val="17"/>
          <w:szCs w:val="17"/>
          <w:i w:val="1"/>
          <w:iCs w:val="1"/>
          <w:color w:val="auto"/>
        </w:rPr>
        <w:t>Taylor</w:t>
      </w:r>
      <w:r>
        <w:rPr>
          <w:rFonts w:ascii="Times New Roman" w:cs="Times New Roman" w:eastAsia="Times New Roman" w:hAnsi="Times New Roman"/>
          <w:sz w:val="17"/>
          <w:szCs w:val="17"/>
          <w:color w:val="auto"/>
        </w:rPr>
        <w:t xml:space="preserve"> Action agreed to hold the defendants’ answer in abeyance pending resolution of the Section 205 Action. Following the Company’s brief in support of its petition in the Section 205 Action on December 20, 2024, and the lack of any objection, the Court granted the petition on January 23, 2025, such that the stockholder proposals that were presented to and approved by the Company’s stockholders at the 2024 annual meeting, and all actions taken in reliance on the stockholder votes at the annual meeting, were hereby declared valid and effective as of the date of the 2024 annual meeting.</w:t>
      </w:r>
    </w:p>
    <w:p>
      <w:pPr>
        <w:spacing w:after="0" w:line="1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0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of the Company. The maximum potential amount of future payments the Company could be required to make under these indemnification agreements is, in many cases, unlimited. To date, the Company has not incurred any material costs as a result of such indemnifications. The Company</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is not aware of any material claims under indemnification arrangements, and it has not accrued any liabilities related to such obligations in its consolidated financial statements as of December 31, 2024 or 2023.</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89" w:lineRule="exact"/>
        <w:rPr>
          <w:sz w:val="20"/>
          <w:szCs w:val="20"/>
          <w:color w:val="auto"/>
        </w:rPr>
      </w:pPr>
    </w:p>
    <w:p>
      <w:pPr>
        <w:ind w:left="60" w:right="399" w:firstLine="648"/>
        <w:spacing w:after="0" w:line="255" w:lineRule="auto"/>
        <w:rPr>
          <w:sz w:val="20"/>
          <w:szCs w:val="20"/>
          <w:color w:val="auto"/>
        </w:rPr>
      </w:pPr>
      <w:r>
        <w:rPr>
          <w:rFonts w:ascii="Times New Roman" w:cs="Times New Roman" w:eastAsia="Times New Roman" w:hAnsi="Times New Roman"/>
          <w:sz w:val="18"/>
          <w:szCs w:val="18"/>
          <w:color w:val="auto"/>
        </w:rPr>
        <w:t>In January 2025, IDRx announced that they had entered into an agreement under which GSK plc will acquire IDRx for $1.0 billion upfront with an additional $150.0 million regulatory approval-based milestone payment. The transaction is expected to close in the first quarter 2025. Consequently, the Company will recognize an investment gain based on its ownership in IDRx.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20" w:type="dxa"/>
            <w:vAlign w:val="bottom"/>
            <w:gridSpan w:val="2"/>
          </w:tcPr>
          <w:p>
            <w:pPr>
              <w:ind w:left="43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Entity</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State/Jurisdiction of Incorporation or Organization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Security Corporation</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Massachusetts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(Switzerland) GmbH</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(Netherlands) B.V.</w:t>
            </w: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(UK) Ltd.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(Germany) GmbH</w:t>
            </w: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Spain, S.L.</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(France) SAS</w:t>
            </w: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(Italy) S.r.L.</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8"/>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73" w:name="page174"/>
    <w:bookmarkEnd w:id="173"/>
    <w:p>
      <w:pPr>
        <w:ind w:left="78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56" w:lineRule="exact"/>
        <w:rPr>
          <w:sz w:val="20"/>
          <w:szCs w:val="20"/>
          <w:color w:val="auto"/>
        </w:rPr>
      </w:pPr>
    </w:p>
    <w:p>
      <w:pPr>
        <w:ind w:left="860" w:hanging="327"/>
        <w:spacing w:after="0"/>
        <w:tabs>
          <w:tab w:leader="none" w:pos="8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S-3ASR No. 333-236424) of Blueprint Medicines Corporation,</w:t>
      </w:r>
    </w:p>
    <w:p>
      <w:pPr>
        <w:spacing w:after="0" w:line="40" w:lineRule="exact"/>
        <w:rPr>
          <w:rFonts w:ascii="Times New Roman" w:cs="Times New Roman" w:eastAsia="Times New Roman" w:hAnsi="Times New Roman"/>
          <w:sz w:val="20"/>
          <w:szCs w:val="20"/>
          <w:color w:val="auto"/>
        </w:rPr>
      </w:pPr>
    </w:p>
    <w:p>
      <w:pPr>
        <w:jc w:val="both"/>
        <w:ind w:left="860" w:right="219" w:hanging="327"/>
        <w:spacing w:after="0" w:line="281" w:lineRule="auto"/>
        <w:tabs>
          <w:tab w:leader="none" w:pos="8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333-203749) pertaining to the 2011 Stock Option and Grant Plan, 2015 Stock Option and Incentive Plan, and 2015 Employee Stock Purchase Plan of Blueprint Medicines Corporation,</w:t>
      </w:r>
    </w:p>
    <w:p>
      <w:pPr>
        <w:spacing w:after="0" w:line="2" w:lineRule="exact"/>
        <w:rPr>
          <w:rFonts w:ascii="Times New Roman" w:cs="Times New Roman" w:eastAsia="Times New Roman" w:hAnsi="Times New Roman"/>
          <w:sz w:val="20"/>
          <w:szCs w:val="20"/>
          <w:color w:val="auto"/>
        </w:rPr>
      </w:pPr>
    </w:p>
    <w:p>
      <w:pPr>
        <w:jc w:val="both"/>
        <w:ind w:left="860" w:right="239" w:hanging="327"/>
        <w:spacing w:after="0" w:line="281" w:lineRule="auto"/>
        <w:tabs>
          <w:tab w:leader="none" w:pos="8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(Form S-8 Nos. 333-210125, 333-216575, 333-223131, 333-229885, 333-236421, 333-253215,333-262800, 333-269844, and 333-277149) pertaining to the 2015 Stock Option and Incentive Plan and 2015 Employee Stock Purchase Plan of Blueprint Medicines Corporation,</w:t>
      </w:r>
    </w:p>
    <w:p>
      <w:pPr>
        <w:spacing w:after="0" w:line="2" w:lineRule="exact"/>
        <w:rPr>
          <w:rFonts w:ascii="Times New Roman" w:cs="Times New Roman" w:eastAsia="Times New Roman" w:hAnsi="Times New Roman"/>
          <w:sz w:val="20"/>
          <w:szCs w:val="20"/>
          <w:color w:val="auto"/>
        </w:rPr>
      </w:pPr>
    </w:p>
    <w:p>
      <w:pPr>
        <w:ind w:left="860" w:right="239" w:hanging="327"/>
        <w:spacing w:after="0" w:line="281" w:lineRule="auto"/>
        <w:tabs>
          <w:tab w:leader="none" w:pos="96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333-238039 and 333-266469) pertaining to the 2020 Inducement Plan of Blueprint Medicines Corporation, and</w:t>
      </w:r>
    </w:p>
    <w:p>
      <w:pPr>
        <w:spacing w:after="0" w:line="1" w:lineRule="exact"/>
        <w:rPr>
          <w:rFonts w:ascii="Times New Roman" w:cs="Times New Roman" w:eastAsia="Times New Roman" w:hAnsi="Times New Roman"/>
          <w:sz w:val="20"/>
          <w:szCs w:val="20"/>
          <w:color w:val="auto"/>
        </w:rPr>
      </w:pPr>
    </w:p>
    <w:p>
      <w:pPr>
        <w:ind w:left="860" w:right="219" w:hanging="327"/>
        <w:spacing w:after="0" w:line="311" w:lineRule="auto"/>
        <w:tabs>
          <w:tab w:leader="none" w:pos="8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333-280405) pertaining to the 2024 Stock Incentive Plan of Blueprint Medicines.</w:t>
      </w:r>
    </w:p>
    <w:p>
      <w:pPr>
        <w:spacing w:after="0" w:line="146"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of our reports dated February 13, 2025, with respect to the consolidated financial statements of Blueprint Medicines Corporation and the effectiveness of internal control over financial reporting of Blueprint Medicines Corporation included in this Annual Report (Form 10-K) of Blueprint Medicines Corporation for the year ended December 31, 2024.</w:t>
      </w:r>
    </w:p>
    <w:p>
      <w:pPr>
        <w:spacing w:after="0" w:line="200" w:lineRule="exact"/>
        <w:rPr>
          <w:sz w:val="20"/>
          <w:szCs w:val="20"/>
          <w:color w:val="auto"/>
        </w:rPr>
      </w:pPr>
    </w:p>
    <w:p>
      <w:pPr>
        <w:spacing w:after="0" w:line="2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color w:val="auto"/>
        </w:rPr>
        <w:t>/s/ Ernst &amp; Young</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February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4" w:name="page175"/>
    <w:bookmarkEnd w:id="17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Kathryn Haviland, certify that:</w:t>
      </w:r>
    </w:p>
    <w:p>
      <w:pPr>
        <w:spacing w:after="0" w:line="225" w:lineRule="exact"/>
        <w:rPr>
          <w:sz w:val="20"/>
          <w:szCs w:val="20"/>
          <w:color w:val="auto"/>
        </w:rPr>
      </w:pPr>
    </w:p>
    <w:p>
      <w:pPr>
        <w:ind w:left="1500" w:hanging="643"/>
        <w:spacing w:after="0"/>
        <w:tabs>
          <w:tab w:leader="none" w:pos="1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2025</w:t>
            </w:r>
          </w:p>
        </w:tc>
        <w:tc>
          <w:tcPr>
            <w:tcW w:w="5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Kathryn Haviland</w:t>
            </w:r>
          </w:p>
        </w:tc>
      </w:tr>
      <w:tr>
        <w:trPr>
          <w:trHeight w:val="191"/>
        </w:trPr>
        <w:tc>
          <w:tcPr>
            <w:tcW w:w="3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14"/>
        </w:trPr>
        <w:tc>
          <w:tcPr>
            <w:tcW w:w="3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63"/>
        </w:trPr>
        <w:tc>
          <w:tcPr>
            <w:tcW w:w="3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75" w:name="page176"/>
    <w:bookmarkEnd w:id="17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Michael Landsittel, certify that:</w:t>
      </w:r>
    </w:p>
    <w:p>
      <w:pPr>
        <w:spacing w:after="0" w:line="225" w:lineRule="exact"/>
        <w:rPr>
          <w:sz w:val="20"/>
          <w:szCs w:val="20"/>
          <w:color w:val="auto"/>
        </w:rPr>
      </w:pPr>
    </w:p>
    <w:p>
      <w:pPr>
        <w:ind w:left="1500" w:hanging="643"/>
        <w:spacing w:after="0"/>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2025</w:t>
            </w:r>
          </w:p>
        </w:tc>
        <w:tc>
          <w:tcPr>
            <w:tcW w:w="5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Michael Landsittel</w:t>
            </w:r>
          </w:p>
        </w:tc>
      </w:tr>
      <w:tr>
        <w:trPr>
          <w:trHeight w:val="191"/>
        </w:trPr>
        <w:tc>
          <w:tcPr>
            <w:tcW w:w="3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Landsittel</w:t>
            </w:r>
          </w:p>
        </w:tc>
      </w:tr>
      <w:tr>
        <w:trPr>
          <w:trHeight w:val="214"/>
        </w:trPr>
        <w:tc>
          <w:tcPr>
            <w:tcW w:w="3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979"/>
        </w:trPr>
        <w:tc>
          <w:tcPr>
            <w:tcW w:w="3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76" w:name="page177"/>
    <w:bookmarkEnd w:id="17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75" w:lineRule="exact"/>
        <w:rPr>
          <w:sz w:val="20"/>
          <w:szCs w:val="20"/>
          <w:color w:val="auto"/>
        </w:rPr>
      </w:pPr>
    </w:p>
    <w:p>
      <w:pPr>
        <w:jc w:val="both"/>
        <w:ind w:left="200" w:right="33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on Form 10-K of Blueprint Medicines Corporation (the “Company”) for the year ended December 31, 2024 as filed with the Securities and Exchange Commission on the date hereof (the “Report”), each of the undersigned officers of the Company hereby certifies, pursuant to 18 U.S.C. Section 1350, that to his knowledge:</w:t>
      </w:r>
    </w:p>
    <w:p>
      <w:pPr>
        <w:spacing w:after="0" w:line="187" w:lineRule="exact"/>
        <w:rPr>
          <w:sz w:val="20"/>
          <w:szCs w:val="20"/>
          <w:color w:val="auto"/>
        </w:rPr>
      </w:pPr>
    </w:p>
    <w:p>
      <w:pPr>
        <w:ind w:left="1500" w:right="259" w:hanging="562"/>
        <w:spacing w:after="0" w:line="282"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161" w:lineRule="exact"/>
        <w:rPr>
          <w:rFonts w:ascii="Times New Roman" w:cs="Times New Roman" w:eastAsia="Times New Roman" w:hAnsi="Times New Roman"/>
          <w:sz w:val="18"/>
          <w:szCs w:val="18"/>
          <w:color w:val="auto"/>
        </w:rPr>
      </w:pPr>
    </w:p>
    <w:p>
      <w:pPr>
        <w:ind w:left="1500" w:right="899" w:hanging="562"/>
        <w:spacing w:after="0" w:line="282"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February 13, 2025</w:t>
      </w:r>
      <w:r>
        <w:rPr>
          <w:sz w:val="20"/>
          <w:szCs w:val="20"/>
          <w:color w:val="auto"/>
        </w:rPr>
        <w:tab/>
      </w:r>
      <w:r>
        <w:rPr>
          <w:rFonts w:ascii="Times New Roman" w:cs="Times New Roman" w:eastAsia="Times New Roman" w:hAnsi="Times New Roman"/>
          <w:sz w:val="18"/>
          <w:szCs w:val="18"/>
          <w:color w:val="auto"/>
        </w:rPr>
        <w:t>By: /s/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24771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February 13, 2025</w:t>
      </w:r>
      <w:r>
        <w:rPr>
          <w:sz w:val="20"/>
          <w:szCs w:val="20"/>
          <w:color w:val="auto"/>
        </w:rPr>
        <w:tab/>
      </w:r>
      <w:r>
        <w:rPr>
          <w:rFonts w:ascii="Times New Roman" w:cs="Times New Roman" w:eastAsia="Times New Roman" w:hAnsi="Times New Roman"/>
          <w:sz w:val="18"/>
          <w:szCs w:val="18"/>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24771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Michael Landsittel</w:t>
      </w:r>
    </w:p>
    <w:p>
      <w:pPr>
        <w:spacing w:after="0" w:line="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lowerLetter"/>
      <w:start w:val="2"/>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lvl w:ilvl="1">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lowerRoman"/>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3"/>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1" Type="http://schemas.openxmlformats.org/officeDocument/2006/relationships/image" Target="media/image127.png"/><Relationship Id="rId161" Type="http://schemas.openxmlformats.org/officeDocument/2006/relationships/image" Target="media/image128.png"/><Relationship Id="rId171" Type="http://schemas.openxmlformats.org/officeDocument/2006/relationships/image" Target="media/image129.png"/><Relationship Id="rId189" Type="http://schemas.openxmlformats.org/officeDocument/2006/relationships/image" Target="media/image130.png"/><Relationship Id="rId208" Type="http://schemas.openxmlformats.org/officeDocument/2006/relationships/image" Target="media/image131.png"/><Relationship Id="rId213" Type="http://schemas.openxmlformats.org/officeDocument/2006/relationships/image" Target="media/image132.png"/><Relationship Id="rId214" Type="http://schemas.openxmlformats.org/officeDocument/2006/relationships/image" Target="media/image133.png"/><Relationship Id="rId215" Type="http://schemas.openxmlformats.org/officeDocument/2006/relationships/image" Target="media/image134.png"/><Relationship Id="rId216" Type="http://schemas.openxmlformats.org/officeDocument/2006/relationships/image" Target="media/image135.png"/><Relationship Id="rId217" Type="http://schemas.openxmlformats.org/officeDocument/2006/relationships/image" Target="media/image136.png"/><Relationship Id="rId218" Type="http://schemas.openxmlformats.org/officeDocument/2006/relationships/image" Target="media/image137.png"/><Relationship Id="rId219" Type="http://schemas.openxmlformats.org/officeDocument/2006/relationships/image" Target="media/image138.png"/><Relationship Id="rId220" Type="http://schemas.openxmlformats.org/officeDocument/2006/relationships/image" Target="media/image139.png"/><Relationship Id="rId221" Type="http://schemas.openxmlformats.org/officeDocument/2006/relationships/image" Target="media/image140.png"/><Relationship Id="rId222" Type="http://schemas.openxmlformats.org/officeDocument/2006/relationships/image" Target="media/image141.png"/><Relationship Id="rId223" Type="http://schemas.openxmlformats.org/officeDocument/2006/relationships/image" Target="media/image142.png"/><Relationship Id="rId224" Type="http://schemas.openxmlformats.org/officeDocument/2006/relationships/image" Target="media/image143.png"/><Relationship Id="rId225" Type="http://schemas.openxmlformats.org/officeDocument/2006/relationships/image" Target="media/image144.png"/><Relationship Id="rId226" Type="http://schemas.openxmlformats.org/officeDocument/2006/relationships/image" Target="media/image145.png"/><Relationship Id="rId227" Type="http://schemas.openxmlformats.org/officeDocument/2006/relationships/image" Target="media/image146.png"/><Relationship Id="rId228" Type="http://schemas.openxmlformats.org/officeDocument/2006/relationships/image" Target="media/image147.png"/><Relationship Id="rId229" Type="http://schemas.openxmlformats.org/officeDocument/2006/relationships/image" Target="media/image148.png"/><Relationship Id="rId230" Type="http://schemas.openxmlformats.org/officeDocument/2006/relationships/image" Target="media/image149.png"/><Relationship Id="rId231" Type="http://schemas.openxmlformats.org/officeDocument/2006/relationships/image" Target="media/image150.png"/><Relationship Id="rId232" Type="http://schemas.openxmlformats.org/officeDocument/2006/relationships/image" Target="media/image151.png"/><Relationship Id="rId233" Type="http://schemas.openxmlformats.org/officeDocument/2006/relationships/image" Target="media/image152.png"/><Relationship Id="rId234" Type="http://schemas.openxmlformats.org/officeDocument/2006/relationships/image" Target="media/image153.png"/><Relationship Id="rId235" Type="http://schemas.openxmlformats.org/officeDocument/2006/relationships/image" Target="media/image154.png"/><Relationship Id="rId236" Type="http://schemas.openxmlformats.org/officeDocument/2006/relationships/image" Target="media/image155.png"/><Relationship Id="rId237" Type="http://schemas.openxmlformats.org/officeDocument/2006/relationships/image" Target="media/image156.png"/><Relationship Id="rId238" Type="http://schemas.openxmlformats.org/officeDocument/2006/relationships/image" Target="media/image157.png"/><Relationship Id="rId239" Type="http://schemas.openxmlformats.org/officeDocument/2006/relationships/image" Target="media/image158.png"/><Relationship Id="rId240" Type="http://schemas.openxmlformats.org/officeDocument/2006/relationships/image" Target="media/image159.png"/><Relationship Id="rId241" Type="http://schemas.openxmlformats.org/officeDocument/2006/relationships/image" Target="media/image160.png"/><Relationship Id="rId242" Type="http://schemas.openxmlformats.org/officeDocument/2006/relationships/image" Target="media/image161.png"/><Relationship Id="rId243" Type="http://schemas.openxmlformats.org/officeDocument/2006/relationships/image" Target="media/image162.png"/><Relationship Id="rId244" Type="http://schemas.openxmlformats.org/officeDocument/2006/relationships/image" Target="media/image163.png"/><Relationship Id="rId245" Type="http://schemas.openxmlformats.org/officeDocument/2006/relationships/image" Target="media/image164.png"/><Relationship Id="rId246" Type="http://schemas.openxmlformats.org/officeDocument/2006/relationships/image" Target="media/image165.png"/><Relationship Id="rId247" Type="http://schemas.openxmlformats.org/officeDocument/2006/relationships/image" Target="media/image166.png"/><Relationship Id="rId248" Type="http://schemas.openxmlformats.org/officeDocument/2006/relationships/image" Target="media/image167.png"/><Relationship Id="rId249" Type="http://schemas.openxmlformats.org/officeDocument/2006/relationships/image" Target="media/image168.png"/><Relationship Id="rId250" Type="http://schemas.openxmlformats.org/officeDocument/2006/relationships/image" Target="media/image169.png"/><Relationship Id="rId251" Type="http://schemas.openxmlformats.org/officeDocument/2006/relationships/image" Target="media/image170.png"/><Relationship Id="rId252" Type="http://schemas.openxmlformats.org/officeDocument/2006/relationships/image" Target="media/image171.png"/><Relationship Id="rId253" Type="http://schemas.openxmlformats.org/officeDocument/2006/relationships/image" Target="media/image172.png"/><Relationship Id="rId254" Type="http://schemas.openxmlformats.org/officeDocument/2006/relationships/image" Target="media/image173.png"/><Relationship Id="rId255" Type="http://schemas.openxmlformats.org/officeDocument/2006/relationships/image" Target="media/image174.png"/><Relationship Id="rId256" Type="http://schemas.openxmlformats.org/officeDocument/2006/relationships/image" Target="media/image175.png"/><Relationship Id="rId257" Type="http://schemas.openxmlformats.org/officeDocument/2006/relationships/image" Target="media/image176.png"/><Relationship Id="rId258" Type="http://schemas.openxmlformats.org/officeDocument/2006/relationships/image" Target="media/image177.png"/><Relationship Id="rId259" Type="http://schemas.openxmlformats.org/officeDocument/2006/relationships/image" Target="media/image178.png"/><Relationship Id="rId260" Type="http://schemas.openxmlformats.org/officeDocument/2006/relationships/image" Target="media/image179.png"/><Relationship Id="rId261" Type="http://schemas.openxmlformats.org/officeDocument/2006/relationships/image" Target="media/image180.png"/><Relationship Id="rId262" Type="http://schemas.openxmlformats.org/officeDocument/2006/relationships/image" Target="media/image181.png"/><Relationship Id="rId263" Type="http://schemas.openxmlformats.org/officeDocument/2006/relationships/image" Target="media/image182.png"/><Relationship Id="rId264" Type="http://schemas.openxmlformats.org/officeDocument/2006/relationships/image" Target="media/image183.png"/><Relationship Id="rId265" Type="http://schemas.openxmlformats.org/officeDocument/2006/relationships/image" Target="media/image184.png"/><Relationship Id="rId266" Type="http://schemas.openxmlformats.org/officeDocument/2006/relationships/image" Target="media/image185.png"/><Relationship Id="rId267" Type="http://schemas.openxmlformats.org/officeDocument/2006/relationships/image" Target="media/image186.png"/><Relationship Id="rId134" Type="http://schemas.openxmlformats.org/officeDocument/2006/relationships/hyperlink" Target="https://www.sec.gov/Archives/edgar/data/1597264/000155837022001316/bpmc-20211231xex1d1.htm" TargetMode="External"/><Relationship Id="rId135" Type="http://schemas.openxmlformats.org/officeDocument/2006/relationships/hyperlink" Target="http://www.sec.gov/Archives/edgar/data/1597264/000155837015002529/bpmc-20150930ex3100367a3.htm" TargetMode="External"/><Relationship Id="rId136" Type="http://schemas.openxmlformats.org/officeDocument/2006/relationships/hyperlink" Target="https://www.sec.gov/Archives/edgar/data/1597264/000155837020005307/bpmc-20200331xex3d1.htm" TargetMode="External"/><Relationship Id="rId137" Type="http://schemas.openxmlformats.org/officeDocument/2006/relationships/hyperlink" Target="http://www.sec.gov/Archives/edgar/data/1597264/000104746915003668/a2224211zex-4_1.htm" TargetMode="External"/><Relationship Id="rId138" Type="http://schemas.openxmlformats.org/officeDocument/2006/relationships/hyperlink" Target="https://www.sec.gov/Archives/edgar/data/1597264/000155837020000784/ex-4d3.htm" TargetMode="External"/><Relationship Id="rId139" Type="http://schemas.openxmlformats.org/officeDocument/2006/relationships/hyperlink" Target="http://www.sec.gov/Archives/edgar/data/1597264/000104746915002608/a2223883zex-10_1.htm" TargetMode="External"/><Relationship Id="rId140" Type="http://schemas.openxmlformats.org/officeDocument/2006/relationships/hyperlink" Target="https://www.sec.gov/Archives/edgar/data/1597264/000155837020000784/ex-10d2.htm" TargetMode="External"/><Relationship Id="rId142" Type="http://schemas.openxmlformats.org/officeDocument/2006/relationships/hyperlink" Target="https://www.sec.gov/Archives/edgar/data/1597264/000155837020000784/ex-10d3.htm" TargetMode="External"/><Relationship Id="rId143" Type="http://schemas.openxmlformats.org/officeDocument/2006/relationships/hyperlink" Target="https://www.sec.gov/Archives/edgar/data/1597264/000155837020005420/tmb-20200506xex99d1.htm" TargetMode="External"/><Relationship Id="rId144" Type="http://schemas.openxmlformats.org/officeDocument/2006/relationships/hyperlink" Target="http://www.sec.gov/Archives/edgar/data/1597264/000104746915002608/a2223883zex-10_4.htm" TargetMode="External"/><Relationship Id="rId145" Type="http://schemas.openxmlformats.org/officeDocument/2006/relationships/hyperlink" Target="http://www.sec.gov/Archives/edgar/data/1597264/000155837018000862/bpmc-20171231ex105e4bc60.htm" TargetMode="External"/><Relationship Id="rId146" Type="http://schemas.openxmlformats.org/officeDocument/2006/relationships/hyperlink" Target="https://www.sec.gov/Archives/edgar/data/1597264/000155837021005262/bpmc-20210331xex10d1.htm" TargetMode="External"/><Relationship Id="rId147" Type="http://schemas.openxmlformats.org/officeDocument/2006/relationships/hyperlink" Target="https://www.sec.gov/Archives/edgar/data/1597264/000155837022001316/bpmc-20211231xex10d8.htm" TargetMode="External"/><Relationship Id="rId148" Type="http://schemas.openxmlformats.org/officeDocument/2006/relationships/hyperlink" Target="http://www.sec.gov/Archives/edgar/data/1597264/000155837017003397/bpmc-20170331ex1015d322c.htm" TargetMode="External"/><Relationship Id="rId149" Type="http://schemas.openxmlformats.org/officeDocument/2006/relationships/hyperlink" Target="http://www.sec.gov/Archives/edgar/data/1597264/000155837018007557/ex-10d1.htm" TargetMode="External"/><Relationship Id="rId150" Type="http://schemas.openxmlformats.org/officeDocument/2006/relationships/hyperlink" Target="https://www.sec.gov/Archives/edgar/data/0001597264/000110465922130188/tm2233493d1_ex10-2.htm" TargetMode="External"/><Relationship Id="rId151" Type="http://schemas.openxmlformats.org/officeDocument/2006/relationships/hyperlink" Target="http://www.sec.gov/Archives/edgar/data/1597264/000155837016004066/bpmc-20151231ex109ea407e.htm" TargetMode="External"/><Relationship Id="rId152" Type="http://schemas.openxmlformats.org/officeDocument/2006/relationships/hyperlink" Target="http://www.sec.gov/Archives/edgar/data/1597264/000155837019000364/ex-10d2.htm" TargetMode="External"/><Relationship Id="rId153" Type="http://schemas.openxmlformats.org/officeDocument/2006/relationships/hyperlink" Target="https://www.sec.gov/Archives/edgar/data/1597264/000110465921153200/tm2136160d1_ex10-4.htm" TargetMode="External"/><Relationship Id="rId154" Type="http://schemas.openxmlformats.org/officeDocument/2006/relationships/hyperlink" Target="https://www.sec.gov/Archives/edgar/data/1597264/000110465922102734/tm2226591d1_ex10-1.htm" TargetMode="External"/><Relationship Id="rId155" Type="http://schemas.openxmlformats.org/officeDocument/2006/relationships/hyperlink" Target="https://www.sec.gov/Archives/edgar/data/1597264/000110465922001275/tm221614d1_ex10-2.htm" TargetMode="External"/><Relationship Id="rId156" Type="http://schemas.openxmlformats.org/officeDocument/2006/relationships/hyperlink" Target="http://www.sec.gov/Archives/edgar/data/1597264/000155837016009951/bpmc-20160930ex1035083d6.htm" TargetMode="External"/><Relationship Id="rId157" Type="http://schemas.openxmlformats.org/officeDocument/2006/relationships/hyperlink" Target="https://www.sec.gov/Archives/edgar/data/1597264/000110465921153200/tm2136160d1_ex10-5.htm" TargetMode="External"/><Relationship Id="rId158" Type="http://schemas.openxmlformats.org/officeDocument/2006/relationships/hyperlink" Target="https://www.sec.gov/Archives/edgar/data/1597264/000110465922102734/tm2226591d1_ex10-5.htm" TargetMode="External"/><Relationship Id="rId159" Type="http://schemas.openxmlformats.org/officeDocument/2006/relationships/hyperlink" Target="http://www.sec.gov/Archives/edgar/data/1597264/000155837017009050/ex-10d1.htm" TargetMode="External"/><Relationship Id="rId160" Type="http://schemas.openxmlformats.org/officeDocument/2006/relationships/hyperlink" Target="http://www.sec.gov/Archives/edgar/data/1597264/000155837019000364/ex-10d1.htm" TargetMode="External"/><Relationship Id="rId162" Type="http://schemas.openxmlformats.org/officeDocument/2006/relationships/hyperlink" Target="https://www.sec.gov/Archives/edgar/data/1597264/000110465921153200/tm2136160d1_ex10-2.htm" TargetMode="External"/><Relationship Id="rId163" Type="http://schemas.openxmlformats.org/officeDocument/2006/relationships/hyperlink" Target="https://www.sec.gov/Archives/edgar/data/1597264/000110465922102734/tm2226591d1_ex10-2.htm" TargetMode="External"/><Relationship Id="rId164" Type="http://schemas.openxmlformats.org/officeDocument/2006/relationships/hyperlink" Target="http://www.sec.gov/Archives/edgar/data/1597264/000155837018007980/ex-10d1.htm" TargetMode="External"/><Relationship Id="rId165" Type="http://schemas.openxmlformats.org/officeDocument/2006/relationships/hyperlink" Target="https://www.sec.gov/Archives/edgar/data/1597264/000110465921153200/tm2136160d1_ex10-6.htm" TargetMode="External"/><Relationship Id="rId166" Type="http://schemas.openxmlformats.org/officeDocument/2006/relationships/hyperlink" Target="https://www.sec.gov/Archives/edgar/data/1597264/000110465922001275/tm221614d1_ex10-3.htm" TargetMode="External"/><Relationship Id="rId167" Type="http://schemas.openxmlformats.org/officeDocument/2006/relationships/hyperlink" Target="https://www.sec.gov/Archives/edgar/data/1597264/000110465922102734/tm2226591d1_ex10-3.htm" TargetMode="External"/><Relationship Id="rId168" Type="http://schemas.openxmlformats.org/officeDocument/2006/relationships/hyperlink" Target="http://www.sec.gov/Archives/edgar/data/1597264/000155837019001726/ex-10d1.htm" TargetMode="External"/><Relationship Id="rId169" Type="http://schemas.openxmlformats.org/officeDocument/2006/relationships/hyperlink" Target="https://www.sec.gov/Archives/edgar/data/1597264/000110465921153200/tm2136160d1_ex10-11.htm" TargetMode="External"/><Relationship Id="rId170" Type="http://schemas.openxmlformats.org/officeDocument/2006/relationships/hyperlink" Target="https://www.sec.gov/Archives/edgar/data/1597264/000110465922102734/tm2226591d1_ex10-10.htm" TargetMode="External"/><Relationship Id="rId172" Type="http://schemas.openxmlformats.org/officeDocument/2006/relationships/hyperlink" Target="https://www.sec.gov/Archives/edgar/data/1597264/000155837023001465/bpmc-20221231xex10d39.htm" TargetMode="External"/><Relationship Id="rId173" Type="http://schemas.openxmlformats.org/officeDocument/2006/relationships/hyperlink" Target="https://www.sec.gov/Archives/edgar/data/1597264/000155837020000784/ex-10d19.htm" TargetMode="External"/><Relationship Id="rId174" Type="http://schemas.openxmlformats.org/officeDocument/2006/relationships/hyperlink" Target="https://www.sec.gov/Archives/edgar/data/1597264/000110465921153200/tm2136160d1_ex10-10.htm" TargetMode="External"/><Relationship Id="rId175" Type="http://schemas.openxmlformats.org/officeDocument/2006/relationships/hyperlink" Target="https://www.sec.gov/Archives/edgar/data/1597264/000110465922102734/tm2226591d1_ex10-9.htm" TargetMode="External"/><Relationship Id="rId176" Type="http://schemas.openxmlformats.org/officeDocument/2006/relationships/hyperlink" Target="https://www.sec.gov/Archives/edgar/data/1597264/000155837020010927/bpmc-20200901xex10d1.htm" TargetMode="External"/><Relationship Id="rId177" Type="http://schemas.openxmlformats.org/officeDocument/2006/relationships/hyperlink" Target="https://www.sec.gov/Archives/edgar/data/1597264/000110465921153200/tm2136160d1_ex10-3.htm" TargetMode="External"/><Relationship Id="rId178" Type="http://schemas.openxmlformats.org/officeDocument/2006/relationships/hyperlink" Target="https://www.sec.gov/Archives/edgar/data/1597264/000110465922102734/tm2226591d1_ex10-4.htm" TargetMode="External"/><Relationship Id="rId179" Type="http://schemas.openxmlformats.org/officeDocument/2006/relationships/hyperlink" Target="https://www.sec.gov/Archives/edgar/data/1597264/000155837021000147/bpmc-20210108xex10d2.htm" TargetMode="External"/><Relationship Id="rId180" Type="http://schemas.openxmlformats.org/officeDocument/2006/relationships/hyperlink" Target="https://www.sec.gov/Archives/edgar/data/1597264/000110465921153200/tm2136160d1_ex10-7.htm" TargetMode="External"/><Relationship Id="rId181" Type="http://schemas.openxmlformats.org/officeDocument/2006/relationships/hyperlink" Target="https://www.sec.gov/Archives/edgar/data/1597264/000110465922102734/tm2226591d1_ex10-6.htm" TargetMode="External"/><Relationship Id="rId182" Type="http://schemas.openxmlformats.org/officeDocument/2006/relationships/hyperlink" Target="https://www.sec.gov/Archives/edgar/data/1597264/000155837021009606/bpmc-20210630xex10d1.htm" TargetMode="External"/><Relationship Id="rId183" Type="http://schemas.openxmlformats.org/officeDocument/2006/relationships/hyperlink" Target="https://www.sec.gov/Archives/edgar/data/1597264/000110465921153200/tm2136160d1_ex10-9.htm" TargetMode="External"/><Relationship Id="rId184" Type="http://schemas.openxmlformats.org/officeDocument/2006/relationships/hyperlink" Target="https://www.sec.gov/Archives/edgar/data/1597264/000110465922102734/tm2226591d1_ex10-8.htm" TargetMode="External"/><Relationship Id="rId185" Type="http://schemas.openxmlformats.org/officeDocument/2006/relationships/hyperlink" Target="https://www.sec.gov/Archives/edgar/data/1597264/000110465922005729/tm223965d1_ex10-1.htm" TargetMode="External"/><Relationship Id="rId186" Type="http://schemas.openxmlformats.org/officeDocument/2006/relationships/hyperlink" Target="https://www.sec.gov/Archives/edgar/data/1597264/000110465922102734/tm2226591d1_ex10-11.htm" TargetMode="External"/><Relationship Id="rId187" Type="http://schemas.openxmlformats.org/officeDocument/2006/relationships/hyperlink" Target="http://www.sec.gov/Archives/edgar/data/1597264/000155837018006090/bpmc-20180630ex101d33531.htm" TargetMode="External"/><Relationship Id="rId188" Type="http://schemas.openxmlformats.org/officeDocument/2006/relationships/hyperlink" Target="http://www.sec.gov/Archives/edgar/data/1597264/000155837019009888/ex-10d1.htm" TargetMode="External"/><Relationship Id="rId190" Type="http://schemas.openxmlformats.org/officeDocument/2006/relationships/hyperlink" Target="https://www.sec.gov/Archives/edgar/data/1597264/000155837022001316/bpmc-20211231xex10d54.htm" TargetMode="External"/><Relationship Id="rId191" Type="http://schemas.openxmlformats.org/officeDocument/2006/relationships/hyperlink" Target="http://www.sec.gov/Archives/edgar/data/1597264/000104746915002608/a2223883zex-10_11.htm" TargetMode="External"/><Relationship Id="rId192" Type="http://schemas.openxmlformats.org/officeDocument/2006/relationships/hyperlink" Target="http://www.sec.gov/Archives/edgar/data/1597264/000104746915002608/a2223883zex-10_12.htm" TargetMode="External"/><Relationship Id="rId193" Type="http://schemas.openxmlformats.org/officeDocument/2006/relationships/hyperlink" Target="http://www.sec.gov/Archives/edgar/data/1597264/000155837016004066/bpmc-20151231ex101559e57.htm" TargetMode="External"/><Relationship Id="rId194" Type="http://schemas.openxmlformats.org/officeDocument/2006/relationships/hyperlink" Target="https://www.sec.gov/Archives/edgar/data/1597264/000155837022011648/bpmc-20220630xex10d2.htm" TargetMode="External"/><Relationship Id="rId195" Type="http://schemas.openxmlformats.org/officeDocument/2006/relationships/hyperlink" Target="https://www.sec.gov/Archives/edgar/data/1597264/000155837022011648/bpmc-20220630xex10d3.htm" TargetMode="External"/><Relationship Id="rId196" Type="http://schemas.openxmlformats.org/officeDocument/2006/relationships/hyperlink" Target="https://www.sec.gov/Archives/edgar/data/1597264/000110465923064663/tm2316983d1_ex10-1.htm" TargetMode="External"/><Relationship Id="rId197" Type="http://schemas.openxmlformats.org/officeDocument/2006/relationships/hyperlink" Target="https://www.sec.gov/Archives/edgar/data/1597264/000110465922074754/tm2219327d2_ex10-1.htm" TargetMode="External"/><Relationship Id="rId198" Type="http://schemas.openxmlformats.org/officeDocument/2006/relationships/hyperlink" Target="https://www.sec.gov/Archives/edgar/data/1597264/000155837023001465/bpmc-20221231xex10d76.htm" TargetMode="External"/><Relationship Id="rId199" Type="http://schemas.openxmlformats.org/officeDocument/2006/relationships/hyperlink" Target="https://www.sec.gov/Archives/edgar/data/1597264/000155837023001465/bpmc-20221231xex10d77.htm" TargetMode="External"/><Relationship Id="rId200" Type="http://schemas.openxmlformats.org/officeDocument/2006/relationships/hyperlink" Target="https://www.sec.gov/Archives/edgar/data/1597264/000155837023001465/bpmc-20221231xex10d78.htm" TargetMode="External"/><Relationship Id="rId201" Type="http://schemas.openxmlformats.org/officeDocument/2006/relationships/hyperlink" Target="https://www.sec.gov/Archives/edgar/data/1597264/000155837023001465/bpmc-20221231xex10d79.htm" TargetMode="External"/><Relationship Id="rId202" Type="http://schemas.openxmlformats.org/officeDocument/2006/relationships/hyperlink" Target="https://www.sec.gov/Archives/edgar/data/1597264/000155837023001465/bpmc-20221231xex10d80.htm" TargetMode="External"/><Relationship Id="rId203" Type="http://schemas.openxmlformats.org/officeDocument/2006/relationships/hyperlink" Target="https://www.sec.gov/Archives/edgar/data/1597264/000155837023001465/bpmc-20221231xex10d81.htm" TargetMode="External"/><Relationship Id="rId204" Type="http://schemas.openxmlformats.org/officeDocument/2006/relationships/hyperlink" Target="https://www.sec.gov/Archives/edgar/data/1597264/000155837023001465/bpmc-20221231xex10d82.htm" TargetMode="External"/><Relationship Id="rId205" Type="http://schemas.openxmlformats.org/officeDocument/2006/relationships/hyperlink" Target="https://www.sec.gov/Archives/edgar/data/1597264/000155837023001465/bpmc-20221231xex10d83.htm" TargetMode="External"/><Relationship Id="rId206" Type="http://schemas.openxmlformats.org/officeDocument/2006/relationships/hyperlink" Target="https://www.sec.gov/Archives/edgar/data/1597264/000155837023001465/bpmc-20221231xex10d84.htm" TargetMode="External"/><Relationship Id="rId207" Type="http://schemas.openxmlformats.org/officeDocument/2006/relationships/hyperlink" Target="https://www.sec.gov/Archives/edgar/data/1597264/000155837023001465/bpmc-20221231xex10d85.htm" TargetMode="External"/><Relationship Id="rId209" Type="http://schemas.openxmlformats.org/officeDocument/2006/relationships/hyperlink" Target="https://www.sec.gov/Archives/edgar/data/1597264/000110465924071734/tm2417305d1_ex99-1.htm" TargetMode="External"/><Relationship Id="rId210" Type="http://schemas.openxmlformats.org/officeDocument/2006/relationships/hyperlink" Target="https://www.sec.gov/Archives/edgar/data/1597264/000110465924073973/tm2417605d1_ex99-2.htm" TargetMode="External"/><Relationship Id="rId211" Type="http://schemas.openxmlformats.org/officeDocument/2006/relationships/hyperlink" Target="https://www.sec.gov/Archives/edgar/data/1597264/000155837024001254/bpmc-20231231xex19d1.htm" TargetMode="External"/><Relationship Id="rId212" Type="http://schemas.openxmlformats.org/officeDocument/2006/relationships/hyperlink" Target="https://www.sec.gov/Archives/edgar/data/1597264/000155837024001254/bpmc-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2025-02-13T16:47:20Z</dcterms:created>
  <dcterms:modified xsi:type="dcterms:W3CDTF">2025-02-13T16:47:20Z</dcterms:modified>
</cp:coreProperties>
</file>