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210820</wp:posOffset>
            </wp:positionV>
            <wp:extent cx="1543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233680</wp:posOffset>
            </wp:positionV>
            <wp:extent cx="15436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226060</wp:posOffset>
            </wp:positionV>
            <wp:extent cx="1543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210820</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9720"/>
          </w:cols>
          <w:pgMar w:left="760" w:top="200" w:right="1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160" w:space="720"/>
            <w:col w:w="2840" w:space="720"/>
            <w:col w:w="2280"/>
          </w:cols>
          <w:pgMar w:left="760" w:top="200" w:right="1419" w:bottom="1440" w:gutter="0" w:footer="0" w:header="0"/>
          <w:type w:val="continuous"/>
        </w:sectPr>
      </w:pPr>
    </w:p>
    <w:p>
      <w:pPr>
        <w:spacing w:after="0" w:line="21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6180" w:space="720"/>
            <w:col w:w="2820"/>
          </w:cols>
          <w:pgMar w:left="760" w:top="200" w:right="141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2316480</wp:posOffset>
            </wp:positionH>
            <wp:positionV relativeFrom="paragraph">
              <wp:posOffset>223520</wp:posOffset>
            </wp:positionV>
            <wp:extent cx="1543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60" w:hanging="320"/>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7"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75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00" w:firstLine="648"/>
        <w:spacing w:after="0" w:line="23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400050</wp:posOffset>
            </wp:positionV>
            <wp:extent cx="61829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2995" cy="17145"/>
                    </a:xfrm>
                    <a:prstGeom prst="rect">
                      <a:avLst/>
                    </a:prstGeom>
                    <a:noFill/>
                  </pic:spPr>
                </pic:pic>
              </a:graphicData>
            </a:graphic>
          </wp:anchor>
        </w:drawing>
      </w:r>
    </w:p>
    <w:p>
      <w:pPr>
        <w:sectPr>
          <w:pgSz w:w="11900" w:h="16838" w:orient="portrait"/>
          <w:cols w:equalWidth="0" w:num="1">
            <w:col w:w="9720"/>
          </w:cols>
          <w:pgMar w:left="760" w:top="200" w:right="1419" w:bottom="1440" w:gutter="0" w:footer="0" w:header="0"/>
          <w:type w:val="continuous"/>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Financial Officer</w:t>
      </w:r>
    </w:p>
    <w:p>
      <w:pPr>
        <w:spacing w:after="0" w:line="227" w:lineRule="exact"/>
        <w:rPr>
          <w:sz w:val="20"/>
          <w:szCs w:val="20"/>
          <w:color w:val="auto"/>
        </w:rPr>
      </w:pPr>
    </w:p>
    <w:p>
      <w:pPr>
        <w:ind w:right="1320" w:firstLine="648"/>
        <w:spacing w:after="0" w:line="282" w:lineRule="auto"/>
        <w:rPr>
          <w:sz w:val="20"/>
          <w:szCs w:val="20"/>
          <w:color w:val="auto"/>
        </w:rPr>
      </w:pPr>
      <w:r>
        <w:rPr>
          <w:rFonts w:ascii="Times New Roman" w:cs="Times New Roman" w:eastAsia="Times New Roman" w:hAnsi="Times New Roman"/>
          <w:sz w:val="18"/>
          <w:szCs w:val="18"/>
          <w:color w:val="auto"/>
        </w:rPr>
        <w:t>On January 30, 2019, the board of directors of Blueprint Medicines Corporation (the “Company”) promoted Michael Landsittel to Chief Financial Officer of the Company.</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Mr. Landsittel, age 46, previously served as Vice President, Finance of the Company from February 2016 to January 2019 and as Senior Director, Finance of the Company from September 2014 to February 2016. Prior to joining the Company, Mr. Landsittel served as Senior Director, Finance at Algeta from October 2012 to July 2014, as Director, Finance at Infinity Pharmaceuticals, Inc. from March 2012 to October 2012 and held various business development and strategic planning roles of increasing responsibility at Genzyme from August 2002 to March 2012. Mr. Landsittel began his career at Arthur Andersen LLP, and he earned his certified public accountant license in Illinois. Mr. Landsittel received a B.B.A from the University of Michigan and an M.B.A. from the Tuck School of Business at Dartmouth College.</w:t>
      </w:r>
    </w:p>
    <w:p>
      <w:pPr>
        <w:spacing w:after="0" w:line="18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his promotion to Chief Financial Officer, the Company entered into an amendment to the employment agreement with Mr. Landsittel. Effective as of January 1, 2019, Mr. Landsittel’s annual base salary will be increased to $345,000, and his target annual incentive compensation will be 35% of his base salary.</w:t>
      </w:r>
    </w:p>
    <w:p>
      <w:pPr>
        <w:spacing w:after="0" w:line="17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Mr. Landsittel has no family relationship with any of the executive officers or directors of the Company. There are no arrangements or understandings between Mr. Landsittel and any other person pursuant to which he was appointed as an officer of the Company.</w:t>
      </w:r>
    </w:p>
    <w:p>
      <w:pPr>
        <w:spacing w:after="0" w:line="17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 to the employment agreement with Mr. Landsittel is qualified in its entirety by reference to the complete text of such agreement, a copy of which is attached as Exhibit 10.1 to this Current Report on Form 8-K.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Operating Officer</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January 30, 2019, the board of directors of the Company promoted Kathryn Haviland to Chief Operating Officer of the Company.</w:t>
      </w:r>
    </w:p>
    <w:p>
      <w:pPr>
        <w:spacing w:after="0" w:line="162"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Ms. Haviland, age 42, previously served as Chief Business Officer of the Company from January 2016 to January 2019. Prior to joining the Company, Ms. Haviland served as Vice President, Rare Diseases and Oncology Program Leadership at Idera Pharmaceuticals, Inc. from April 2014 to December 2015, as Head of Commercial Development at Sarepta Therapeutics, Inc. from June 2012 to April 2014, as Executive Director of Commercial Development at PTC Therapeutics, Inc. from April 2007 to June 2012 and held various corporate development and project management roles at Genzyme from July 2005 to April 2007. Ms. Haviland currently serves as a member of the board of directors of Fulcrum Therapeutics, a privately held biopharmaceutical company. Ms. Haviland received a B.A. from Wesleyan University with a double major in biochemistry/molecular biology and economics and an M.B.A. from Harvard Business School.</w:t>
      </w:r>
    </w:p>
    <w:p>
      <w:pPr>
        <w:spacing w:after="0" w:line="185"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her promotion to Chief Operating Officer, the Company entered into an amendment to the employment agreement with Ms. Haviland. Effective as of January 1, 2019, Ms. Haviland’s annual base salary will be increased to $431,830, and her target annual incentive compensation will be 40% of her base salary.</w:t>
      </w:r>
    </w:p>
    <w:p>
      <w:pPr>
        <w:spacing w:after="0" w:line="176"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Ms. Haviland has no family relationship with any of the executive officers or directors of the Company. There are no arrangements or understandings between Ms. Haviland and any other person pursuant to which she was appointed as an officer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2" w:name="page3"/>
    <w:bookmarkEnd w:id="2"/>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 to the employment agreement with Ms. Haviland is qualified in its entirety by reference to the complete text of such agreement, a copy of which is attached as Exhibit 10.2 to this Current Report on Form 8-K.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0" w:type="dxa"/>
            <w:vAlign w:val="bottom"/>
          </w:tcPr>
          <w:p>
            <w:pPr>
              <w:spacing w:after="0"/>
              <w:rPr>
                <w:sz w:val="20"/>
                <w:szCs w:val="20"/>
                <w:color w:val="auto"/>
              </w:rPr>
            </w:pPr>
          </w:p>
        </w:tc>
        <w:tc>
          <w:tcPr>
            <w:tcW w:w="79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 w:type="dxa"/>
            <w:vAlign w:val="bottom"/>
          </w:tcPr>
          <w:p>
            <w:pPr>
              <w:spacing w:after="0"/>
              <w:rPr>
                <w:sz w:val="24"/>
                <w:szCs w:val="24"/>
                <w:color w:val="auto"/>
              </w:rPr>
            </w:pPr>
          </w:p>
        </w:tc>
        <w:tc>
          <w:tcPr>
            <w:tcW w:w="7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ind w:left="40"/>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900" w:type="dxa"/>
            <w:vAlign w:val="bottom"/>
            <w:tcBorders>
              <w:top w:val="single" w:sz="8" w:color="auto"/>
            </w:tcBorders>
            <w:gridSpan w:val="4"/>
          </w:tcPr>
          <w:p>
            <w:pPr>
              <w:spacing w:after="0" w:line="170"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First Amendment to Employment Agreement, dated January 30, 2019, by and between the Registrant and</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Michael Landsittel</w:t>
              </w:r>
            </w:hyperlink>
          </w:p>
        </w:tc>
        <w:tc>
          <w:tcPr>
            <w:tcW w:w="62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9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gridSpan w:val="4"/>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First Amendment to Employment Agreement, dated January 30, 2019, by and between the Registrant and</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8">
              <w:r>
                <w:rPr>
                  <w:rFonts w:ascii="Times New Roman" w:cs="Times New Roman" w:eastAsia="Times New Roman" w:hAnsi="Times New Roman"/>
                  <w:sz w:val="18"/>
                  <w:szCs w:val="18"/>
                  <w:color w:val="0000EE"/>
                  <w:w w:val="98"/>
                </w:rPr>
                <w:t>Kathryn Haviland</w:t>
              </w:r>
            </w:hyperlink>
          </w:p>
        </w:tc>
        <w:tc>
          <w:tcPr>
            <w:tcW w:w="6300" w:type="dxa"/>
            <w:vAlign w:val="bottom"/>
            <w:tcBorders>
              <w:top w:val="single" w:sz="8" w:color="0000EE"/>
            </w:tcBorders>
            <w:gridSpan w:val="2"/>
          </w:tcPr>
          <w:p>
            <w:pPr>
              <w:spacing w:after="0"/>
              <w:rPr>
                <w:sz w:val="17"/>
                <w:szCs w:val="17"/>
                <w:color w:val="auto"/>
              </w:rPr>
            </w:pPr>
          </w:p>
        </w:tc>
        <w:tc>
          <w:tcPr>
            <w:tcW w:w="3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588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64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2019</w:t>
            </w:r>
          </w:p>
        </w:tc>
        <w:tc>
          <w:tcPr>
            <w:tcW w:w="5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 /s/ Tracey L. McCain</w:t>
            </w:r>
          </w:p>
        </w:tc>
      </w:tr>
      <w:tr>
        <w:trPr>
          <w:trHeight w:val="191"/>
        </w:trPr>
        <w:tc>
          <w:tcPr>
            <w:tcW w:w="3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Tracey L. McCain</w:t>
            </w:r>
          </w:p>
        </w:tc>
      </w:tr>
      <w:tr>
        <w:trPr>
          <w:trHeight w:val="234"/>
        </w:trPr>
        <w:tc>
          <w:tcPr>
            <w:tcW w:w="3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4" w:name="page5"/>
    <w:bookmarkEnd w:id="4"/>
    <w:p>
      <w:pPr>
        <w:jc w:val="right"/>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FIRST AMENDMENT TO EMPLOYMENT AGREEMENT</w:t>
      </w:r>
    </w:p>
    <w:p>
      <w:pPr>
        <w:spacing w:after="0" w:line="205" w:lineRule="exact"/>
        <w:rPr>
          <w:sz w:val="20"/>
          <w:szCs w:val="20"/>
          <w:color w:val="auto"/>
        </w:rPr>
      </w:pPr>
    </w:p>
    <w:p>
      <w:pPr>
        <w:ind w:left="160" w:right="819" w:firstLine="648"/>
        <w:spacing w:after="0" w:line="255" w:lineRule="auto"/>
        <w:rPr>
          <w:sz w:val="20"/>
          <w:szCs w:val="20"/>
          <w:color w:val="auto"/>
        </w:rPr>
      </w:pPr>
      <w:r>
        <w:rPr>
          <w:rFonts w:ascii="Times New Roman" w:cs="Times New Roman" w:eastAsia="Times New Roman" w:hAnsi="Times New Roman"/>
          <w:sz w:val="21"/>
          <w:szCs w:val="21"/>
          <w:color w:val="auto"/>
        </w:rPr>
        <w:t>This First Amendment to Employment Agreement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dated as of January 30, 2019, between Blueprint Medicines Corporation, a Delaware corporation (the</w:t>
      </w:r>
    </w:p>
    <w:p>
      <w:pPr>
        <w:spacing w:after="0" w:line="1" w:lineRule="exact"/>
        <w:rPr>
          <w:sz w:val="20"/>
          <w:szCs w:val="20"/>
          <w:color w:val="auto"/>
        </w:rPr>
      </w:pPr>
    </w:p>
    <w:p>
      <w:pPr>
        <w:ind w:left="160" w:right="23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Michael Landsittel (the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 Capitalized terms used and not defined herein shall have the meanings ascribed to such terms in the Employment Agreement (as defined below). This Amendment is effective as of January 30, 2019 (the “</w:t>
      </w:r>
      <w:r>
        <w:rPr>
          <w:rFonts w:ascii="Times New Roman" w:cs="Times New Roman" w:eastAsia="Times New Roman" w:hAnsi="Times New Roman"/>
          <w:sz w:val="21"/>
          <w:szCs w:val="21"/>
          <w:b w:val="1"/>
          <w:bCs w:val="1"/>
          <w:color w:val="auto"/>
        </w:rPr>
        <w:t>Amendment Effective Date</w:t>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ind w:left="160" w:right="639"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and the Executive are parties to the Employment Agreement dated as of November 22, 2017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ind w:left="160" w:right="739"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and the Executive desire to amend certain provisions of the Employment Agreement;</w:t>
      </w:r>
    </w:p>
    <w:p>
      <w:pPr>
        <w:spacing w:after="0" w:line="185" w:lineRule="exact"/>
        <w:rPr>
          <w:sz w:val="20"/>
          <w:szCs w:val="20"/>
          <w:color w:val="auto"/>
        </w:rPr>
      </w:pPr>
    </w:p>
    <w:p>
      <w:pPr>
        <w:jc w:val="both"/>
        <w:ind w:left="160" w:right="439" w:firstLine="648"/>
        <w:spacing w:after="0" w:line="244"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of which is hereby confirmed, the Company and the Executive agree that the Employment Agreement is amended as follows:</w:t>
      </w:r>
    </w:p>
    <w:p>
      <w:pPr>
        <w:spacing w:after="0" w:line="201" w:lineRule="exact"/>
        <w:rPr>
          <w:sz w:val="20"/>
          <w:szCs w:val="20"/>
          <w:color w:val="auto"/>
        </w:rPr>
      </w:pPr>
    </w:p>
    <w:p>
      <w:pPr>
        <w:ind w:left="1480" w:hanging="681"/>
        <w:spacing w:after="0"/>
        <w:tabs>
          <w:tab w:leader="none" w:pos="14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1(b) of the Employment Agreement shall be amended and restated as</w:t>
      </w:r>
    </w:p>
    <w:p>
      <w:pPr>
        <w:spacing w:after="0" w:line="14" w:lineRule="exact"/>
        <w:rPr>
          <w:rFonts w:ascii="Times New Roman" w:cs="Times New Roman" w:eastAsia="Times New Roman" w:hAnsi="Times New Roman"/>
          <w:sz w:val="22"/>
          <w:szCs w:val="22"/>
          <w:color w:val="auto"/>
        </w:rPr>
      </w:pPr>
    </w:p>
    <w:p>
      <w:pPr>
        <w:ind w:left="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follows:</w:t>
      </w:r>
    </w:p>
    <w:p>
      <w:pPr>
        <w:spacing w:after="0" w:line="209" w:lineRule="exact"/>
        <w:rPr>
          <w:sz w:val="20"/>
          <w:szCs w:val="20"/>
          <w:color w:val="auto"/>
        </w:rPr>
      </w:pPr>
    </w:p>
    <w:p>
      <w:pPr>
        <w:ind w:left="800" w:right="199"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The Executive shall serve as the Chief Financial Officer of the Company and shall have such powers and duties as may from time to time be prescribed by the Company’s Chief Executive Officer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The Executive shall devote his full working time and efforts to the business and affairs of the Company. Notwithstanding the foregoing, the Executive may serve on other boards of directors, with the approval of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or engage in religious, charitable or other activities as long as such services and activities are approved by the Board and do not materially interfere with the Executive’s performance of his duties to the Company as provided in this Agreement.”</w:t>
      </w:r>
    </w:p>
    <w:p>
      <w:pPr>
        <w:spacing w:after="0" w:line="211" w:lineRule="exact"/>
        <w:rPr>
          <w:sz w:val="20"/>
          <w:szCs w:val="20"/>
          <w:color w:val="auto"/>
        </w:rPr>
      </w:pPr>
    </w:p>
    <w:p>
      <w:pPr>
        <w:ind w:left="1400" w:hanging="601"/>
        <w:spacing w:after="0"/>
        <w:tabs>
          <w:tab w:leader="none" w:pos="14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2(a) of the Employment Agreement shall be amended and restated as follows:</w:t>
      </w:r>
    </w:p>
    <w:p>
      <w:pPr>
        <w:spacing w:after="0" w:line="245" w:lineRule="exact"/>
        <w:rPr>
          <w:sz w:val="20"/>
          <w:szCs w:val="20"/>
          <w:color w:val="auto"/>
        </w:rPr>
      </w:pPr>
    </w:p>
    <w:p>
      <w:pPr>
        <w:ind w:left="800" w:right="279"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Effective January 1, 2019, the Executive’s annual base salary shall be $345,000. The Executive’s base salary shall be re-determined annually by the Board or the Compensation Committee of the Board (the “</w:t>
      </w:r>
      <w:r>
        <w:rPr>
          <w:rFonts w:ascii="Times New Roman" w:cs="Times New Roman" w:eastAsia="Times New Roman" w:hAnsi="Times New Roman"/>
          <w:sz w:val="22"/>
          <w:szCs w:val="22"/>
          <w:b w:val="1"/>
          <w:bCs w:val="1"/>
          <w:color w:val="auto"/>
        </w:rPr>
        <w:t>Compensation Committee</w:t>
      </w:r>
      <w:r>
        <w:rPr>
          <w:rFonts w:ascii="Times New Roman" w:cs="Times New Roman" w:eastAsia="Times New Roman" w:hAnsi="Times New Roman"/>
          <w:sz w:val="22"/>
          <w:szCs w:val="22"/>
          <w:color w:val="auto"/>
        </w:rPr>
        <w:t>”) and shall be subject to increase but not decrease while the Executive is serving in the Chief Financial Officer role. The annual base salary in effect at any given time is referred to herein as the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The Base Salary shall be payable in a manner that is consistent with the Company’s usual payroll practices for senior executives.”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80010</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1340" w:hanging="541"/>
        <w:spacing w:after="0"/>
        <w:tabs>
          <w:tab w:leader="none" w:pos="13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2(b) of the Employment Agreement shall be amended and restated as follows:</w:t>
      </w:r>
    </w:p>
    <w:p>
      <w:pPr>
        <w:spacing w:after="0" w:line="245" w:lineRule="exact"/>
        <w:rPr>
          <w:sz w:val="20"/>
          <w:szCs w:val="20"/>
          <w:color w:val="auto"/>
        </w:rPr>
      </w:pPr>
    </w:p>
    <w:p>
      <w:pPr>
        <w:ind w:left="800" w:right="199"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 Compensation</w:t>
      </w:r>
      <w:r>
        <w:rPr>
          <w:rFonts w:ascii="Times New Roman" w:cs="Times New Roman" w:eastAsia="Times New Roman" w:hAnsi="Times New Roman"/>
          <w:sz w:val="21"/>
          <w:szCs w:val="21"/>
          <w:color w:val="auto"/>
        </w:rPr>
        <w:t>. The Executive shall be eligible to receive cash incentive compensation as determined by the Board or the Compensation Committee from time to time. The Executive’s target annual incentive compensation shall be 35% of his Base Salary (the “</w:t>
      </w:r>
      <w:r>
        <w:rPr>
          <w:rFonts w:ascii="Times New Roman" w:cs="Times New Roman" w:eastAsia="Times New Roman" w:hAnsi="Times New Roman"/>
          <w:sz w:val="21"/>
          <w:szCs w:val="21"/>
          <w:b w:val="1"/>
          <w:bCs w:val="1"/>
          <w:color w:val="auto"/>
        </w:rPr>
        <w:t>Target Incentive Compensation</w:t>
      </w:r>
      <w:r>
        <w:rPr>
          <w:rFonts w:ascii="Times New Roman" w:cs="Times New Roman" w:eastAsia="Times New Roman" w:hAnsi="Times New Roman"/>
          <w:sz w:val="21"/>
          <w:szCs w:val="21"/>
          <w:color w:val="auto"/>
        </w:rPr>
        <w:t>”) and shall be re-determined periodically by the Board or the Compensation Committee. To earn incentive compensation, the Executive must be employed by the Company on the day such incentive compensation is paid.”</w:t>
      </w:r>
    </w:p>
    <w:p>
      <w:pPr>
        <w:spacing w:after="0" w:line="198" w:lineRule="exact"/>
        <w:rPr>
          <w:sz w:val="20"/>
          <w:szCs w:val="20"/>
          <w:color w:val="auto"/>
        </w:rPr>
      </w:pPr>
    </w:p>
    <w:p>
      <w:pPr>
        <w:ind w:left="160" w:right="179" w:firstLine="639"/>
        <w:spacing w:after="0" w:line="251" w:lineRule="auto"/>
        <w:tabs>
          <w:tab w:leader="none" w:pos="134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hereby gives his express written consent in this Amendment for the changes described herein. Accordingly, the Executive acknowledges and agrees that the changes described herein shall not be the basis of a “Good Reason” trigger as defined in the Employment Agreement, and therefore the Executive shall not be eligible to resign for Good Reason as a result of any such changes or in connection with the negotiation, execution and delivery of this Amendment.</w:t>
      </w:r>
    </w:p>
    <w:p>
      <w:pPr>
        <w:spacing w:after="0" w:line="195" w:lineRule="exact"/>
        <w:rPr>
          <w:rFonts w:ascii="Times New Roman" w:cs="Times New Roman" w:eastAsia="Times New Roman" w:hAnsi="Times New Roman"/>
          <w:sz w:val="21"/>
          <w:szCs w:val="21"/>
          <w:color w:val="auto"/>
        </w:rPr>
      </w:pPr>
    </w:p>
    <w:p>
      <w:pPr>
        <w:jc w:val="both"/>
        <w:ind w:left="160" w:right="299" w:firstLine="639"/>
        <w:spacing w:after="0" w:line="244" w:lineRule="auto"/>
        <w:tabs>
          <w:tab w:leader="none" w:pos="139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there is any inconsistency between the terms and conditions of this Amendment and the terms and conditions of the Employment Agreement, the terms and conditions of this Amendment shall prevail.</w:t>
      </w:r>
    </w:p>
    <w:p>
      <w:pPr>
        <w:spacing w:after="0" w:line="173" w:lineRule="exact"/>
        <w:rPr>
          <w:rFonts w:ascii="Times New Roman" w:cs="Times New Roman" w:eastAsia="Times New Roman" w:hAnsi="Times New Roman"/>
          <w:sz w:val="22"/>
          <w:szCs w:val="22"/>
          <w:color w:val="auto"/>
        </w:rPr>
      </w:pPr>
    </w:p>
    <w:p>
      <w:pPr>
        <w:ind w:left="160" w:right="379" w:firstLine="639"/>
        <w:spacing w:after="0" w:line="239" w:lineRule="auto"/>
        <w:tabs>
          <w:tab w:leader="none" w:pos="139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hereby acknowledges that the terms of the Non-Solicitation, Non-Competition, Confidentiality and Assignment Agreement, dated as of September 8, 2014, by and between the Company and the Executive (the “</w:t>
      </w:r>
      <w:r>
        <w:rPr>
          <w:rFonts w:ascii="Times New Roman" w:cs="Times New Roman" w:eastAsia="Times New Roman" w:hAnsi="Times New Roman"/>
          <w:sz w:val="22"/>
          <w:szCs w:val="22"/>
          <w:b w:val="1"/>
          <w:bCs w:val="1"/>
          <w:color w:val="auto"/>
        </w:rPr>
        <w:t>Restrictive Covenant Agreement</w:t>
      </w:r>
      <w:r>
        <w:rPr>
          <w:rFonts w:ascii="Times New Roman" w:cs="Times New Roman" w:eastAsia="Times New Roman" w:hAnsi="Times New Roman"/>
          <w:sz w:val="22"/>
          <w:szCs w:val="22"/>
          <w:color w:val="auto"/>
        </w:rPr>
        <w:t>”) remain in full force and effect.</w:t>
      </w:r>
    </w:p>
    <w:p>
      <w:pPr>
        <w:spacing w:after="0" w:line="180" w:lineRule="exact"/>
        <w:rPr>
          <w:rFonts w:ascii="Times New Roman" w:cs="Times New Roman" w:eastAsia="Times New Roman" w:hAnsi="Times New Roman"/>
          <w:sz w:val="22"/>
          <w:szCs w:val="22"/>
          <w:color w:val="auto"/>
        </w:rPr>
      </w:pPr>
    </w:p>
    <w:p>
      <w:pPr>
        <w:ind w:left="160" w:right="219" w:firstLine="639"/>
        <w:spacing w:after="0" w:line="236" w:lineRule="auto"/>
        <w:tabs>
          <w:tab w:leader="none" w:pos="140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82" w:lineRule="exact"/>
        <w:rPr>
          <w:rFonts w:ascii="Times New Roman" w:cs="Times New Roman" w:eastAsia="Times New Roman" w:hAnsi="Times New Roman"/>
          <w:sz w:val="22"/>
          <w:szCs w:val="22"/>
          <w:color w:val="auto"/>
        </w:rPr>
      </w:pPr>
    </w:p>
    <w:p>
      <w:pPr>
        <w:ind w:left="160" w:right="219" w:firstLine="639"/>
        <w:spacing w:after="0" w:line="235" w:lineRule="auto"/>
        <w:tabs>
          <w:tab w:leader="none" w:pos="140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amended hereby, the Employment Agreement remains in full force and effect and the Employment Agreement, as amended, represents the entire agreement between the Executive and the Company, and there are no other agreements, written or oral, relating to the subject matter hereof, except the Restrictive Covenant Agreement, which remains in full force and effect. All references in the Employment Agreement to “this Agreement” (including “hereof”, “herein” and similar words or phrases) shall mean the Employment Agreement, as amended by this Amendment.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80010</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6" w:name="page7"/>
    <w:bookmarkEnd w:id="6"/>
    <w:p>
      <w:pPr>
        <w:ind w:left="160" w:right="879"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the undersigned have executed this Amendment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BLUEPRINT MEDICINES CORPORATION</w:t>
      </w:r>
    </w:p>
    <w:p>
      <w:pPr>
        <w:spacing w:after="0" w:line="249" w:lineRule="exact"/>
        <w:rPr>
          <w:sz w:val="20"/>
          <w:szCs w:val="20"/>
          <w:color w:val="auto"/>
        </w:rPr>
      </w:pPr>
    </w:p>
    <w:p>
      <w:pPr>
        <w:ind w:left="4520"/>
        <w:spacing w:after="0"/>
        <w:tabs>
          <w:tab w:leader="none" w:pos="51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0"/>
          <w:szCs w:val="20"/>
          <w:color w:val="auto"/>
        </w:rPr>
        <w:t>/s/ Jeffrey Albers</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Name: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-158115</wp:posOffset>
            </wp:positionV>
            <wp:extent cx="23583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ind w:left="4520"/>
        <w:spacing w:after="0"/>
        <w:tabs>
          <w:tab w:leader="none" w:pos="51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and Chief Executive Officer</w:t>
      </w:r>
    </w:p>
    <w:p>
      <w:pPr>
        <w:spacing w:after="0" w:line="200" w:lineRule="exact"/>
        <w:rPr>
          <w:sz w:val="20"/>
          <w:szCs w:val="20"/>
          <w:color w:val="auto"/>
        </w:rPr>
      </w:pPr>
    </w:p>
    <w:p>
      <w:pPr>
        <w:spacing w:after="0" w:line="2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11430</wp:posOffset>
            </wp:positionV>
            <wp:extent cx="2761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Michael Landsittel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80010</wp:posOffset>
            </wp:positionV>
            <wp:extent cx="554863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 w:name="page8"/>
    <w:bookmarkEnd w:id="7"/>
    <w:p>
      <w:pPr>
        <w:jc w:val="right"/>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Exhibit 10.2</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FIRST AMENDMENT TO EMPLOYMENT AGREEMENT</w:t>
      </w:r>
    </w:p>
    <w:p>
      <w:pPr>
        <w:spacing w:after="0" w:line="205" w:lineRule="exact"/>
        <w:rPr>
          <w:sz w:val="20"/>
          <w:szCs w:val="20"/>
          <w:color w:val="auto"/>
        </w:rPr>
      </w:pPr>
    </w:p>
    <w:p>
      <w:pPr>
        <w:ind w:left="160" w:right="759" w:firstLine="648"/>
        <w:spacing w:after="0" w:line="255" w:lineRule="auto"/>
        <w:rPr>
          <w:sz w:val="20"/>
          <w:szCs w:val="20"/>
          <w:color w:val="auto"/>
        </w:rPr>
      </w:pPr>
      <w:r>
        <w:rPr>
          <w:rFonts w:ascii="Times New Roman" w:cs="Times New Roman" w:eastAsia="Times New Roman" w:hAnsi="Times New Roman"/>
          <w:sz w:val="21"/>
          <w:szCs w:val="21"/>
          <w:color w:val="auto"/>
        </w:rPr>
        <w:t>This First Amendment to Employment Agreement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dated as of January 30, 2019, between Blueprint Medicines Corporation, a Delaware corporation (the</w:t>
      </w:r>
    </w:p>
    <w:p>
      <w:pPr>
        <w:spacing w:after="0" w:line="1" w:lineRule="exact"/>
        <w:rPr>
          <w:sz w:val="20"/>
          <w:szCs w:val="20"/>
          <w:color w:val="auto"/>
        </w:rPr>
      </w:pPr>
    </w:p>
    <w:p>
      <w:pPr>
        <w:ind w:left="160" w:right="23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Kathryn Haviland (the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 Capitalized terms used and not defined herein shall have the meanings ascribed to such terms in the Employment Agreement (as defined below). This Amendment is effective as of January 30, 2019 (the “</w:t>
      </w:r>
      <w:r>
        <w:rPr>
          <w:rFonts w:ascii="Times New Roman" w:cs="Times New Roman" w:eastAsia="Times New Roman" w:hAnsi="Times New Roman"/>
          <w:sz w:val="21"/>
          <w:szCs w:val="21"/>
          <w:b w:val="1"/>
          <w:bCs w:val="1"/>
          <w:color w:val="auto"/>
        </w:rPr>
        <w:t>Amendment Effective Date</w:t>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ind w:left="160" w:right="639"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and the Executive are parties to the Employment Agreement dated as of March 10, 2016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ind w:left="160" w:right="739"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and the Executive desire to amend certain provisions of the Employment Agreement;</w:t>
      </w:r>
    </w:p>
    <w:p>
      <w:pPr>
        <w:spacing w:after="0" w:line="185" w:lineRule="exact"/>
        <w:rPr>
          <w:sz w:val="20"/>
          <w:szCs w:val="20"/>
          <w:color w:val="auto"/>
        </w:rPr>
      </w:pPr>
    </w:p>
    <w:p>
      <w:pPr>
        <w:jc w:val="both"/>
        <w:ind w:left="160" w:right="439" w:firstLine="648"/>
        <w:spacing w:after="0" w:line="244"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of which is hereby confirmed, the Company and the Executive agree that the Employment Agreement is amended as follows:</w:t>
      </w:r>
    </w:p>
    <w:p>
      <w:pPr>
        <w:spacing w:after="0" w:line="201" w:lineRule="exact"/>
        <w:rPr>
          <w:sz w:val="20"/>
          <w:szCs w:val="20"/>
          <w:color w:val="auto"/>
        </w:rPr>
      </w:pPr>
    </w:p>
    <w:p>
      <w:pPr>
        <w:ind w:left="1480" w:hanging="681"/>
        <w:spacing w:after="0"/>
        <w:tabs>
          <w:tab w:leader="none" w:pos="14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1(b) of the Employment Agreement shall be amended and restated as</w:t>
      </w:r>
    </w:p>
    <w:p>
      <w:pPr>
        <w:spacing w:after="0" w:line="14" w:lineRule="exact"/>
        <w:rPr>
          <w:rFonts w:ascii="Times New Roman" w:cs="Times New Roman" w:eastAsia="Times New Roman" w:hAnsi="Times New Roman"/>
          <w:sz w:val="22"/>
          <w:szCs w:val="22"/>
          <w:color w:val="auto"/>
        </w:rPr>
      </w:pPr>
    </w:p>
    <w:p>
      <w:pPr>
        <w:ind w:left="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follows:</w:t>
      </w:r>
    </w:p>
    <w:p>
      <w:pPr>
        <w:spacing w:after="0" w:line="209" w:lineRule="exact"/>
        <w:rPr>
          <w:sz w:val="20"/>
          <w:szCs w:val="20"/>
          <w:color w:val="auto"/>
        </w:rPr>
      </w:pPr>
    </w:p>
    <w:p>
      <w:pPr>
        <w:ind w:left="800" w:right="159"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The Executive shall serve as the Chief Operating Officer of the Company and shall have such powers and duties as may from time to time be prescribed by the Company’s Chief Executive Officer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The Executive shall devote her full working time and efforts to the business and affairs of the Company. Notwithstanding the foregoing, the Executive may serve on other boards of directors, with the approval of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or engage in religious, charitable or other activities as long as such services and activities are approved by the Board and do not materially interfere with the Executive’s performance of her duties to the Company as provided in this Agreement.”</w:t>
      </w:r>
    </w:p>
    <w:p>
      <w:pPr>
        <w:spacing w:after="0" w:line="211" w:lineRule="exact"/>
        <w:rPr>
          <w:sz w:val="20"/>
          <w:szCs w:val="20"/>
          <w:color w:val="auto"/>
        </w:rPr>
      </w:pPr>
    </w:p>
    <w:p>
      <w:pPr>
        <w:ind w:left="1400" w:hanging="601"/>
        <w:spacing w:after="0"/>
        <w:tabs>
          <w:tab w:leader="none" w:pos="140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2(a) of the Employment Agreement shall be amended and restated as follows:</w:t>
      </w:r>
    </w:p>
    <w:p>
      <w:pPr>
        <w:spacing w:after="0" w:line="245" w:lineRule="exact"/>
        <w:rPr>
          <w:sz w:val="20"/>
          <w:szCs w:val="20"/>
          <w:color w:val="auto"/>
        </w:rPr>
      </w:pPr>
    </w:p>
    <w:p>
      <w:pPr>
        <w:ind w:left="800" w:right="279"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Effective January 1, 2019, the Executive’s annual base salary shall be $431,830. The Executive’s base salary shall be re-determined annually by the Board or the Compensation Committee of the Board (the “</w:t>
      </w:r>
      <w:r>
        <w:rPr>
          <w:rFonts w:ascii="Times New Roman" w:cs="Times New Roman" w:eastAsia="Times New Roman" w:hAnsi="Times New Roman"/>
          <w:sz w:val="22"/>
          <w:szCs w:val="22"/>
          <w:b w:val="1"/>
          <w:bCs w:val="1"/>
          <w:color w:val="auto"/>
        </w:rPr>
        <w:t>Compensation Committee</w:t>
      </w:r>
      <w:r>
        <w:rPr>
          <w:rFonts w:ascii="Times New Roman" w:cs="Times New Roman" w:eastAsia="Times New Roman" w:hAnsi="Times New Roman"/>
          <w:sz w:val="22"/>
          <w:szCs w:val="22"/>
          <w:color w:val="auto"/>
        </w:rPr>
        <w:t>”) and shall be subject to increase but not decrease while the Executive is serving in the Chief Operating Officer role. The annual base salary in effect at any given time is referred to herein as the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The Base Salary shall be payable in a manner that is consistent with the Company’s usual payroll practices for senior executives.”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80010</wp:posOffset>
            </wp:positionV>
            <wp:extent cx="554863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 w:name="page9"/>
    <w:bookmarkEnd w:id="8"/>
    <w:p>
      <w:pPr>
        <w:ind w:left="1340" w:hanging="541"/>
        <w:spacing w:after="0"/>
        <w:tabs>
          <w:tab w:leader="none" w:pos="13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2(b) of the Employment Agreement shall be amended and restated as follows:</w:t>
      </w:r>
    </w:p>
    <w:p>
      <w:pPr>
        <w:spacing w:after="0" w:line="245" w:lineRule="exact"/>
        <w:rPr>
          <w:sz w:val="20"/>
          <w:szCs w:val="20"/>
          <w:color w:val="auto"/>
        </w:rPr>
      </w:pPr>
    </w:p>
    <w:p>
      <w:pPr>
        <w:ind w:left="800" w:right="179"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The Executive shall be eligible to receive cash incentive compensation as determined by the Board or the Compensation Committee from time to time. The Executive’s target annual incentive compensation shall be 40% of her Base Salary (the “</w:t>
      </w:r>
      <w:r>
        <w:rPr>
          <w:rFonts w:ascii="Times New Roman" w:cs="Times New Roman" w:eastAsia="Times New Roman" w:hAnsi="Times New Roman"/>
          <w:sz w:val="22"/>
          <w:szCs w:val="22"/>
          <w:b w:val="1"/>
          <w:bCs w:val="1"/>
          <w:color w:val="auto"/>
        </w:rPr>
        <w:t>Target Incentive Compensation</w:t>
      </w:r>
      <w:r>
        <w:rPr>
          <w:rFonts w:ascii="Times New Roman" w:cs="Times New Roman" w:eastAsia="Times New Roman" w:hAnsi="Times New Roman"/>
          <w:sz w:val="22"/>
          <w:szCs w:val="22"/>
          <w:color w:val="auto"/>
        </w:rPr>
        <w:t>”) and shall be re-determined periodically by the Board or the Compensation Committee. To earn incentive compensation, the Executive must be employed by the Company on the day such incentive compensation is paid.”</w:t>
      </w:r>
    </w:p>
    <w:p>
      <w:pPr>
        <w:spacing w:after="0" w:line="209" w:lineRule="exact"/>
        <w:rPr>
          <w:sz w:val="20"/>
          <w:szCs w:val="20"/>
          <w:color w:val="auto"/>
        </w:rPr>
      </w:pPr>
    </w:p>
    <w:p>
      <w:pPr>
        <w:ind w:left="160" w:right="179" w:firstLine="639"/>
        <w:spacing w:after="0" w:line="251" w:lineRule="auto"/>
        <w:tabs>
          <w:tab w:leader="none" w:pos="134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hereby gives her express written consent in this Amendment for the changes described herein. Accordingly, the Executive acknowledges and agrees that the changes described herein shall not be the basis of a “Good Reason” trigger as defined in the Employment Agreement, and therefore the Executive shall not be eligible to resign for Good Reason as a result of any such changes or in connection with the negotiation, execution and delivery of this Amendment.</w:t>
      </w:r>
    </w:p>
    <w:p>
      <w:pPr>
        <w:spacing w:after="0" w:line="195" w:lineRule="exact"/>
        <w:rPr>
          <w:rFonts w:ascii="Times New Roman" w:cs="Times New Roman" w:eastAsia="Times New Roman" w:hAnsi="Times New Roman"/>
          <w:sz w:val="21"/>
          <w:szCs w:val="21"/>
          <w:color w:val="auto"/>
        </w:rPr>
      </w:pPr>
    </w:p>
    <w:p>
      <w:pPr>
        <w:jc w:val="both"/>
        <w:ind w:left="160" w:right="299" w:firstLine="639"/>
        <w:spacing w:after="0" w:line="244" w:lineRule="auto"/>
        <w:tabs>
          <w:tab w:leader="none" w:pos="139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there is any inconsistency between the terms and conditions of this Amendment and the terms and conditions of the Employment Agreement, the terms and conditions of this Amendment shall prevail.</w:t>
      </w:r>
    </w:p>
    <w:p>
      <w:pPr>
        <w:spacing w:after="0" w:line="173" w:lineRule="exact"/>
        <w:rPr>
          <w:rFonts w:ascii="Times New Roman" w:cs="Times New Roman" w:eastAsia="Times New Roman" w:hAnsi="Times New Roman"/>
          <w:sz w:val="22"/>
          <w:szCs w:val="22"/>
          <w:color w:val="auto"/>
        </w:rPr>
      </w:pPr>
    </w:p>
    <w:p>
      <w:pPr>
        <w:ind w:left="160" w:right="379" w:firstLine="639"/>
        <w:spacing w:after="0" w:line="239" w:lineRule="auto"/>
        <w:tabs>
          <w:tab w:leader="none" w:pos="139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hereby acknowledges that the terms of the Non-Solicitation, Non-Competition, Confidentiality and Assignment Agreement, dated as of December 11, 2015, by and between the Company and the Executive (the “</w:t>
      </w:r>
      <w:r>
        <w:rPr>
          <w:rFonts w:ascii="Times New Roman" w:cs="Times New Roman" w:eastAsia="Times New Roman" w:hAnsi="Times New Roman"/>
          <w:sz w:val="22"/>
          <w:szCs w:val="22"/>
          <w:b w:val="1"/>
          <w:bCs w:val="1"/>
          <w:color w:val="auto"/>
        </w:rPr>
        <w:t>Restrictive Covenant Agreement</w:t>
      </w:r>
      <w:r>
        <w:rPr>
          <w:rFonts w:ascii="Times New Roman" w:cs="Times New Roman" w:eastAsia="Times New Roman" w:hAnsi="Times New Roman"/>
          <w:sz w:val="22"/>
          <w:szCs w:val="22"/>
          <w:color w:val="auto"/>
        </w:rPr>
        <w:t>”) remain in full force and effect.</w:t>
      </w:r>
    </w:p>
    <w:p>
      <w:pPr>
        <w:spacing w:after="0" w:line="180" w:lineRule="exact"/>
        <w:rPr>
          <w:rFonts w:ascii="Times New Roman" w:cs="Times New Roman" w:eastAsia="Times New Roman" w:hAnsi="Times New Roman"/>
          <w:sz w:val="22"/>
          <w:szCs w:val="22"/>
          <w:color w:val="auto"/>
        </w:rPr>
      </w:pPr>
    </w:p>
    <w:p>
      <w:pPr>
        <w:ind w:left="160" w:right="219" w:firstLine="639"/>
        <w:spacing w:after="0" w:line="236" w:lineRule="auto"/>
        <w:tabs>
          <w:tab w:leader="none" w:pos="140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82" w:lineRule="exact"/>
        <w:rPr>
          <w:rFonts w:ascii="Times New Roman" w:cs="Times New Roman" w:eastAsia="Times New Roman" w:hAnsi="Times New Roman"/>
          <w:sz w:val="22"/>
          <w:szCs w:val="22"/>
          <w:color w:val="auto"/>
        </w:rPr>
      </w:pPr>
    </w:p>
    <w:p>
      <w:pPr>
        <w:ind w:left="160" w:right="219" w:firstLine="639"/>
        <w:spacing w:after="0" w:line="235" w:lineRule="auto"/>
        <w:tabs>
          <w:tab w:leader="none" w:pos="140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amended hereby, the Employment Agreement remains in full force and effect and the Employment Agreement, as amended, represents the entire agreement between the Executive and the Company, and there are no other agreements, written or oral, relating to the subject matter hereof, except the Restrictive Covenant Agreement, which remains in full force and effect. All references in the Employment Agreement to “this Agreement” (including “hereof”, “herein” and similar words or phrases) shall mean the Employment Agreement, as amended by this Amendment.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80010</wp:posOffset>
            </wp:positionV>
            <wp:extent cx="554863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 w:name="page10"/>
    <w:bookmarkEnd w:id="9"/>
    <w:p>
      <w:pPr>
        <w:ind w:left="160" w:right="879"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the undersigned have executed this Amendment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BLUEPRINT MEDICINES CORPORATION</w:t>
      </w:r>
    </w:p>
    <w:p>
      <w:pPr>
        <w:spacing w:after="0" w:line="249" w:lineRule="exact"/>
        <w:rPr>
          <w:sz w:val="20"/>
          <w:szCs w:val="20"/>
          <w:color w:val="auto"/>
        </w:rPr>
      </w:pPr>
    </w:p>
    <w:p>
      <w:pPr>
        <w:ind w:left="4520"/>
        <w:spacing w:after="0"/>
        <w:tabs>
          <w:tab w:leader="none" w:pos="51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0"/>
          <w:szCs w:val="20"/>
          <w:color w:val="auto"/>
        </w:rPr>
        <w:t>/s/ Jeffrey Albers</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Name: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-158115</wp:posOffset>
            </wp:positionV>
            <wp:extent cx="23583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ind w:left="4520"/>
        <w:spacing w:after="0"/>
        <w:tabs>
          <w:tab w:leader="none" w:pos="51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and Chief Executive Officer</w:t>
      </w:r>
    </w:p>
    <w:p>
      <w:pPr>
        <w:spacing w:after="0" w:line="200" w:lineRule="exact"/>
        <w:rPr>
          <w:sz w:val="20"/>
          <w:szCs w:val="20"/>
          <w:color w:val="auto"/>
        </w:rPr>
      </w:pPr>
    </w:p>
    <w:p>
      <w:pPr>
        <w:spacing w:after="0" w:line="2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11430</wp:posOffset>
            </wp:positionV>
            <wp:extent cx="2761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Kathryn Haviland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80010</wp:posOffset>
            </wp:positionV>
            <wp:extent cx="554863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3"/>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2019-12-28T16:49:35Z</dcterms:created>
  <dcterms:modified xsi:type="dcterms:W3CDTF">2019-12-28T16:49:35Z</dcterms:modified>
</cp:coreProperties>
</file>