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9"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001-37359</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23"/>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35"/>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4"/>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980" w:type="dxa"/>
            <w:vAlign w:val="bottom"/>
          </w:tcPr>
          <w:p>
            <w:pPr>
              <w:spacing w:after="0"/>
              <w:rPr>
                <w:sz w:val="24"/>
                <w:szCs w:val="24"/>
                <w:color w:val="auto"/>
              </w:rPr>
            </w:pPr>
          </w:p>
        </w:tc>
      </w:tr>
      <w:tr>
        <w:trPr>
          <w:trHeight w:val="223"/>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980" w:type="dxa"/>
            <w:vAlign w:val="bottom"/>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28"/>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37"/>
        </w:trPr>
        <w:tc>
          <w:tcPr>
            <w:tcW w:w="2500" w:type="dxa"/>
            <w:vAlign w:val="bottom"/>
          </w:tcPr>
          <w:p>
            <w:pPr>
              <w:spacing w:after="0"/>
              <w:rPr>
                <w:sz w:val="20"/>
                <w:szCs w:val="20"/>
                <w:color w:val="auto"/>
              </w:rPr>
            </w:pPr>
          </w:p>
        </w:tc>
        <w:tc>
          <w:tcPr>
            <w:tcW w:w="3980" w:type="dxa"/>
            <w:vAlign w:val="bottom"/>
          </w:tcPr>
          <w:p>
            <w:pPr>
              <w:jc w:val="right"/>
              <w:ind w:right="2368"/>
              <w:spacing w:after="0"/>
              <w:rPr>
                <w:sz w:val="20"/>
                <w:szCs w:val="20"/>
                <w:color w:val="auto"/>
              </w:rPr>
            </w:pPr>
            <w:r>
              <w:rPr>
                <w:rFonts w:ascii="Times New Roman" w:cs="Times New Roman" w:eastAsia="Times New Roman" w:hAnsi="Times New Roman"/>
                <w:sz w:val="18"/>
                <w:szCs w:val="18"/>
                <w:b w:val="1"/>
                <w:bCs w:val="1"/>
                <w:color w:val="auto"/>
              </w:rPr>
              <w:t>(617) 374-7580</w:t>
            </w:r>
          </w:p>
        </w:tc>
      </w:tr>
    </w:tbl>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164" w:lineRule="exact"/>
        <w:rPr>
          <w:sz w:val="24"/>
          <w:szCs w:val="24"/>
          <w:color w:val="auto"/>
        </w:rPr>
      </w:pPr>
    </w:p>
    <w:p>
      <w:pPr>
        <w:ind w:right="100" w:firstLine="415"/>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1" w:lineRule="exact"/>
        <w:rPr>
          <w:sz w:val="24"/>
          <w:szCs w:val="24"/>
          <w:color w:val="auto"/>
        </w:rPr>
      </w:pPr>
    </w:p>
    <w:p>
      <w:pPr>
        <w:ind w:right="160" w:firstLine="41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9" w:lineRule="exact"/>
        <w:rPr>
          <w:sz w:val="24"/>
          <w:szCs w:val="24"/>
          <w:color w:val="auto"/>
        </w:rPr>
      </w:pPr>
    </w:p>
    <w:p>
      <w:pPr>
        <w:ind w:right="320" w:firstLine="415"/>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6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80"/>
            <w:col w:w="3040" w:space="720"/>
            <w:col w:w="960" w:space="80"/>
            <w:col w:w="2040"/>
          </w:cols>
          <w:pgMar w:left="980" w:top="661" w:right="979" w:bottom="1440" w:gutter="0" w:footer="0" w:header="0"/>
          <w:type w:val="continuous"/>
        </w:sectPr>
      </w:pPr>
    </w:p>
    <w:p>
      <w:pPr>
        <w:spacing w:after="0" w:line="1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38" w:orient="portrait"/>
          <w:cols w:equalWidth="0" w:num="4">
            <w:col w:w="2980" w:space="60"/>
            <w:col w:w="2800" w:space="720"/>
            <w:col w:w="1560" w:space="80"/>
            <w:col w:w="1740"/>
          </w:cols>
          <w:pgMar w:left="980" w:top="661" w:right="979" w:bottom="1440" w:gutter="0" w:footer="0" w:header="0"/>
          <w:type w:val="continuous"/>
        </w:sectPr>
      </w:pPr>
    </w:p>
    <w:p>
      <w:pPr>
        <w:spacing w:after="0" w:line="14"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2">
            <w:col w:w="8120" w:space="80"/>
            <w:col w:w="1740"/>
          </w:cols>
          <w:pgMar w:left="980" w:top="661" w:right="979" w:bottom="1440" w:gutter="0" w:footer="0" w:header="0"/>
          <w:type w:val="continuous"/>
        </w:sectPr>
      </w:pPr>
    </w:p>
    <w:p>
      <w:pPr>
        <w:ind w:right="60" w:firstLine="415"/>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color w:val="auto"/>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Number of shares of the registrant’s common stock, $0.001 par value, outstanding on October 28, 2022: 59,830,611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880745</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160" w:type="dxa"/>
            <w:vAlign w:val="bottom"/>
            <w:gridSpan w:val="8"/>
            <w:vMerge w:val="restart"/>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160" w:type="dxa"/>
            <w:vAlign w:val="bottom"/>
            <w:tcBorders>
              <w:bottom w:val="single" w:sz="8" w:color="0000EE"/>
            </w:tcBorders>
            <w:gridSpan w:val="8"/>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220" w:type="dxa"/>
            <w:vAlign w:val="bottom"/>
            <w:vMerge w:val="restart"/>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640" w:type="dxa"/>
            <w:vAlign w:val="bottom"/>
            <w:gridSpan w:val="2"/>
          </w:tcPr>
          <w:p>
            <w:pPr>
              <w:spacing w:after="0"/>
              <w:rPr>
                <w:sz w:val="5"/>
                <w:szCs w:val="5"/>
                <w:color w:val="auto"/>
              </w:rPr>
            </w:pPr>
          </w:p>
        </w:tc>
        <w:tc>
          <w:tcPr>
            <w:tcW w:w="65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2022 and December 31, 2021</w:t>
            </w:r>
          </w:p>
        </w:tc>
        <w:tc>
          <w:tcPr>
            <w:tcW w:w="4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80" w:type="dxa"/>
            <w:vAlign w:val="bottom"/>
            <w:tcBorders>
              <w:bottom w:val="single" w:sz="8" w:color="0000EE"/>
            </w:tcBorders>
            <w:gridSpan w:val="17"/>
            <w:vMerge w:val="continue"/>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nine</w:t>
            </w: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60" w:type="dxa"/>
            <w:vAlign w:val="bottom"/>
            <w:gridSpan w:val="21"/>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EE"/>
                <w:w w:val="99"/>
              </w:rPr>
              <w:t>months ended September 30, 2022 and 2021</w:t>
            </w:r>
          </w:p>
        </w:tc>
        <w:tc>
          <w:tcPr>
            <w:tcW w:w="800" w:type="dxa"/>
            <w:vAlign w:val="bottom"/>
            <w:tcBorders>
              <w:top w:val="single" w:sz="8" w:color="0000EE"/>
              <w:bottom w:val="single" w:sz="8" w:color="0000EE"/>
            </w:tcBorders>
          </w:tcPr>
          <w:p>
            <w:pPr>
              <w:spacing w:after="0"/>
              <w:rPr>
                <w:sz w:val="17"/>
                <w:szCs w:val="17"/>
                <w:color w:val="auto"/>
              </w:rPr>
            </w:pPr>
          </w:p>
        </w:tc>
        <w:tc>
          <w:tcPr>
            <w:tcW w:w="280" w:type="dxa"/>
            <w:vAlign w:val="bottom"/>
            <w:tcBorders>
              <w:top w:val="single" w:sz="8" w:color="0000EE"/>
              <w:bottom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rPr>
                <w:sz w:val="17"/>
                <w:szCs w:val="17"/>
                <w:color w:val="auto"/>
              </w:rPr>
            </w:pPr>
          </w:p>
        </w:tc>
        <w:tc>
          <w:tcPr>
            <w:tcW w:w="80" w:type="dxa"/>
            <w:vAlign w:val="bottom"/>
            <w:tcBorders>
              <w:top w:val="single" w:sz="8" w:color="0000EE"/>
              <w:bottom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2022 and 2021</w:t>
            </w:r>
          </w:p>
        </w:tc>
        <w:tc>
          <w:tcPr>
            <w:tcW w:w="140" w:type="dxa"/>
            <w:vAlign w:val="bottom"/>
            <w:tcBorders>
              <w:top w:val="single" w:sz="8" w:color="0000EE"/>
              <w:bottom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rPr>
                <w:sz w:val="17"/>
                <w:szCs w:val="17"/>
                <w:color w:val="auto"/>
              </w:rPr>
            </w:pPr>
          </w:p>
        </w:tc>
        <w:tc>
          <w:tcPr>
            <w:tcW w:w="280" w:type="dxa"/>
            <w:vAlign w:val="bottom"/>
            <w:tcBorders>
              <w:top w:val="single" w:sz="8" w:color="0000EE"/>
              <w:bottom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2021</w:t>
            </w: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280" w:type="dxa"/>
            <w:vAlign w:val="bottom"/>
            <w:gridSpan w:val="5"/>
            <w:vMerge w:val="restart"/>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1"/>
        </w:trPr>
        <w:tc>
          <w:tcPr>
            <w:tcW w:w="70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280" w:type="dxa"/>
            <w:vAlign w:val="bottom"/>
            <w:gridSpan w:val="5"/>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020" w:type="dxa"/>
            <w:vAlign w:val="bottom"/>
            <w:tcBorders>
              <w:bottom w:val="single" w:sz="8" w:color="0000EE"/>
            </w:tcBorders>
            <w:gridSpan w:val="18"/>
            <w:vMerge w:val="continue"/>
          </w:tcPr>
          <w:p>
            <w:pPr>
              <w:spacing w:after="0"/>
              <w:rPr>
                <w:sz w:val="15"/>
                <w:szCs w:val="15"/>
                <w:color w:val="auto"/>
              </w:rPr>
            </w:pPr>
          </w:p>
        </w:tc>
        <w:tc>
          <w:tcPr>
            <w:tcW w:w="1280" w:type="dxa"/>
            <w:vAlign w:val="bottom"/>
            <w:gridSpan w:val="5"/>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
        </w:trPr>
        <w:tc>
          <w:tcPr>
            <w:tcW w:w="760" w:type="dxa"/>
            <w:vAlign w:val="bottom"/>
            <w:gridSpan w:val="3"/>
          </w:tcPr>
          <w:p>
            <w:pPr>
              <w:spacing w:after="0"/>
              <w:rPr>
                <w:sz w:val="3"/>
                <w:szCs w:val="3"/>
                <w:color w:val="auto"/>
              </w:rPr>
            </w:pPr>
          </w:p>
        </w:tc>
        <w:tc>
          <w:tcPr>
            <w:tcW w:w="4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gridSpan w:val="3"/>
          </w:tcPr>
          <w:p>
            <w:pPr>
              <w:spacing w:after="0"/>
              <w:rPr>
                <w:sz w:val="3"/>
                <w:szCs w:val="3"/>
                <w:color w:val="auto"/>
              </w:rPr>
            </w:pPr>
          </w:p>
        </w:tc>
        <w:tc>
          <w:tcPr>
            <w:tcW w:w="1980" w:type="dxa"/>
            <w:vAlign w:val="bottom"/>
            <w:gridSpan w:val="4"/>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280" w:type="dxa"/>
            <w:vAlign w:val="bottom"/>
            <w:gridSpan w:val="5"/>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4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rPr>
              <w:t>Item 3.</w:t>
            </w:r>
          </w:p>
        </w:tc>
        <w:tc>
          <w:tcPr>
            <w:tcW w:w="4380" w:type="dxa"/>
            <w:vAlign w:val="bottom"/>
            <w:tcBorders>
              <w:bottom w:val="single" w:sz="8" w:color="0000EE"/>
            </w:tcBorders>
            <w:gridSpan w:val="14"/>
          </w:tcPr>
          <w:p>
            <w:pPr>
              <w:ind w:left="20"/>
              <w:spacing w:after="0" w:line="174"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860" w:type="dxa"/>
            <w:vAlign w:val="bottom"/>
            <w:vMerge w:val="restart"/>
          </w:tcPr>
          <w:p>
            <w:pPr>
              <w:spacing w:after="0"/>
              <w:rPr>
                <w:sz w:val="16"/>
                <w:szCs w:val="16"/>
                <w:color w:val="auto"/>
              </w:rPr>
            </w:pPr>
          </w:p>
        </w:tc>
        <w:tc>
          <w:tcPr>
            <w:tcW w:w="2520" w:type="dxa"/>
            <w:vAlign w:val="bottom"/>
            <w:gridSpan w:val="7"/>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1"/>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rPr>
              <w:t>Item 4.</w:t>
            </w:r>
          </w:p>
        </w:tc>
        <w:tc>
          <w:tcPr>
            <w:tcW w:w="180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00" w:type="dxa"/>
            <w:vAlign w:val="bottom"/>
            <w:gridSpan w:val="3"/>
          </w:tcPr>
          <w:p>
            <w:pPr>
              <w:spacing w:after="0"/>
              <w:rPr>
                <w:sz w:val="5"/>
                <w:szCs w:val="5"/>
                <w:color w:val="auto"/>
              </w:rPr>
            </w:pPr>
          </w:p>
        </w:tc>
        <w:tc>
          <w:tcPr>
            <w:tcW w:w="1980" w:type="dxa"/>
            <w:vAlign w:val="bottom"/>
            <w:gridSpan w:val="4"/>
          </w:tcPr>
          <w:p>
            <w:pPr>
              <w:spacing w:after="0"/>
              <w:rPr>
                <w:sz w:val="5"/>
                <w:szCs w:val="5"/>
                <w:color w:val="auto"/>
              </w:rPr>
            </w:pPr>
          </w:p>
        </w:tc>
        <w:tc>
          <w:tcPr>
            <w:tcW w:w="860" w:type="dxa"/>
            <w:vAlign w:val="bottom"/>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40" w:type="dxa"/>
            <w:vAlign w:val="bottom"/>
            <w:tcBorders>
              <w:bottom w:val="single" w:sz="8" w:color="0000EE"/>
            </w:tcBorders>
            <w:vMerge w:val="continue"/>
          </w:tcPr>
          <w:p>
            <w:pPr>
              <w:spacing w:after="0"/>
              <w:rPr>
                <w:sz w:val="15"/>
                <w:szCs w:val="15"/>
                <w:color w:val="auto"/>
              </w:rPr>
            </w:pPr>
          </w:p>
        </w:tc>
        <w:tc>
          <w:tcPr>
            <w:tcW w:w="1800" w:type="dxa"/>
            <w:vAlign w:val="bottom"/>
            <w:tcBorders>
              <w:bottom w:val="single" w:sz="8" w:color="0000EE"/>
            </w:tcBorders>
            <w:gridSpan w:val="7"/>
            <w:vMerge w:val="continue"/>
          </w:tcPr>
          <w:p>
            <w:pPr>
              <w:spacing w:after="0"/>
              <w:rPr>
                <w:sz w:val="15"/>
                <w:szCs w:val="15"/>
                <w:color w:val="auto"/>
              </w:rPr>
            </w:pPr>
          </w:p>
        </w:tc>
        <w:tc>
          <w:tcPr>
            <w:tcW w:w="600" w:type="dxa"/>
            <w:vAlign w:val="bottom"/>
            <w:gridSpan w:val="3"/>
            <w:vMerge w:val="restart"/>
          </w:tcPr>
          <w:p>
            <w:pPr>
              <w:spacing w:after="0"/>
              <w:rPr>
                <w:sz w:val="15"/>
                <w:szCs w:val="15"/>
                <w:color w:val="auto"/>
              </w:rPr>
            </w:pPr>
          </w:p>
        </w:tc>
        <w:tc>
          <w:tcPr>
            <w:tcW w:w="2840" w:type="dxa"/>
            <w:vAlign w:val="bottom"/>
            <w:gridSpan w:val="5"/>
            <w:vMerge w:val="restart"/>
          </w:tcPr>
          <w:p>
            <w:pPr>
              <w:spacing w:after="0"/>
              <w:rPr>
                <w:sz w:val="15"/>
                <w:szCs w:val="15"/>
                <w:color w:val="auto"/>
              </w:rPr>
            </w:pPr>
          </w:p>
        </w:tc>
        <w:tc>
          <w:tcPr>
            <w:tcW w:w="2520" w:type="dxa"/>
            <w:vAlign w:val="bottom"/>
            <w:gridSpan w:val="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3"/>
          </w:tcPr>
          <w:p>
            <w:pPr>
              <w:jc w:val="center"/>
              <w:ind w:right="238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136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040" w:type="dxa"/>
            <w:vAlign w:val="bottom"/>
            <w:gridSpan w:val="4"/>
            <w:vMerge w:val="restart"/>
          </w:tcPr>
          <w:p>
            <w:pPr>
              <w:spacing w:after="0"/>
              <w:rPr>
                <w:sz w:val="21"/>
                <w:szCs w:val="21"/>
                <w:color w:val="auto"/>
              </w:rPr>
            </w:pPr>
          </w:p>
        </w:tc>
        <w:tc>
          <w:tcPr>
            <w:tcW w:w="2840" w:type="dxa"/>
            <w:vAlign w:val="bottom"/>
            <w:tcBorders>
              <w:top w:val="single" w:sz="8" w:color="0000EE"/>
              <w:bottom w:val="single" w:sz="8" w:color="0000EE"/>
            </w:tcBorders>
            <w:gridSpan w:val="5"/>
            <w:vMerge w:val="restart"/>
          </w:tcPr>
          <w:p>
            <w:pPr>
              <w:spacing w:after="0"/>
              <w:rPr>
                <w:sz w:val="21"/>
                <w:szCs w:val="21"/>
                <w:color w:val="auto"/>
              </w:rPr>
            </w:pPr>
          </w:p>
        </w:tc>
        <w:tc>
          <w:tcPr>
            <w:tcW w:w="2520" w:type="dxa"/>
            <w:vAlign w:val="bottom"/>
            <w:gridSpan w:val="7"/>
            <w:vMerge w:val="restart"/>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1"/>
        </w:trPr>
        <w:tc>
          <w:tcPr>
            <w:tcW w:w="16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30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00" w:type="dxa"/>
            <w:vAlign w:val="bottom"/>
            <w:tcBorders>
              <w:bottom w:val="single" w:sz="8" w:color="0000EE"/>
            </w:tcBorders>
            <w:gridSpan w:val="6"/>
            <w:vMerge w:val="continue"/>
          </w:tcPr>
          <w:p>
            <w:pPr>
              <w:spacing w:after="0"/>
              <w:rPr>
                <w:sz w:val="15"/>
                <w:szCs w:val="15"/>
                <w:color w:val="auto"/>
              </w:rPr>
            </w:pPr>
          </w:p>
        </w:tc>
        <w:tc>
          <w:tcPr>
            <w:tcW w:w="6700" w:type="dxa"/>
            <w:vAlign w:val="bottom"/>
            <w:gridSpan w:val="1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3"/>
        </w:trPr>
        <w:tc>
          <w:tcPr>
            <w:tcW w:w="760" w:type="dxa"/>
            <w:vAlign w:val="bottom"/>
            <w:gridSpan w:val="3"/>
          </w:tcPr>
          <w:p>
            <w:pPr>
              <w:spacing w:after="0"/>
              <w:rPr>
                <w:sz w:val="3"/>
                <w:szCs w:val="3"/>
                <w:color w:val="auto"/>
              </w:rPr>
            </w:pPr>
          </w:p>
        </w:tc>
        <w:tc>
          <w:tcPr>
            <w:tcW w:w="4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6700" w:type="dxa"/>
            <w:vAlign w:val="bottom"/>
            <w:gridSpan w:val="17"/>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4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rPr>
              <w:t>Item 6.</w:t>
            </w:r>
          </w:p>
        </w:tc>
        <w:tc>
          <w:tcPr>
            <w:tcW w:w="620" w:type="dxa"/>
            <w:vAlign w:val="bottom"/>
            <w:tcBorders>
              <w:bottom w:val="single" w:sz="8" w:color="0000EE"/>
            </w:tcBorders>
            <w:gridSpan w:val="4"/>
          </w:tcPr>
          <w:p>
            <w:pPr>
              <w:ind w:left="20"/>
              <w:spacing w:after="0" w:line="174" w:lineRule="exact"/>
              <w:rPr>
                <w:sz w:val="20"/>
                <w:szCs w:val="20"/>
                <w:color w:val="auto"/>
              </w:rPr>
            </w:pPr>
            <w:r>
              <w:rPr>
                <w:rFonts w:ascii="Times New Roman" w:cs="Times New Roman" w:eastAsia="Times New Roman" w:hAnsi="Times New Roman"/>
                <w:sz w:val="18"/>
                <w:szCs w:val="18"/>
                <w:color w:val="0000EE"/>
                <w:w w:val="96"/>
              </w:rPr>
              <w:t>Exhibits</w:t>
            </w:r>
          </w:p>
        </w:tc>
        <w:tc>
          <w:tcPr>
            <w:tcW w:w="7140" w:type="dxa"/>
            <w:vAlign w:val="bottom"/>
            <w:gridSpan w:val="18"/>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43"/>
        </w:trPr>
        <w:tc>
          <w:tcPr>
            <w:tcW w:w="5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400" w:type="dxa"/>
            <w:vAlign w:val="bottom"/>
            <w:gridSpan w:val="2"/>
          </w:tcPr>
          <w:p>
            <w:pPr>
              <w:spacing w:after="0"/>
              <w:rPr>
                <w:sz w:val="3"/>
                <w:szCs w:val="3"/>
                <w:color w:val="auto"/>
              </w:rPr>
            </w:pPr>
          </w:p>
        </w:tc>
        <w:tc>
          <w:tcPr>
            <w:tcW w:w="7140" w:type="dxa"/>
            <w:vAlign w:val="bottom"/>
            <w:gridSpan w:val="18"/>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83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Signatures</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right="199" w:firstLine="648"/>
        <w:spacing w:after="0" w:line="231"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GAVRETO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193" w:lineRule="exact"/>
        <w:rPr>
          <w:sz w:val="20"/>
          <w:szCs w:val="20"/>
          <w:color w:val="auto"/>
        </w:rPr>
      </w:pPr>
    </w:p>
    <w:p>
      <w:pPr>
        <w:ind w:left="1380" w:right="55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08" w:lineRule="exact"/>
        <w:rPr>
          <w:rFonts w:ascii="Times New Roman" w:cs="Times New Roman" w:eastAsia="Times New Roman" w:hAnsi="Times New Roman"/>
          <w:sz w:val="18"/>
          <w:szCs w:val="18"/>
          <w:color w:val="auto"/>
        </w:rPr>
      </w:pPr>
    </w:p>
    <w:p>
      <w:pPr>
        <w:ind w:left="1380" w:right="279" w:hanging="331"/>
        <w:spacing w:after="0" w:line="209"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expand out our commercial infrastructure and successfully launching, marketing and selling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GAVRETO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(pralsetinib) and any current and future drug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380" w:right="5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timelines and expectations for interactions with the U.S. Food and Drug Administration (FDA) and other regulatory authorities;</w:t>
      </w:r>
    </w:p>
    <w:p>
      <w:pPr>
        <w:spacing w:after="0" w:line="80" w:lineRule="exact"/>
        <w:rPr>
          <w:rFonts w:ascii="Times New Roman" w:cs="Times New Roman" w:eastAsia="Times New Roman" w:hAnsi="Times New Roman"/>
          <w:sz w:val="18"/>
          <w:szCs w:val="18"/>
          <w:color w:val="auto"/>
        </w:rPr>
      </w:pPr>
    </w:p>
    <w:p>
      <w:pPr>
        <w:ind w:left="1380" w:right="35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AYVAKIT in treating patients with non-advanced SM and advanced SM;</w:t>
      </w:r>
    </w:p>
    <w:p>
      <w:pPr>
        <w:spacing w:after="0" w:line="94" w:lineRule="exact"/>
        <w:rPr>
          <w:rFonts w:ascii="Times New Roman" w:cs="Times New Roman" w:eastAsia="Times New Roman" w:hAnsi="Times New Roman"/>
          <w:sz w:val="18"/>
          <w:szCs w:val="18"/>
          <w:color w:val="auto"/>
        </w:rPr>
      </w:pPr>
    </w:p>
    <w:p>
      <w:pPr>
        <w:ind w:left="1380" w:right="41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GAVRETO and any current and future drug candidates for which we receive marketing approval;</w:t>
      </w:r>
    </w:p>
    <w:p>
      <w:pPr>
        <w:spacing w:after="0" w:line="94"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and any current and future drug candidates for which we receive marketing approval;</w:t>
      </w:r>
    </w:p>
    <w:p>
      <w:pPr>
        <w:spacing w:after="0" w:line="80"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as monotherapies or in combination with other agents and research and development programs;</w:t>
      </w:r>
    </w:p>
    <w:p>
      <w:pPr>
        <w:spacing w:after="0" w:line="10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57" w:lineRule="exact"/>
        <w:rPr>
          <w:rFonts w:ascii="Times New Roman" w:cs="Times New Roman" w:eastAsia="Times New Roman" w:hAnsi="Times New Roman"/>
          <w:sz w:val="18"/>
          <w:szCs w:val="18"/>
          <w:color w:val="auto"/>
        </w:rPr>
      </w:pPr>
    </w:p>
    <w:p>
      <w:pPr>
        <w:ind w:left="1380" w:right="339" w:hanging="331"/>
        <w:spacing w:after="0" w:line="258"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15"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94"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pacing w:after="0" w:line="94" w:lineRule="exact"/>
        <w:rPr>
          <w:rFonts w:ascii="Times New Roman" w:cs="Times New Roman" w:eastAsia="Times New Roman" w:hAnsi="Times New Roman"/>
          <w:sz w:val="18"/>
          <w:szCs w:val="18"/>
          <w:color w:val="auto"/>
        </w:rPr>
      </w:pPr>
    </w:p>
    <w:p>
      <w:pPr>
        <w:ind w:left="1380" w:right="259" w:hanging="331"/>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59"/>
        <w:spacing w:after="0" w:line="258" w:lineRule="auto"/>
        <w:rPr>
          <w:sz w:val="20"/>
          <w:szCs w:val="20"/>
          <w:color w:val="auto"/>
        </w:rPr>
      </w:pPr>
      <w:r>
        <w:rPr>
          <w:rFonts w:ascii="Times New Roman" w:cs="Times New Roman" w:eastAsia="Times New Roman" w:hAnsi="Times New Roman"/>
          <w:sz w:val="18"/>
          <w:szCs w:val="18"/>
          <w:color w:val="auto"/>
        </w:rPr>
        <w:t>Greater China, our collaboration with Zai Lab to develop and commercialize BLU-945, BLU-701, including their respective back-up forms and certain other forms thereof, as inhibitors of epidermal growth factor receptor (EGFR), and our collaboration with Proteovant Therapeutics to discover and advance novel targeted protein degrader therapies, as well as our ability to maintain these collaborations and establish additional strategic collaborations;</w:t>
      </w:r>
    </w:p>
    <w:p>
      <w:pPr>
        <w:spacing w:after="0" w:line="102" w:lineRule="exact"/>
        <w:rPr>
          <w:sz w:val="20"/>
          <w:szCs w:val="20"/>
          <w:color w:val="auto"/>
        </w:rPr>
      </w:pPr>
    </w:p>
    <w:p>
      <w:pPr>
        <w:ind w:left="1380" w:right="6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to develop and commercialize BLU-782 for fibrodysplasia ossificans progressiva;</w:t>
      </w:r>
    </w:p>
    <w:p>
      <w:pPr>
        <w:spacing w:after="0" w:line="94" w:lineRule="exact"/>
        <w:rPr>
          <w:rFonts w:ascii="Times New Roman" w:cs="Times New Roman" w:eastAsia="Times New Roman" w:hAnsi="Times New Roman"/>
          <w:sz w:val="18"/>
          <w:szCs w:val="18"/>
          <w:color w:val="auto"/>
        </w:rPr>
      </w:pPr>
    </w:p>
    <w:p>
      <w:pPr>
        <w:ind w:left="1380" w:right="319" w:hanging="331"/>
        <w:spacing w:after="0" w:line="255"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strategic financing transactions with Garnich Adjacent Investments S.a.r.l. (Sixth Street Partners) and Royalty Pharma Investments 2019 ICAV (Royalty Pharma) and the potential acceleration of our commercial products and pipeline resulting from the non-dilutive growth capital;</w:t>
      </w:r>
    </w:p>
    <w:p>
      <w:pPr>
        <w:spacing w:after="0" w:line="105" w:lineRule="exact"/>
        <w:rPr>
          <w:rFonts w:ascii="Times New Roman" w:cs="Times New Roman" w:eastAsia="Times New Roman" w:hAnsi="Times New Roman"/>
          <w:sz w:val="18"/>
          <w:szCs w:val="18"/>
          <w:color w:val="auto"/>
        </w:rPr>
      </w:pPr>
    </w:p>
    <w:p>
      <w:pPr>
        <w:ind w:left="1380" w:right="39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license agreement with IDRx, Inc. (IDRx) to develop our development candidate-stage KIT exon 13 inhibitor, IDRX-73 (formerly known as BLU-654), for the treatment of drug-resistant mutations of non-PDGFR-driven gastrointestinal stromal tumor (GIST);</w:t>
      </w:r>
    </w:p>
    <w:p>
      <w:pPr>
        <w:spacing w:after="0" w:line="10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current or future drugs or drug candidates;</w:t>
      </w:r>
    </w:p>
    <w:p>
      <w:pPr>
        <w:spacing w:after="0" w:line="157"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80"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our corporate collaborations, and potential future licensing fees, milestones and royalty payments under existing or future agreements;</w:t>
      </w:r>
    </w:p>
    <w:p>
      <w:pPr>
        <w:spacing w:after="0" w:line="9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57"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the FDA, such as orphan drug, fast track and breakthrough therapy designation or priority review; and</w:t>
      </w:r>
    </w:p>
    <w:p>
      <w:pPr>
        <w:spacing w:after="0" w:line="80" w:lineRule="exact"/>
        <w:rPr>
          <w:rFonts w:ascii="Times New Roman" w:cs="Times New Roman" w:eastAsia="Times New Roman" w:hAnsi="Times New Roman"/>
          <w:sz w:val="18"/>
          <w:szCs w:val="18"/>
          <w:color w:val="auto"/>
        </w:rPr>
      </w:pPr>
    </w:p>
    <w:p>
      <w:pPr>
        <w:ind w:left="1380" w:right="139" w:hanging="331"/>
        <w:spacing w:after="0" w:line="25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our current or future drug candidates or third party products intended for use as combination therapies or as comparator agents, and the launch, marketing, sale and commercial supply of AYVAKIT/AYVAKYT, GAVRETO and any current or future drug candidates for which we receive marketing approval.</w:t>
      </w:r>
    </w:p>
    <w:p>
      <w:pPr>
        <w:spacing w:after="0" w:line="10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1A,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0" w:lineRule="exact"/>
        <w:rPr>
          <w:sz w:val="20"/>
          <w:szCs w:val="20"/>
          <w:color w:val="auto"/>
        </w:rPr>
      </w:pPr>
    </w:p>
    <w:p>
      <w:pPr>
        <w:ind w:left="60" w:right="139" w:firstLine="648"/>
        <w:spacing w:after="0" w:line="275"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71"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94"/>
        </w:trPr>
        <w:tc>
          <w:tcPr>
            <w:tcW w:w="66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291,430</w:t>
            </w:r>
          </w:p>
        </w:tc>
        <w:tc>
          <w:tcPr>
            <w:tcW w:w="20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209,948</w:t>
            </w:r>
          </w:p>
        </w:tc>
      </w:tr>
      <w:tr>
        <w:trPr>
          <w:trHeight w:val="176"/>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845,535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267,166</w:t>
            </w: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25,155</w:t>
            </w:r>
          </w:p>
        </w:tc>
      </w:tr>
      <w:tr>
        <w:trPr>
          <w:trHeight w:val="176"/>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11,875</w:t>
            </w: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21,817</w:t>
            </w:r>
          </w:p>
        </w:tc>
      </w:tr>
      <w:tr>
        <w:trPr>
          <w:trHeight w:val="176"/>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18,064</w:t>
            </w:r>
          </w:p>
        </w:tc>
      </w:tr>
      <w:tr>
        <w:trPr>
          <w:trHeight w:val="16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1,227,665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554,025</w:t>
            </w: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557,529</w:t>
            </w: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w:t>
            </w: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90,162</w:t>
            </w: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14,638</w:t>
            </w:r>
          </w:p>
        </w:tc>
      </w:tr>
      <w:tr>
        <w:trPr>
          <w:trHeight w:val="20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1,458,392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1,252,225</w:t>
            </w:r>
          </w:p>
        </w:tc>
      </w:tr>
      <w:tr>
        <w:trPr>
          <w:trHeight w:val="156"/>
        </w:trPr>
        <w:tc>
          <w:tcPr>
            <w:tcW w:w="66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7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w:t>
            </w:r>
          </w:p>
        </w:tc>
      </w:tr>
      <w:tr>
        <w:trPr>
          <w:trHeight w:val="175"/>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121,829</w:t>
            </w: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r>
      <w:tr>
        <w:trPr>
          <w:trHeight w:val="175"/>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deferred revenue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11,510</w:t>
            </w:r>
          </w:p>
        </w:tc>
      </w:tr>
      <w:tr>
        <w:trPr>
          <w:trHeight w:val="17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liabilities related to the sale of future royalties and revenues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Current portion of term loan</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175,510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149,765</w:t>
            </w: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95,495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103,315</w:t>
            </w: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25,066</w:t>
            </w: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Liabilities related to the sale of future royalties and revenues, net of current portion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403,174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net of current portion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123,060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3,344</w:t>
            </w:r>
          </w:p>
        </w:tc>
      </w:tr>
      <w:tr>
        <w:trPr>
          <w:trHeight w:val="16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818,085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281,490</w:t>
            </w: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$0.001 par value; 5,000,000 shares authorized; no shares issued and outstanding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9"/>
        </w:trPr>
        <w:tc>
          <w:tcPr>
            <w:tcW w:w="66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Common stock, $0.001 par value; 120,000,000 shares authorized; 59,808,492 and 59,141,086 shares issued and</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9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2022 and December 31, 2021, respectively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2,329,385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2,250,250</w:t>
            </w: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r>
      <w:tr>
        <w:trPr>
          <w:trHeight w:val="17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(1,674,312)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(1,275,441)</w:t>
            </w:r>
          </w:p>
        </w:tc>
      </w:tr>
      <w:tr>
        <w:trPr>
          <w:trHeight w:val="16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640,307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970,735</w:t>
            </w:r>
          </w:p>
        </w:tc>
      </w:tr>
      <w:tr>
        <w:trPr>
          <w:trHeight w:val="169"/>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1,458,392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1,252,225</w:t>
            </w: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(325,031)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(325,399)</w:t>
            </w: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losses on available-for-sale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(409,564)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(325,857)</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 loss per</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59,758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58,647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 basic and diluted</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44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0" w:right="59"/>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Blueprint Medicines Corporation Condensed Consolidated Statements of Stockholders’ Equity (in thousands, except share data) </w:t>
      </w:r>
      <w:r>
        <w:rPr>
          <w:rFonts w:ascii="Times New Roman" w:cs="Times New Roman" w:eastAsia="Times New Roman" w:hAnsi="Times New Roman"/>
          <w:sz w:val="18"/>
          <w:szCs w:val="18"/>
          <w:b w:val="1"/>
          <w:bCs w:val="1"/>
          <w:i w:val="1"/>
          <w:iCs w:val="1"/>
          <w:color w:val="auto"/>
        </w:rPr>
        <w:t>(Unaudited)</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77"/>
              <w:spacing w:after="0" w:line="144"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7"/>
              <w:spacing w:after="0" w:line="144"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59,141,086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2,250,250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(4,133)</w:t>
            </w: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(1,275,441)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414,888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(105,999)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2022</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59,555,974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2,275,156</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(12,110)</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(1,381,440)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881,666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June 30, 2022</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59,688,295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2,303,087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(14,248)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(1,541,149)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747,750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September 30, 2022</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59,808,492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2,329,385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(14,826)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(1,674,312)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640,307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57,793,533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2,106,600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w:t>
            </w: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(631,356)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2021</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58,277,412</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2,136,130</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(5,097)</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(731,070)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1,400,021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June 30,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58,554,559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2,174,094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(839,514)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1,328,804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260,107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September 30,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58,814,666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2,209,456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(956,755)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1,247,087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(398,871)</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(325,399)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customer consideration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0" w:type="dxa"/>
            <w:vAlign w:val="bottom"/>
          </w:tcPr>
          <w:p>
            <w:pPr>
              <w:spacing w:after="0"/>
              <w:rPr>
                <w:sz w:val="1"/>
                <w:szCs w:val="1"/>
                <w:color w:val="auto"/>
              </w:rPr>
            </w:pPr>
          </w:p>
        </w:tc>
      </w:tr>
      <w:tr>
        <w:trPr>
          <w:trHeight w:val="210"/>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(514,906)</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637,831</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the sale of future royalties and revenues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term loan facility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(130,658)</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689,804</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558,764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taxes, net</w:t>
            </w: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r>
      <w:tr>
        <w:trPr>
          <w:trHeight w:val="17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291,430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553,593</w:t>
            </w:r>
          </w:p>
        </w:tc>
        <w:tc>
          <w:tcPr>
            <w:tcW w:w="80" w:type="dxa"/>
            <w:vAlign w:val="bottom"/>
            <w:shd w:val="clear" w:color="auto" w:fill="CCEEFF"/>
          </w:tcPr>
          <w:p>
            <w:pPr>
              <w:spacing w:after="0"/>
              <w:rPr>
                <w:sz w:val="15"/>
                <w:szCs w:val="15"/>
                <w:color w:val="auto"/>
              </w:rPr>
            </w:pPr>
          </w:p>
        </w:tc>
      </w:tr>
      <w:tr>
        <w:trPr>
          <w:trHeight w:val="17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80" w:type="dxa"/>
            <w:vAlign w:val="bottom"/>
            <w:tcBorders>
              <w:bottom w:val="single" w:sz="8" w:color="CCEEFF"/>
            </w:tcBorders>
          </w:tcPr>
          <w:p>
            <w:pPr>
              <w:spacing w:after="0"/>
              <w:rPr>
                <w:sz w:val="15"/>
                <w:szCs w:val="15"/>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condensed consolidated statements of cash flows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296,623</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558,764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w:t>
      </w:r>
    </w:p>
    <w:p>
      <w:pPr>
        <w:spacing w:after="0" w:line="187"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Company has two approved precision therapies and is globally advancing multiple programs for systemic mastocytosis (SM), lung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the Company had cash, cash equivalents and marketable securities of $1,192.6 million. Based on the Company’s current operating plans, the Company anticipates that its existing cash, cash equivalents and marketable securities will </w:t>
      </w:r>
      <w:r>
        <w:rPr>
          <w:rFonts w:ascii="Times New Roman" w:cs="Times New Roman" w:eastAsia="Times New Roman" w:hAnsi="Times New Roman"/>
          <w:sz w:val="18"/>
          <w:szCs w:val="18"/>
          <w:color w:val="212529"/>
        </w:rPr>
        <w:t>be sufficient to enable it to fund its current operations for at least the next twelve months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issuance of the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2021 and notes thereto included in the Company’s Annual Report on Form 10-K for the year ended December 31, 2021, filed with the SEC on February 17, 2022 (2021 Annual Report on Form 10-K).</w:t>
      </w:r>
    </w:p>
    <w:p>
      <w:pPr>
        <w:spacing w:after="0" w:line="19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September 30, 2022, the results of its operations for the three and nine months ended September 30, 2022 and 2021, stockholder’s equity for the three and nine months ended September 30, 2022 and 2021 and cash flows for nine months ended September 30, 2022 and 2021. Such adjustments are of a normal and recurring nature. The results for the three and nine months ended September 30, 2022 are not necessarily indicative of the results for the year ending December 31, 2022 or for any future period.</w:t>
      </w:r>
    </w:p>
    <w:p>
      <w:pPr>
        <w:spacing w:after="0" w:line="19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Lengo Therapeutics, Inc. (Lengo), which was acquired on December 30, 2021, was dissolved in June 2022. All intercompany transactions and balances have been eliminated.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The length of time and full extent to which the ongoing COVID-19 pandemic will directly or indirectly impact the Company’s business, results of operations and financial condition, including revenues, expenses, reserves and allowances, manufacturing and supply, clinical trials, research and development costs and employee-related amounts, will depend on future developments that are highly uncertain, subject to change and difficult to predict, including as a result of new information that may emerge concerning COVID-19, including the identification and spread of new variants,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 The Russian invasion of Ukraine has not had a material impact on the Company’s business, results of operations and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279" w:firstLine="648"/>
        <w:spacing w:after="0" w:line="280" w:lineRule="auto"/>
        <w:rPr>
          <w:sz w:val="20"/>
          <w:szCs w:val="20"/>
          <w:color w:val="auto"/>
        </w:rPr>
      </w:pPr>
      <w:r>
        <w:rPr>
          <w:rFonts w:ascii="Times New Roman" w:cs="Times New Roman" w:eastAsia="Times New Roman" w:hAnsi="Times New Roman"/>
          <w:sz w:val="17"/>
          <w:szCs w:val="17"/>
          <w:color w:val="auto"/>
        </w:rPr>
        <w:t>The significant accounting policies used in preparation of these condensed consolidated financial statements for the three and nine months ended September 30, 2022 are consistent with those discussed in Note 2 to the consolidated financial statements in the 2021 Annual Report on Form 10-K, with the exception of the below new policies.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are carried at cost, less any impairments, plus or minus changes resulting from observable price 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2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accounts for net proceeds from sales of the Company’s rights to receive future royalty payments and from sales of future revenues as liabilities if the Company has significant continuing involvement in the generation of the related future cash flows. Interest on the liabilities related to the sale of future royalties and revenues will be recognized using the effective interest rate method over the life of the related royalty or revenue stream. The liabilities related to the sale of future royalties and revenues and the related interest expenses are based on the Company’s current estimates of future royalties or revenues as well as commercial milestones expected to be achieved and received over the life of the arrangement, which the Company determines by using forecasts of the underlying drug products of the underlying regions. The Company will periodically assess the expected payments and to the extent the amount or timing of the future estimated payments is materially different than previous estimates, the Company will account for any such change by adjusting the carrying value of the liabilities related to the sale of future royalties and revenues, and prospectively recognizing the related interest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FASB issued </w:t>
      </w:r>
      <w:r>
        <w:rPr>
          <w:rFonts w:ascii="Times New Roman" w:cs="Times New Roman" w:eastAsia="Times New Roman" w:hAnsi="Times New Roman"/>
          <w:sz w:val="18"/>
          <w:szCs w:val="18"/>
          <w:i w:val="1"/>
          <w:iCs w:val="1"/>
          <w:color w:val="auto"/>
        </w:rPr>
        <w:t>ASU No. 2022-03, Fair Value Measurement (Topic 820) – 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Equity Securities Subject to Contractual Sale Restrictions</w:t>
      </w:r>
      <w:r>
        <w:rPr>
          <w:rFonts w:ascii="Times New Roman" w:cs="Times New Roman" w:eastAsia="Times New Roman" w:hAnsi="Times New Roman"/>
          <w:sz w:val="18"/>
          <w:szCs w:val="18"/>
          <w:color w:val="auto"/>
        </w:rPr>
        <w:t>. This standard clarifies that a contractual restriction on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equity security is not considered part of the unit of account of the equity security and, therefore, is not considered in measuring fair value. This standard will be effective for the Company on January 1, 2024, and is not expected to have a material impact on the Company’s condensed consolidated financial statements and related disclosures.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Financing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Royalty Pharma Purchase and Sale Agreement</w:t>
      </w:r>
    </w:p>
    <w:p>
      <w:pPr>
        <w:spacing w:after="0" w:line="227" w:lineRule="exact"/>
        <w:rPr>
          <w:sz w:val="20"/>
          <w:szCs w:val="20"/>
          <w:color w:val="auto"/>
        </w:rPr>
      </w:pPr>
    </w:p>
    <w:p>
      <w:pPr>
        <w:ind w:left="60" w:right="219" w:firstLine="648"/>
        <w:spacing w:after="0" w:line="275" w:lineRule="auto"/>
        <w:rPr>
          <w:sz w:val="20"/>
          <w:szCs w:val="20"/>
          <w:color w:val="auto"/>
        </w:rPr>
      </w:pPr>
      <w:r>
        <w:rPr>
          <w:rFonts w:ascii="Times New Roman" w:cs="Times New Roman" w:eastAsia="Times New Roman" w:hAnsi="Times New Roman"/>
          <w:sz w:val="17"/>
          <w:szCs w:val="17"/>
          <w:color w:val="auto"/>
        </w:rPr>
        <w:t>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and U.S. territory under the terms of the Roche pralsetinib collaboration agreement.</w:t>
      </w:r>
    </w:p>
    <w:p>
      <w:pPr>
        <w:spacing w:after="0" w:line="17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Although the Company sold all of the rights to receive royalties on the net sales of GAVRETO worldwide excluding the CStone territory and U.S. territory to Royalty Pharma, the Company continues to co-develop pralsetinib with Roche globally and is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loss. Net proceeds from the transaction were recorded as a liability related to sale of future royalties and revenues on the consolidated balance sheet. The Company will accrete the $175.0 million, net of transaction costs of $3.8 million, to the total of these royalties as interest expense using the effective interest method over the estimated life of the arrangement. As of September 30, 2022, the Company’s estimate of this total interest expense resulted in an effective annual interest rate of 6.3%. These estimates contain assumptions that impact the amount recorded and the interest expense that will be recognized in future periods.</w:t>
      </w:r>
    </w:p>
    <w:p>
      <w:pPr>
        <w:spacing w:after="0" w:line="18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payments are made to Royalty Pharma, the balance of the liability will be effectively repaid over the life of the Royalty Purchase Agreement. In order to determine the amortization of the liability, the Company estimates the total amount of future royalty payments to be paid to Royalty Pharma over the life of the arrangement. The exact amount of repayment is likely to change each reporting period. A significant increase or decrease in GAVRETO’s net revenue of the underlying territory will materially impact the liability related to this arrangement, interest expense and the time period for repayment. The Company will periodically assess the expected payments to Royalty Pharma and will prospectively adjust the amortization of the liability related to this arrangement for material changes in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carrying value of the liability related to this arrangement was $173.6 million. The following table shows the activity within the liability account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closing costs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September 30, 2022</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173,602</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Pursuant to the Royalty Purchase Agreement, the Company is eligible to receive certain milestone payments totaling up to $165.0 million, subject to the achievement of specified net sales milestones by Roche. The potential milestone payments will be added to the carrying value of the liability related to this arrangement when the milestones are achieved and received.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Arrangements with Sixth Street Partners</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2022, the Company closed two transactions pursuant to a purchase and sale agreement (Future Revenue Purchase Agreement) and a financing transaction for up to $660.0 million (Financing Agreement) with Sixth Street Partners (Sixth Street).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Purchase and Sale Agreement</w:t>
      </w:r>
    </w:p>
    <w:p>
      <w:pPr>
        <w:spacing w:after="0" w:line="227" w:lineRule="exact"/>
        <w:rPr>
          <w:sz w:val="20"/>
          <w:szCs w:val="20"/>
          <w:color w:val="auto"/>
        </w:rPr>
      </w:pPr>
    </w:p>
    <w:p>
      <w:pPr>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7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 continues to own the research, development, manufacturing and commercialization of AYVAKIT/ AYVAKYT and if it is approved, BLU-263, and has significant continuing involvement in the generation of the cash flows under the Future Revenue Purchase Agreement. Therefore, the Company continues to account for any revenue earned from worldwide product sales of AYVAKIT/ AYVAKYT and, if it is approved, BLU-263, on its consolidated statements of operations and comprehensive loss. Net proceeds from the transaction were recorded as a liability related to sale of future liabilities and revenues on the consolidated balance sheet. The Company will accrete the $250.0 million, net of transaction costs of $5.4 million, to the total of these future payments as interest expense using the effective interest method over the estimated life of the arrangement.</w:t>
      </w:r>
    </w:p>
    <w:p>
      <w:pPr>
        <w:spacing w:after="0" w:line="19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As payments are made to Sixth Street, the balance of the liability will be effectively repaid over the life of the Future Revenue Purchase Agreement. In order to determine the amortization of the liability, the Company estimates the total amount of future revenue payments to be paid to Sixth Street over the life of the arrangement. The exact amount of repayment is likely to change each reporting period. A significant increase or decrease in worldwide product sales of AYVAKIT/ AYVAKYT and, if it is approved, BLU-263, will materially impact the liability related to this arrangement, interest expense and the time period for repayment. The Company will periodically assess the expected payments to Sixth Street and will prospectively adjust the amortization of the liability related to this arrangement for material changes in such payments. As of September 30, 2022, the Company’s estimate of this total interest expense resulted in an effective annual interest rate of 11.5%. These estimates contain assumptions that impact the amount recorded and the interest expense that will be recognized in future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carrying value of the liability related to this arrangement was $250.1 million. The following table shows the activity within the liability account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future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closing costs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September 30, 2022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250,051</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Term Loan</w:t>
      </w:r>
    </w:p>
    <w:p>
      <w:pPr>
        <w:spacing w:after="0" w:line="227" w:lineRule="exact"/>
        <w:rPr>
          <w:sz w:val="20"/>
          <w:szCs w:val="20"/>
          <w:color w:val="auto"/>
        </w:rPr>
      </w:pPr>
    </w:p>
    <w:p>
      <w:pPr>
        <w:ind w:left="60" w:right="219" w:firstLine="648"/>
        <w:spacing w:after="0" w:line="251" w:lineRule="auto"/>
        <w:rPr>
          <w:sz w:val="20"/>
          <w:szCs w:val="20"/>
          <w:color w:val="auto"/>
        </w:rPr>
      </w:pPr>
      <w:r>
        <w:rPr>
          <w:rFonts w:ascii="Times New Roman" w:cs="Times New Roman" w:eastAsia="Times New Roman" w:hAnsi="Times New Roman"/>
          <w:sz w:val="18"/>
          <w:szCs w:val="18"/>
          <w:color w:val="auto"/>
        </w:rPr>
        <w:t>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The term loans will mature on June 30, 2028 and bear interest at a variable rate equal to either the Secured Overnight Financing Rate (SOFR) plus six and one half percent (6.50%) or the base rate plus five and one half percent (5.50%), subject to a floor of one percent (1%) and two percent</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 with respect to the SOFR and base rate, respectively.</w:t>
      </w:r>
    </w:p>
    <w:p>
      <w:pPr>
        <w:spacing w:after="0" w:line="20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part of the Financing Agreement with Sixth Street Partners, the Company received gross proceeds of $150.0 million as a term loan in July 2022 and incurred an aggregate of $12.2 million of debt discounts and transaction costs, which have been recorded as a reduction to the carrying amount of the debt on the Company’s consolidated balance sheet and will be amortized as additional interest expenses using the effective interest rate method over the period from issuance through maturity. As of September 30, 2022, the Company’s estimate of the total interest expense resulted in an effective annual interest rate of 12.0%. The carrying amount of the debt as of September 30, 2022 is subject to variable interest rates, which are based on current market rates, and as such, approximates fair value.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1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discounts and capitalized closing costs</w:t>
            </w:r>
          </w:p>
        </w:tc>
        <w:tc>
          <w:tcPr>
            <w:tcW w:w="1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1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September 30, 2022</w:t>
            </w: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138,350</w:t>
            </w:r>
          </w:p>
        </w:tc>
      </w:tr>
      <w:tr>
        <w:trPr>
          <w:trHeight w:val="20"/>
        </w:trPr>
        <w:tc>
          <w:tcPr>
            <w:tcW w:w="5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Company’s obligations under the Financing Agreement will be secured, subject to certain exceptions, by security interests in the substantially all of the Company’s assets and the Company’s certain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September 30, 2022 and December 31, 2021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5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0" w:type="dxa"/>
            <w:vAlign w:val="bottom"/>
          </w:tcPr>
          <w:p>
            <w:pPr>
              <w:spacing w:after="0"/>
              <w:rPr>
                <w:sz w:val="19"/>
                <w:szCs w:val="19"/>
                <w:color w:val="auto"/>
              </w:rPr>
            </w:pPr>
          </w:p>
        </w:tc>
        <w:tc>
          <w:tcPr>
            <w:tcW w:w="4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obligations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485,647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915,070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5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4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328,801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827,383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As of September 30, 2022, the Company held 103 debt securities that were in an unrealized loss position with an aggregate fair value of $901.2 million. Of the 103 debt securities, 33 were in an unrealized loss position for more than twelve months with an aggregate fair value of $346.4 million. As of December 31, 2021, the Company held 74 debt securities that were in an unrealized loss position with an aggregate fair value of $750.5 million. As of December 31, 2021,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three and nine months ended September 30, 2022 and 2021.</w:t>
      </w:r>
    </w:p>
    <w:p>
      <w:pPr>
        <w:spacing w:after="0" w:line="192"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2022, 10 securities with an aggregate fair value of $55.7 million had remaining maturities between one year and five years. As of December 31, 2021, 56 </w:t>
      </w:r>
      <w:r>
        <w:rPr>
          <w:rFonts w:ascii="Times New Roman" w:cs="Times New Roman" w:eastAsia="Times New Roman" w:hAnsi="Times New Roman"/>
          <w:sz w:val="18"/>
          <w:szCs w:val="18"/>
          <w:color w:val="212529"/>
        </w:rPr>
        <w:t>securities with an aggregate fair value of $557.5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had remaining maturities between one year and five years.</w:t>
      </w:r>
    </w:p>
    <w:p>
      <w:pPr>
        <w:spacing w:after="0" w:line="16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212529"/>
        </w:rPr>
        <w:t>The Company received proceeds of $90.5 million and $170.1 million from maturities of debt securities for the three and nine months ended September 30, 2022, respectively, and $237.3 million and $637.8 million for the three and nine months ended September 30, 2021, respectively. The Company did not realize any gains or losses from maturities of debt securities for the three and nine months ended September 30, 2022 and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48"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equivalents and marketable securities measured at fair value on a recurring basis as of September 30, 2022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$ 274,622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1,175,832</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$ 753,416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422,416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equivalents and marketable securities measured at fair value on a recurring basis as of December 31,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400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5"/>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8"/>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$ 118,880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943,575</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$ 446,432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Product Revenue Reserves and Allowances</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systemic mastocytosis (Advanced SM), including aggressive SM (ASM), SM with an associated hematological neoplasm (SM-AHN) and mast cell leukemia (MCL).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pacing w:after="0" w:line="1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recorded net product revenue from the U.S. product sales of GAVRETO in 2021 until it transferred, on July 1, 2021, certain responsibilities associated with product sales to customers, pricing and distribution matters related to U.S. product sales of GAVRETO to its collaboration partner. The Company did not record any net product revenue from product sales of GAVRETO subsequent to this transition date. For additional information, see Note 10,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to our unaudited condensed consolidated financial statements.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revenue recognized from product sales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2021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48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9"/>
                <w:szCs w:val="19"/>
                <w:color w:val="auto"/>
              </w:rPr>
            </w:pPr>
          </w:p>
        </w:tc>
        <w:tc>
          <w:tcPr>
            <w:tcW w:w="148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5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AYVAKIT/AYVAKYT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1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w:t>
            </w: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nine months ended September 30,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6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product sales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related to prior periods sales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09"/>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September 30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total reserves that are included in the Company’s unaudited condensed consolidated balance sheets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December 31, 2021, are summarized as follows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4"/>
        </w:trPr>
        <w:tc>
          <w:tcPr>
            <w:tcW w:w="6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09"/>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at September 30, 2022 and December 31,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67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The Company did not recognize any material write-down for the three and nine months ended September 30, 2022. For the three and nine months ended September 30, 2021, the Company recorded a write-down of $0.4 million and $0.8 million, respectively. Long-term inventory, which primarily consists of work in process and raw materials, is included in other assets in the unaudited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Restricted Cash</w:t>
      </w:r>
    </w:p>
    <w:p>
      <w:pPr>
        <w:spacing w:after="0" w:line="229"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At September 30, 2022 and December 31, 2021, $5.2 million and $5.2 million, respectively, of the Company’s cash is restricted by a bank primarily related to security deposits for the Company’s building lease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Revenue-related reserves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121,829</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56"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license agreement with IDRx, Inc. (IDRx), pursuant to which the Company granted IDRx an exclusive, worldwide, royalty-bearing license to exploit the Company’s internally discovered KIT exon 13 inhibitor, IDRX-73 (formerly known as BLU-654) (IDRx License Agreement). IDRx is a clinical-stage biopharmaceutical company and among IDRx’s founders are Alexis Borisy, George Demetri, M.D., and Nicholas Lydon, Ph.D., each of whom currently serve as members of the Company’s board of directors. Due to these relationships, the transaction with IDRx is a related party transaction.</w:t>
      </w:r>
    </w:p>
    <w:p>
      <w:pPr>
        <w:spacing w:after="0" w:line="23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IDRx License Agreement, the Company also entered into a stock purchase agreement with IDRx (IDRx Stock Purchase Agreement), pursuant to which the Company received 4,509,105 shares of IDRx’s Series A preferred stock and the Company has the right to receive additional shares of IDRX’s Series A preferred stock through an anti-dilution provision subject to a defined financing cap.</w:t>
      </w:r>
    </w:p>
    <w:p>
      <w:pPr>
        <w:spacing w:after="0" w:line="16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tenth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spacing w:after="0" w:line="181" w:lineRule="exact"/>
        <w:rPr>
          <w:sz w:val="20"/>
          <w:szCs w:val="20"/>
          <w:color w:val="auto"/>
        </w:rPr>
      </w:pPr>
    </w:p>
    <w:p>
      <w:pPr>
        <w:ind w:left="60" w:right="639" w:firstLine="648"/>
        <w:spacing w:after="0" w:line="289" w:lineRule="auto"/>
        <w:rPr>
          <w:sz w:val="20"/>
          <w:szCs w:val="20"/>
          <w:color w:val="auto"/>
        </w:rPr>
      </w:pPr>
      <w:r>
        <w:rPr>
          <w:rFonts w:ascii="Times New Roman" w:cs="Times New Roman" w:eastAsia="Times New Roman" w:hAnsi="Times New Roman"/>
          <w:sz w:val="17"/>
          <w:szCs w:val="17"/>
          <w:color w:val="auto"/>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shares of IDRx’s Series A preferred stock and the anti-dilution right to receive additional shares should be attributed to the transaction price of the IDRx License Agreement.</w:t>
      </w:r>
    </w:p>
    <w:p>
      <w:pPr>
        <w:spacing w:after="0" w:line="162"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spacing w:after="0" w:line="19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IDRx License Agreement at the contract inception was determined to be $27.5 million and recorded as license revenue-related party on the consolidated statements of operations and comprehensive loss. The fair value was derived from IDRx’s most recent financing transaction with unrelated investors. All potential milestone payments that the Company is eligible to receive under the IDRx License Agreement have been excluded from the transaction price. The Company will reevaluate the transaction price for inclusion of milestone payments and royalties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spacing w:after="0" w:line="18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Company concluded the preferred stock investment should be accounted for as an equity investment as it is not mandatorily redeemable nor does the Company have the unilateral right to redeem the preferred stock, and the Company, along with its related parties, did not have a controlling financial interest in IDRx nor have the ability to influence the financial and operating policies through the ownership of preferred stock. IDRx’s preferred stock is not exchange-traded and does not have a readily determinable fair value. Therefore, the Company accounts for the preferred stock investment under the measurement alternative for equity investments that do not have a readily determinable fair value, which is at cost of $27.8 million including transaction costs of $0.3 million. As of September 30, 2022, the cost of the investment in IDRx’s preferred stock was $27.8 million and was recorded as equity investment on the condensed consolidated balance sheets. As of September 30, 2022, no adjustments have been recognized related to the preferred stock investment as a result of the application of the measurement.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February 2022, the Company entered into an exclusive collaboration agreement (the Proteovant collaboration agreement) with Oncopia Therapeutics, Inc., d/b/a Proteovant Therapeutics, Inc. (Proteovant), pursuant to which the parties will jointly research and advance up to two novel protein degrader therapies into development candidates, as well as up to two additional novel protein degrader target programs as may be mutually agreed to by the Company and Proteovant (each a target program). On a target program-by-target program basis, the Company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parties may jointly extend the collaboration, with the same structure and financial terms, to two additional program targets through additional funding by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that Proteovant is providing the Company with research services throughout the period until the Company can exercise its option to obtain a worldwide, exclusive license to develop and commercialize any licensed compound. Therefore, the Company recorded the $20.0 million upfront payment as an asset on the unaudited condensed consolidated financial statements and will record it as research and development expense over the expected research period. During the three and nine months ended September 30, 2022, the Company recorded research and development expense of $1.4 million and $2.9 million, respectively, under the Proteovant collaboration agreement. The Company will reevaluate the research period at the end of each reporting period and as any changes in circumstances occur, and if necessary, the Company will adjust its estimate of expected research period accordingly. Each research and development milestone payment will be accrued and expensed when probable.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 collaboration (the Zai Lab agreement) with Zai Lab (Shanghai) Co., Ltd., (Zai Lab), pursuant to which the Company granted Zai Lab exclusive rights to develop and commercialize the Company’s drug candidates BLU-701 and BLU-945, including their respective back-up forms and certain other forms thereof, for the treatment of EGFR-driven non-small cell lung cancer in Greater China, including Mainland China, Hong Kong, Macau and Taiwan (collectively, the Zai Lab territory), either as a monotherapy or as part of a combination therapy. The Company retains exclusive rights to the licensed products outside the Zai Lab territory.</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will be responsible for costs related to clinical trials in the Zai Lab territory, other than the specified shared services costs as defined in the Zai Lab agreement which will be shared by the Company and Zai Lab.</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pacing w:after="0" w:line="183" w:lineRule="exact"/>
        <w:rPr>
          <w:sz w:val="20"/>
          <w:szCs w:val="20"/>
          <w:color w:val="auto"/>
        </w:rPr>
      </w:pPr>
    </w:p>
    <w:p>
      <w:pPr>
        <w:jc w:val="both"/>
        <w:ind w:left="60" w:right="79" w:firstLine="648"/>
        <w:spacing w:after="0" w:line="230" w:lineRule="auto"/>
        <w:rPr>
          <w:sz w:val="20"/>
          <w:szCs w:val="20"/>
          <w:color w:val="auto"/>
        </w:rPr>
      </w:pPr>
      <w:r>
        <w:rPr>
          <w:rFonts w:ascii="Times New Roman" w:cs="Times New Roman" w:eastAsia="Times New Roman" w:hAnsi="Times New Roman"/>
          <w:sz w:val="17"/>
          <w:szCs w:val="17"/>
          <w:color w:val="auto"/>
        </w:rPr>
        <w:t>The Zai Lab agreement will continue on a licensed product-by-product and region-by-region basis until the later of (i)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anniversary of the date of the first commercial sale of a licensed product in the Zai Lab territory, (ii) the date of expiration of the last valid patent claim related to the Company’s patent rights of the product in the Zai Lab territory, and</w:t>
      </w:r>
    </w:p>
    <w:p>
      <w:pPr>
        <w:spacing w:after="0" w:line="3" w:lineRule="exact"/>
        <w:rPr>
          <w:sz w:val="20"/>
          <w:szCs w:val="20"/>
          <w:color w:val="auto"/>
        </w:rPr>
      </w:pPr>
    </w:p>
    <w:p>
      <w:pPr>
        <w:ind w:left="60" w:right="179" w:hanging="10"/>
        <w:spacing w:after="0" w:line="249"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last regulatory exclusivity for that product in a region in the Zai Lab territory. 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three</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and nine months ended September 30, 2022, the Company recorded $0.2 million and $0.5 million, respectively, in reduction of expenses under the Zai Lab agreement.</w:t>
      </w:r>
    </w:p>
    <w:p>
      <w:pPr>
        <w:spacing w:after="0" w:line="16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9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During the three and nine months ended September 30, 2022, the Company recorded $0.2 million and $0.8 million, respectively, in revenue related to Zai Lab territory specific activities in the unaudited condensed consolidated financial statements.</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ASC 606, the transaction price of the Zai Lab agreement as of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during the year ended December 31, 2021.</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and through September 30, 2022, the Company has received an aggregate of $105.0 million in specified regulatory and commercialization milestones. In addition to the upfront and milestone payments received through</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the Company is eligible to receive up to $822.0 million in contingent payments, including specified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development, regulatory and sales-based milestones for pralsetinib and any licensed product containing a next-generation RET compound.</w:t>
      </w:r>
    </w:p>
    <w:p>
      <w:pPr>
        <w:spacing w:after="0" w:line="162"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39" w:lineRule="exact"/>
        <w:rPr>
          <w:sz w:val="20"/>
          <w:szCs w:val="20"/>
          <w:color w:val="auto"/>
        </w:rPr>
      </w:pPr>
    </w:p>
    <w:p>
      <w:pPr>
        <w:ind w:left="60" w:right="199" w:hanging="10"/>
        <w:spacing w:after="0" w:line="266" w:lineRule="auto"/>
        <w:tabs>
          <w:tab w:leader="none" w:pos="2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7" w:lineRule="exact"/>
        <w:rPr>
          <w:sz w:val="20"/>
          <w:szCs w:val="20"/>
          <w:color w:val="auto"/>
        </w:rPr>
      </w:pPr>
    </w:p>
    <w:p>
      <w:pPr>
        <w:ind w:left="60" w:right="699" w:firstLine="648"/>
        <w:spacing w:after="0" w:line="312" w:lineRule="auto"/>
        <w:rPr>
          <w:sz w:val="20"/>
          <w:szCs w:val="20"/>
          <w:color w:val="auto"/>
        </w:rPr>
      </w:pPr>
      <w:r>
        <w:rPr>
          <w:rFonts w:ascii="Times New Roman" w:cs="Times New Roman" w:eastAsia="Times New Roman" w:hAnsi="Times New Roman"/>
          <w:sz w:val="17"/>
          <w:szCs w:val="17"/>
          <w:color w:val="auto"/>
        </w:rPr>
        <w:t>The Company evaluated the Roche territory activities under ASC 606 and identified one material promise associated with manufacturing activities related to development and commercial supply of pralsetinib in the Roche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revenue are recognized when the related sales occur. Costs that are incurred associated with the Roche territory activities are reimbursable from Roche and are recognized as revenue.</w:t>
      </w:r>
    </w:p>
    <w:p>
      <w:pPr>
        <w:spacing w:after="0" w:line="18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September 30, 2022, the Company has achieved an aggregate of $105.0 million in specified regulatory and commercialization milestones and added the $105.0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77"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three and nine months ended September 30, 2022 and 2021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9"/>
                <w:szCs w:val="19"/>
                <w:color w:val="auto"/>
              </w:rPr>
            </w:pPr>
          </w:p>
        </w:tc>
        <w:tc>
          <w:tcPr>
            <w:tcW w:w="16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2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ex-US territory-specific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w:t>
      </w:r>
    </w:p>
    <w:p>
      <w:pPr>
        <w:spacing w:after="0" w:line="188"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recognized from collaboration loss sharing after Roche became the principal for product sales of GAVRETO to customers in the U.S.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6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9"/>
                <w:szCs w:val="19"/>
                <w:color w:val="auto"/>
              </w:rPr>
            </w:pPr>
          </w:p>
        </w:tc>
        <w:tc>
          <w:tcPr>
            <w:tcW w:w="166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share of loss in the U.S. for pralsetinib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amounts recognized as reductions to selling, general and administrative expenses related to the commercialization of GAVRETO in the U.S. and reductions to or increases in research and development expenses related to global development activities for pralsetinib under the Roche pralsetinib collaboration during the three and nine months ended September 30, 2022 and 2021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9"/>
                <w:szCs w:val="19"/>
                <w:color w:val="auto"/>
              </w:rPr>
            </w:pPr>
          </w:p>
        </w:tc>
        <w:tc>
          <w:tcPr>
            <w:tcW w:w="162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to selling,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(increases in) research and development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r>
    </w:tbl>
    <w:p>
      <w:pPr>
        <w:spacing w:after="0" w:line="233" w:lineRule="exact"/>
        <w:rPr>
          <w:sz w:val="20"/>
          <w:szCs w:val="20"/>
          <w:color w:val="auto"/>
        </w:rPr>
      </w:pPr>
    </w:p>
    <w:p>
      <w:pPr>
        <w:ind w:left="60" w:right="10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liability associated with the Roche pralsetinib collaboration as of September 30, 2022 and December 31,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the Company sold its right to receive royalty payments from Roche’s sales of GAVRETO in Roche territory to Royalty Pharma in June 2022, given the Company’s significant continuing involvement in the generation of future royalties, the Company continues to account for any royalties and development and commercialization milestones earned related to the Roche territory activities under the Roche pralsetinib collaboration agreement as collaboration revenue on its consolidated statements of operations and comprehensive loss. For additional information, see Note 3 –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unaudited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the Clementia agreement, the Company received an upfront cash payment of $25.0 million and through September 30, 2022, the Company has received an aggregate of $50.0 million in cash milestone payments. Subject to the terms of the Clementia agreement, in addition to the upfront and milestone payments received through September 30, 2022,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to purchase specified manufacturing inventory from the Company for a total of $1.5 million.</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87"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The Company evaluated the Clementia agreement under ASC 606, as the agreement represented a transaction with a customer. The Company identified the following material promises under the agreement: (1) the exclusive license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7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transaction price as of the outset of the arrangement was $46.5 million, which was allocated to the three performance obligations on a relative stand-alone selling price basis. The Company recognized revenue in a total of $46.2 million related to the license and the technology transfer and inventory transfer in 2019 and $0.3 million related to remaining inventory transfer in 2020.</w:t>
      </w:r>
    </w:p>
    <w:p>
      <w:pPr>
        <w:spacing w:after="0" w:line="180"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During the three months ended September 30, 2022, no revenue was recognized from the Clementia collaboration. During the nine months ended September 30, 2022, cash consideration associated with an achieved development milestone of $30.0 million was added to the estimated 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7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2021, no material revenue was recognized from the Clementia collaboration. There was no revenue deferred as a contract liability associated with the Clementia agreement as of September 30, 2022 and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September 30, 2022, the Company has achieved an aggregate of $27.0 million in milestones under this collaboration. Subject to the terms of the CStone agreement, in addition to the upfront payments received and milestones achieved through September 30, 2022, the Company will be eligible to receive up to $319.0 million in contingent payments, including specified development, regulatory and sales-based milestones for licensed products.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9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are accounted for as a reduction of related expenses.</w:t>
      </w:r>
    </w:p>
    <w:p>
      <w:pPr>
        <w:spacing w:after="0" w:line="194"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 summary of manufacturing and research and development services related to the global development activities, net of expenses payable to CStone during the three and nine months ended September 30, 2022 and 2021 is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4"/>
        </w:trPr>
        <w:tc>
          <w:tcPr>
            <w:tcW w:w="54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8"/>
        </w:trPr>
        <w:tc>
          <w:tcPr>
            <w:tcW w:w="54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 global</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activities, net of expenses payable to CStone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1,642</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1,777</w:t>
            </w:r>
          </w:p>
        </w:tc>
      </w:tr>
    </w:tbl>
    <w:p>
      <w:pPr>
        <w:spacing w:after="0" w:line="23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83" w:lineRule="exact"/>
        <w:rPr>
          <w:sz w:val="20"/>
          <w:szCs w:val="20"/>
          <w:color w:val="auto"/>
        </w:rPr>
      </w:pPr>
    </w:p>
    <w:p>
      <w:pPr>
        <w:jc w:val="both"/>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3" w:lineRule="exact"/>
        <w:rPr>
          <w:sz w:val="20"/>
          <w:szCs w:val="20"/>
          <w:color w:val="auto"/>
        </w:rPr>
      </w:pPr>
    </w:p>
    <w:p>
      <w:pPr>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did not achieve any milestones under the CStone agreement during the three months ended September 30, 2022 and 2021. During the nine months ended September 30, 2022 and 2021, cash considerations associated with achieved regulatory and development milestones of $4.0 million and $9.0 million, respectively, were added to the estimated transaction price for the CStone agreement and recognized as revenue in such periods.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9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2021, the Company entered into commercial supply agreements and an avapritinib manufacturing technology transfer agreement with CStone related to supply of drug substance of avapritinib and drug product of avapritinib and pralsetinib to assist CStone’s commercialization activities conducted specifically for the CStone territory. In the first quarter of 2022, the Company entered into a pralsetinib manufacturing technology transfer agreement with CStone related to supply of drug substance of pralsetinib.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revenue recognized under the CStone agreement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2021 is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5"/>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6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40" w:type="dxa"/>
            <w:vAlign w:val="bottom"/>
            <w:tcBorders>
              <w:bottom w:val="single" w:sz="8" w:color="auto"/>
            </w:tcBorders>
            <w:gridSpan w:val="6"/>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6"/>
        </w:trPr>
        <w:tc>
          <w:tcPr>
            <w:tcW w:w="5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milestone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198"/>
        </w:trPr>
        <w:tc>
          <w:tcPr>
            <w:tcW w:w="5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Manufacturing services and royalty revenue related to CStone territory-</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activities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w:t>
            </w:r>
          </w:p>
        </w:tc>
      </w:tr>
      <w:tr>
        <w:trPr>
          <w:trHeight w:val="210"/>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CStone collaboration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$ 18,209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w:t>
            </w:r>
          </w:p>
        </w:tc>
      </w:tr>
      <w:tr>
        <w:trPr>
          <w:trHeight w:val="20"/>
        </w:trPr>
        <w:tc>
          <w:tcPr>
            <w:tcW w:w="54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35"/>
        </w:trPr>
        <w:tc>
          <w:tcPr>
            <w:tcW w:w="79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contract assets associated with the CStone collaboration 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 and December 31, 2021 (in thousands):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49"/>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5"/>
        </w:trPr>
        <w:tc>
          <w:tcPr>
            <w:tcW w:w="54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2,045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2,206</w:t>
            </w:r>
          </w:p>
        </w:tc>
        <w:tc>
          <w:tcPr>
            <w:tcW w:w="180" w:type="dxa"/>
            <w:vAlign w:val="bottom"/>
          </w:tcPr>
          <w:p>
            <w:pPr>
              <w:spacing w:after="0"/>
              <w:rPr>
                <w:sz w:val="20"/>
                <w:szCs w:val="20"/>
                <w:color w:val="auto"/>
              </w:rPr>
            </w:pPr>
          </w:p>
        </w:tc>
        <w:tc>
          <w:tcPr>
            <w:tcW w:w="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did not have material contract liability associated with the CStone collaboration. The contract liability associated with the CStone collaboration was $4.8 million at December 31, 2021, which resulted primarily from advance payments made by CStone in connection with commercial supply of pralsetinib for the CStone territory.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87" w:lineRule="exact"/>
        <w:rPr>
          <w:sz w:val="20"/>
          <w:szCs w:val="20"/>
          <w:color w:val="auto"/>
        </w:rPr>
      </w:pPr>
    </w:p>
    <w:p>
      <w:pPr>
        <w:ind w:left="60" w:right="119" w:firstLine="693"/>
        <w:spacing w:after="0" w:line="252" w:lineRule="auto"/>
        <w:rPr>
          <w:sz w:val="20"/>
          <w:szCs w:val="20"/>
          <w:color w:val="auto"/>
        </w:rPr>
      </w:pPr>
      <w:r>
        <w:rPr>
          <w:rFonts w:ascii="Times New Roman" w:cs="Times New Roman" w:eastAsia="Times New Roman" w:hAnsi="Times New Roman"/>
          <w:sz w:val="18"/>
          <w:szCs w:val="18"/>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prior reporting periods,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 and Roche will receive commercialization rights outside of the U.S. for the licensed product. The Company will also retain worldwide rights to any products for which Roche elects not to exercise its applicable option.</w:t>
      </w:r>
    </w:p>
    <w:p>
      <w:pPr>
        <w:spacing w:after="0" w:line="19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Prior to Roche’s exercise of an option, the Company has the lead responsibility for drug discovery and preclinical development of all collaboration programs. In addition, the Company has the lead responsibility for the conduct of all Phase 1 clinical trials other than those Phase 1 clinical trials for any product in combination with Roche’s portfolio of therapeutics, for which Roche has the right to lead the conduct of such Phase 1 clinical trials. Pursuant to the Roche immunotherapy agreement, the parties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92"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Company received an upfront cash payment of $45.0 million, and through September 30, 2022, the Company has achieved an aggregate of $25.0 million in milestone payments under this collaboration. Subject to the terms of the Roche immunotherapy agreement, as amended, in addition to the upfront and milestone payments received through September 30, 2022, the Company is eligible to receive up to approximately $317.8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9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3" w:lineRule="exact"/>
        <w:rPr>
          <w:sz w:val="20"/>
          <w:szCs w:val="20"/>
          <w:color w:val="auto"/>
        </w:rPr>
      </w:pPr>
    </w:p>
    <w:p>
      <w:pPr>
        <w:ind w:left="60" w:right="59" w:hanging="10"/>
        <w:spacing w:after="0" w:line="249"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82"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0"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76"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93"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Through September 30, 2022, the Company has achieved an aggregate of $25.0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 During the three and nine months ended September 30, 2022, cash consideration associated with an achieved research milestone of $1.5 million was added to the estimated transaction price. During the three and nine months ended September 30, 2021, no research milestones were achieved under the Roche immunotherapy agreement. In the first quarter of 2022, it was determined that Roche will initiate a Phase 1 clinical development plan for BLU-852, one of the ongoing programs, in combination with atezolizumab, an approved drug product commercialized by Roche, and pursuant to the Roche immunotherapy agreement, the Company will share the development cost up to $15.0 million. As a result, during the first quarter of 2022, the Company reduced $15.0 million from the aggregated transaction price of this collaboration and recorded its commitment of $15.0 million as a contract liability on its unaudited condensed consolidated financial statements.</w:t>
      </w:r>
    </w:p>
    <w:p>
      <w:pPr>
        <w:spacing w:after="0" w:line="19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In the first quarter of 2022, a reduction in the costs expected to be incurred in the future to satisfy certain performance obligations under the collaboration became probable</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as a result of Roche and the Company endorsing the Phase 1 clinical development plan for one of the ongoing programs in combination with Roche’s product.</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Because of the revision to the cost expected to be incurred to satisfy the performance obligation and the reduction of the $15.0 million payment commitment to Roche from the aggregated transaction price, the Company recorded a cumulative revenue catch-up of $2.9 million during the nine months ended September 30, 2022. A summary of revenue recognized or revenue reduced under the Roche immunotherapy agreement during the three and nine months ended September 30, 2022 and 2021 is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17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00" w:type="dxa"/>
            <w:vAlign w:val="bottom"/>
          </w:tcPr>
          <w:p>
            <w:pPr>
              <w:spacing w:after="0"/>
              <w:rPr>
                <w:sz w:val="16"/>
                <w:szCs w:val="16"/>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7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collaboration research and development services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$ 4,293</w:t>
            </w:r>
          </w:p>
        </w:tc>
      </w:tr>
    </w:tbl>
    <w:p>
      <w:pPr>
        <w:spacing w:after="0" w:line="265"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recognized the following revenue due to the changes in the contract liability balances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7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700" w:type="dxa"/>
            <w:vAlign w:val="bottom"/>
          </w:tcPr>
          <w:p>
            <w:pPr>
              <w:spacing w:after="0"/>
              <w:rPr>
                <w:sz w:val="16"/>
                <w:szCs w:val="16"/>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4"/>
        </w:trPr>
        <w:tc>
          <w:tcPr>
            <w:tcW w:w="57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$ 3,364</w:t>
            </w:r>
          </w:p>
        </w:tc>
      </w:tr>
    </w:tbl>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contract liability related to the Roche immunotherapy agreement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December 31, 2021 (in thousands):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80" w:type="dxa"/>
            <w:vAlign w:val="bottom"/>
          </w:tcPr>
          <w:p>
            <w:pPr>
              <w:spacing w:after="0"/>
              <w:rPr>
                <w:sz w:val="18"/>
                <w:szCs w:val="18"/>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16,589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13,938</w:t>
            </w: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research and development services related to the performance obligation are expected to be performed over a remaining period of approximately 3.3 years.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22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2022, the number of shares reserved for issuance under the 2015 Plan was increased by 2,365,643 shares. In addition, the total number of shares reserved for issuance is subject to adjustment in the event of a stock split, stock dividend or other change in the Company’s capitalization. As of September 30, 2022, there were 4,137,674 shares available for future grant under the 2015 Plan.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229"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In March 2020, the Company’s board of directors adopted the 2020 Inducement Plan (the Inducement Plan), pursuant to which the Company may grant, subject to the terms of the Inducement Plan and Nasdaq rules, nonstatutory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further increased at any time with the approval of the Company’s board of directors. The Inducement Plan permits the board of directors or a committee thereof to use the stock-based awards available under the Inducement Plan to attract key employees for the growth of the Company. As of September 30, 2022, there were 1,535,757 shares available for future grant under the Inducement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nine months ended September 30, 2022:</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6,315,740</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4,028,524</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66.34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2022, the total unrecognized compensation expense related to unvested stock option awards was $86.1 million, which is expected to be recognized over a weighted-average period of approximately 2.54 years.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activity for the nine months ended September 30, 2022:</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21"/>
        </w:trPr>
        <w:tc>
          <w:tcPr>
            <w:tcW w:w="634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5"/>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(420,823)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(146,069)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209"/>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unrecognized compensation expense related to unvested restricted stock units was $110.1 million, which is expected to be recognize over a weighted-average period of approximately 2.64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1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2022, the number of shares reserved for issuance under the 2015 ESPP was increased by 591,410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left="60"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$24.1 million and $72.9 million for the three and nine months ended September 30, 2022, respectively, and $24.0 million and $68.9 million for the three and nine months ended September 30, 2021, respectively. Stock-based compensation expense by award type included within the unaudited condensed consolidated statements of operations and comprehensive loss was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5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4"/>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54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70,058</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164"/>
        </w:trPr>
        <w:tc>
          <w:tcPr>
            <w:tcW w:w="54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Stock-based compensation expense included in total cost and operating</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72,855</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68,949</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that is included in operating expenses, by classification within the unaudited condensed consolidated statements of operations and comprehensive loss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8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40" w:type="dxa"/>
            <w:vAlign w:val="bottom"/>
          </w:tcPr>
          <w:p>
            <w:pPr>
              <w:spacing w:after="0"/>
              <w:rPr>
                <w:sz w:val="16"/>
                <w:szCs w:val="16"/>
                <w:color w:val="auto"/>
              </w:rPr>
            </w:pPr>
          </w:p>
        </w:tc>
        <w:tc>
          <w:tcPr>
            <w:tcW w:w="18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4"/>
        </w:trPr>
        <w:tc>
          <w:tcPr>
            <w:tcW w:w="55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$ 10,010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$ 30,548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29,682</w:t>
            </w:r>
          </w:p>
        </w:tc>
      </w:tr>
      <w:tr>
        <w:trPr>
          <w:trHeight w:val="216"/>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39,267</w:t>
            </w: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$ 24,109</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$ 23,958</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$ 72,855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68,949</w:t>
            </w:r>
          </w:p>
        </w:tc>
      </w:tr>
      <w:tr>
        <w:trPr>
          <w:trHeight w:val="20"/>
        </w:trPr>
        <w:tc>
          <w:tcPr>
            <w:tcW w:w="5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ind w:left="60" w:right="160"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87" w:lineRule="exact"/>
        <w:rPr>
          <w:sz w:val="20"/>
          <w:szCs w:val="20"/>
          <w:color w:val="auto"/>
        </w:rPr>
      </w:pPr>
    </w:p>
    <w:p>
      <w:pPr>
        <w:jc w:val="both"/>
        <w:ind w:left="60"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three and nine months ended September 30, 2022 and 2021 because including them would have had an anti-dilutive effect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12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7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r>
      <w:tr>
        <w:trPr>
          <w:trHeight w:val="20"/>
        </w:trPr>
        <w:tc>
          <w:tcPr>
            <w:tcW w:w="7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left="60"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w:t>
      </w:r>
    </w:p>
    <w:p>
      <w:pPr>
        <w:sectPr>
          <w:pgSz w:w="11900" w:h="16838" w:orient="portrait"/>
          <w:cols w:equalWidth="0" w:num="1">
            <w:col w:w="9040"/>
          </w:cols>
          <w:pgMar w:left="1440" w:top="513" w:right="1419" w:bottom="1440" w:gutter="0" w:footer="0" w:header="0"/>
        </w:sectPr>
      </w:pP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differences are expected to reverse. The Company provides a valuation allowance when it is more likely than not that deferred tax assets will not be realized.</w:t>
      </w:r>
    </w:p>
    <w:p>
      <w:pPr>
        <w:spacing w:after="0" w:line="16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September 30, 2022, the Company has a full valuation allowance applied against its U.S. and foreign deferred tax assets.</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March 11, 2021, President Joe Biden signed into law a relief and stimulus package known as the American Rescue Plan Act of 2021 (ARPA) stimulus package. While this Act provides various tax provisions including for example, extending the employee retention credit through the end of 2021, modifying the paid sick and family leave credits, repealing the worldwide interest allocation rules that were scheduled to take effect in 2021, and expanding the number of employees subject to the limit on the deduction for executive compensation under Section 162(m) beginning in 2027, among other things, based on the Company’s initial review of the various business tax provisions offered in the ARPA along with having a valuation allowance on its U.S. deferred tax assets, it does not believe that there is an impact to the Company and as such the recording of a discrete item was not required during the three and nine months ended September 30, 2022.</w:t>
      </w:r>
    </w:p>
    <w:p>
      <w:pPr>
        <w:spacing w:after="0" w:line="19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prepared an analysis of the tax impact of capitalizing and amortizing these costs over the required periods and is expected to be in a taxable income position after the estimated addback for calendar year ended December 31, 2022.</w:t>
      </w:r>
    </w:p>
    <w:p>
      <w:pPr>
        <w:spacing w:after="0" w:line="190"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is considered taxable income for calendar year ended December 31, 2022. Therefore, the $425.0 million is included in the estimated taxable income calculation when estimating the Company’s forecasted 2022 annual effective tax rate.</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On August 1, 2022, the Company entered into the IDRx License Agreement and IDRx Stock Purchase Agreement. Pursuant to these agreements, the Company licensed its internally discovered KIT exon 13 inhibitor, IDRX-73 (formerly known as BLU-654) to IDRx in exchange for 4,509,105 shares of IDRx’s Series A preferred stock and the eligibility to receive future milestones and tiered royalty payments. For book and tax purposes, the fair value of the equity totaling $27.5 million was recorded as income for the period ended September 30, 2022 and included in the estimated taxable income calculation when estimating the Company’s forecasted 2022 annual effective tax rate.</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(IRA) of 2022 (H.R. 5376) into law. It includes income tax incentives designed to encourage investment in renewable and alternative energy sources, adoption of electric vehicles, and improvement in the energy efficiency of buildings and communities. To finance these incentives, the law imposes a 15% corporate alternative minimum tax (CAMT) on adjusted financial statement income of corporations with profits over $1 billion. It also introduces a new excise tax on corporate stock buybacks of public US companies. The CAMT is effective for tax years beginning after December 31, 2022 while the excise tax on corporate stock buybacks is effective for repurchases of stock after December 31, 2022. The Company does not anticipate the IRA having a significant impact on the effective tax rate or income tax payable and deferred income tax positions.</w:t>
      </w:r>
    </w:p>
    <w:p>
      <w:pPr>
        <w:spacing w:after="0" w:line="192" w:lineRule="exact"/>
        <w:rPr>
          <w:sz w:val="20"/>
          <w:szCs w:val="20"/>
          <w:color w:val="auto"/>
        </w:rPr>
      </w:pPr>
    </w:p>
    <w:p>
      <w:pPr>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2022, the Company expects to be in a taxable income position for the calendar year ended December 31, 2022, and recorded an income tax expense of $0.9 million and $4.2 million for the three and nine months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September 30, 2022,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The Company’s building leases are comprised of office and laboratory spaces under non-cancelable operating leases. The lease agreements contain various clauses for renewal at the Company’s option, and the renewal options were not included in the calculation of the operating lease assets and the operating lease liabilities as the renewal options were not reasonably certain of being exercised as of September 30, 2022. The lease agreements do not contain residual value guarantees and the components of lease cost for the three and nine months ended September 30, 2022 and 2021 were as follows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5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8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9"/>
                <w:szCs w:val="19"/>
                <w:color w:val="auto"/>
              </w:rPr>
            </w:pPr>
          </w:p>
        </w:tc>
        <w:tc>
          <w:tcPr>
            <w:tcW w:w="15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1"/>
        </w:trPr>
        <w:tc>
          <w:tcPr>
            <w:tcW w:w="5160" w:type="dxa"/>
            <w:vAlign w:val="bottom"/>
            <w:tcBorders>
              <w:bottom w:val="single" w:sz="8" w:color="auto"/>
            </w:tcBorders>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Company’s sublease agreement for the 38 Sidney Street property expired in September 2022 and the Company continues to use the leased space for its own operations. The Company has not entered into any material short-term leases or financing leases as of September 30, 2022.</w:t>
      </w:r>
    </w:p>
    <w:p>
      <w:pPr>
        <w:spacing w:after="0" w:line="17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September 30, 2022 and 2021 is as follows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9"/>
                <w:szCs w:val="19"/>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630"/>
        </w:trPr>
        <w:tc>
          <w:tcPr>
            <w:tcW w:w="8900" w:type="dxa"/>
            <w:vAlign w:val="bottom"/>
            <w:gridSpan w:val="7"/>
          </w:tcPr>
          <w:p>
            <w:pPr>
              <w:jc w:val="right"/>
              <w:ind w:right="314"/>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5"/>
        </w:trPr>
        <w:tc>
          <w:tcPr>
            <w:tcW w:w="6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Operating leases</w:t>
            </w: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Associated with Commercial Supply Agreements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212529"/>
        </w:rPr>
        <w:t xml:space="preserve">In connection with the commercialization of AYVAKIT/AYVAKYT and GAVRETO, the Company has negotiated manufacturing agreements with certain vendors that require the Company to meet minimum purchase obligations on an annual basis. During the nine months ended September 30, 2022, there was a $4.0 million decrease in the Company’s contractual obligations </w:t>
      </w:r>
      <w:r>
        <w:rPr>
          <w:rFonts w:ascii="Times New Roman" w:cs="Times New Roman" w:eastAsia="Times New Roman" w:hAnsi="Times New Roman"/>
          <w:sz w:val="18"/>
          <w:szCs w:val="18"/>
          <w:color w:val="000000"/>
        </w:rPr>
        <w:t>described in Note 18 to the consolidated financial statements in the Company’s Annual Report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Form 10-K for the fiscal year ended December 31, 2021</w:t>
      </w:r>
      <w:r>
        <w:rPr>
          <w:rFonts w:ascii="Times New Roman" w:cs="Times New Roman" w:eastAsia="Times New Roman" w:hAnsi="Times New Roman"/>
          <w:sz w:val="18"/>
          <w:szCs w:val="18"/>
          <w:color w:val="212529"/>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Legal Proceedings</w:t>
      </w:r>
    </w:p>
    <w:p>
      <w:pPr>
        <w:spacing w:after="0" w:line="21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212529"/>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Indemnification Agreements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212529"/>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from their status or service as directors or officers of the Company. The maximum potential amount of future payments that the Company could be required to make, or otherwise be liable for,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consolidated financial statements as of September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1"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2021, filed with the Securities and Exchange Commission (the SEC) on February 17,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/AYVAKYT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(avapritinib) and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(pralsetinib), to patients in the U.S. and Europe, and we are globally advancing multiple programs for systemic mastocytosis (SM), lung cancer and other genomically defined cancers, and cancer immunotherapy.</w:t>
      </w:r>
    </w:p>
    <w:p>
      <w:pPr>
        <w:spacing w:after="0" w:line="24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and other Mast Cell Disorders — AYVAKIT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 AYVAKYT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(avapritinib) and BLU-263</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6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and commercializing avapritinib for the treatment of advanced SM and developing avapritinib for the treatment of non-advanced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28"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Avapritinib is approved in the U.S. under the brand name AYVAKIT for the treatment of adult patients with advanced SM, including aggressive SM (ASM), SM with an associated hematologic neoplasm (SM-AHN), and mast cell leukemia (MCL). In March 2022, the European Commission expanded the marketing authorization for AYVAKYT to include the treatment of adult patients with ASM, SM-AHN, or MCL, after at least one systemic therapy. We launched AYVAKYT in advanced SM in Germany within one week after receiving the European Commission approval and plan to make AYVAKYT commercially available in other European countries based on local reimbursement and access pathways.</w:t>
      </w:r>
    </w:p>
    <w:p>
      <w:pPr>
        <w:spacing w:after="0" w:line="20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At the European Hematology Association (EHA) Annual Meeting in June 2022, we presented data showing that AYVAKIT improved overall survival (OS) and other clinical outcomes in patients with advanced SM, when indirectly compared to real-world data for prior best available therapies.</w:t>
      </w:r>
    </w:p>
    <w:p>
      <w:pPr>
        <w:spacing w:after="0" w:line="21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We are also evaluating avapritinib in an ongoing registration-enabling Phase 2 clinical trial in non-advanced SM, which we refer to as our PIONEER trial. In January 2022, we announced that the PIONEER trial was fully enrolled.</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66" w:lineRule="auto"/>
        <w:rPr>
          <w:sz w:val="20"/>
          <w:szCs w:val="20"/>
          <w:color w:val="auto"/>
        </w:rPr>
      </w:pPr>
      <w:r>
        <w:rPr>
          <w:rFonts w:ascii="Times New Roman" w:cs="Times New Roman" w:eastAsia="Times New Roman" w:hAnsi="Times New Roman"/>
          <w:sz w:val="18"/>
          <w:szCs w:val="18"/>
          <w:color w:val="auto"/>
        </w:rPr>
        <w:t>In June 2022, we announced that we updated the primary endpoint of the registration-enabling PIONEER trial of AYVAKIT in patients with non-advanced SM, based on a written recommendation from the FDA on statistical considerations ahead of the planned database lock.</w:t>
      </w:r>
    </w:p>
    <w:p>
      <w:pPr>
        <w:spacing w:after="0" w:line="21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August 2022, we reported positive top-line data for Part 2 of the PIONEER trial of AYVAKIT plus best available care versus placebo plus best available care (control arm), demonstrating clinically meaningful and highly significant improvements across the primary and key secondary endpoints, including patient-reported symptoms and objective measures of mast cell burden. AYVAKIT had a favorable safety profile compared to the control arm, supporting the potential for long-term treatment. Based on these positive results and a strong safety profile, we plan to submit a supplemental new drug application (sNDA) to the FDA for avapritinib in non-advanced SM in the fourth quarter of 2022, with a subsequent submission of a type II variation marketing authorization application to the European Medicines Agency (EMA) anticipated in the first quarter of 2023.</w:t>
      </w:r>
    </w:p>
    <w:p>
      <w:pPr>
        <w:spacing w:after="0" w:line="21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BLU-263</w:t>
      </w:r>
    </w:p>
    <w:p>
      <w:pPr>
        <w:spacing w:after="0" w:line="26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central nervous system (CNS) penetration relative to avapritinib based on preclinical data, which we believe will enable development of BLU-263 in a broad population of patients with non-advanced SM, including patients with lower disease burden and potentially patients with other mast cell disorders.</w:t>
      </w:r>
    </w:p>
    <w:p>
      <w:pPr>
        <w:spacing w:after="0" w:line="22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April 2021, we presented results from a Phase 1 trial of BLU-263 in healthy volunteers at the virtual American Association for Cancer Research (AACR) Annual Meeting, which showed that BLU-263 was well-tolerated at all doses tested. Based on these data, we initiated the Phase 2/3 trial of BLU-263 in patients with non-advanced SM, which we refer to as our HARBOR trial, in the second quarter of 2021. We anticipate presenting initial data from the HARBOR trial in the fourth quarter of 2022.</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 — GAVRETO</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(pralsetinib)</w:t>
      </w:r>
    </w:p>
    <w:p>
      <w:pPr>
        <w:spacing w:after="0" w:line="17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and commercializing pralsetinib for the treatment of RET fusion-positive non-small cell lung cancer (NSCLC), and for the treatment of RET-altered thyroid carcinoma, including medullary thyroid cancer (MTC). We are also developing pralsetinib for the treatment of other RET-altered solid tumors. We have granted exclusive licenses to F. Hoffmann-La Roche Ltd and Genentech, Inc., a member of the Roche Group (which we refer to together as Roche) and CStone Pharmaceuticals (CStone), to develop and commercialize pralsetinib in their respective territories. See “— Collaborations and Licenses Summary” below.</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1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Through our collaboration with Roche, the European Commission granted conditional marketing authorization for GAVRETO as a monotherapy for the treatment of adults with RET fusion-positive advanced NSCLC not previously treated with a RET inhibitor. Roche submitted a Type II variation MAA to the EMA for pralsetinib for RET-altered thyroid cancers in December 2021, as well as marketing applications for pralsetinib for RET-altered NSCLC and thyroid cancers across multiple global geographies in 2021. Marketing applications are planned for pralsetinib for RET-altered NSCLC and thyroid cancers across additional global geographies in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93"/>
        <w:spacing w:after="0" w:line="255" w:lineRule="auto"/>
        <w:rPr>
          <w:sz w:val="20"/>
          <w:szCs w:val="20"/>
          <w:color w:val="auto"/>
        </w:rPr>
      </w:pPr>
      <w:r>
        <w:rPr>
          <w:rFonts w:ascii="Times New Roman" w:cs="Times New Roman" w:eastAsia="Times New Roman" w:hAnsi="Times New Roman"/>
          <w:sz w:val="18"/>
          <w:szCs w:val="18"/>
          <w:color w:val="auto"/>
        </w:rPr>
        <w:t>Through our collaboration with CStone, China’s NMPA approved GAVRETO for the treatment of RET fusion-positive NSCLC patients previously treated with platinum-based chemotherapy. In March 2022, China’s National Medicinal Products Administration (NMPA) approved GAVRETO for the treatment of RET-mutant MTC and RET fusion-positive thyroid cancer. In February 2022, the Taiwan Food and Drug Administration (TFDA) accepted CStone’s NDA for the treatment of patients with RET fusion-positive locally advanced or metastatic NSCLC, RET-mutant MTC, and RET fusion-positive TC. GAVRETO was approved in Hong Kong in July 2022 for the treatment of RET fusion-positive NSCLC.</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evaluated pralsetinib in an ongoing registration-enabling Phase 1/2 clinical trial in patients with RET-altered NSCLC, MTC and other advanced solid tumors, which we referred to as the ARROW trial. In addition, Roche is conducting multiple ongoing studies, including a registration-enabling Phase 3 clinical trial in treatment-naïve patients with RET fusion-positive NSCLC, which is referred to as the ACCELERET-Lung trial; and a registration-enabling Phase 3 clinical trial in patients with locally advanced or metastatic RET-mutated MTC who have not previously received a standard of care multi-kinase inhibitor therapy, which is referred to as the ACCELERET-MTC trial. The ARROW trial was fully enrolled in December 2021 and was subsequently transferred to Roche in May 2022. Pursuant to our collaboration with Roche, we are co-developing pralsetinib globally in RET-altered solid tumors, including NSCLC, MTC and other thyroid cancers, as well as other solid tumors.</w:t>
      </w:r>
    </w:p>
    <w:p>
      <w:pPr>
        <w:spacing w:after="0" w:line="23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r>
        <w:rPr>
          <w:rFonts w:ascii="Arial" w:cs="Arial" w:eastAsia="Arial" w:hAnsi="Arial"/>
          <w:sz w:val="18"/>
          <w:szCs w:val="18"/>
          <w:color w:val="auto"/>
        </w:rPr>
        <w:t>.</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PDGFRA-Driven Gastrointestinal Stromal Tumors — AYVAKIT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 AYVAKYT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(avapritinib)</w:t>
      </w:r>
    </w:p>
    <w:p>
      <w:pPr>
        <w:spacing w:after="0" w:line="185"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are commercializing avapritinib for the treatment of patients with PDGFRA exon 18 gastrointestinal stromal tumors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30"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Through our collaboration with CStone, AYVAKIT was approved by China’s NMPA for the treatment of adults with unresectable or metastatic GIST harboring a PDGFRA exon 18 mutation, including PDGFRA D842V mutations and also received accelerated approval from the TFDA and approval in Hong Kong, both for adults with unresectable or metastatic GIST harboring PDGFRA D842V mutations.</w:t>
      </w:r>
    </w:p>
    <w:p>
      <w:pPr>
        <w:spacing w:after="0" w:line="227"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EGFR-Mutated NSCLC — BLU-945, BLU-701, BLU-525, and BLU-451</w:t>
      </w:r>
    </w:p>
    <w:p>
      <w:pPr>
        <w:spacing w:after="0" w:line="270"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We are developing a portfolio of investigational epidermal growth factor receptor (EGFR) inhibitors with the potential to address a spectrum of common and uncommon EGFR activating mutations, including exon 19 deletions, the L858R mutation and exon 20 insertions. Patients with EGFR-driven NSCLC have high medical needs despite current standards of care. First, osimertinib has demonstrated shorter overall survival and progression-free survival in patients whose tumors have activating L858R mutations, and there are limited treatment options for exon 20 insertion-driven NSCLC. Second, the majority of patients will ultimately progress due to tumor resistance, and preventing mutations from emerging is an important treatment goal. Third, the brain is a common site of disease progression that has proven difficult to treat. We are working to address the challenges and prolong patient benefit by advancing development of rational combinations with our investigational EGFR therapies. Ultimately, we are seeking to address the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29" w:lineRule="auto"/>
        <w:rPr>
          <w:sz w:val="20"/>
          <w:szCs w:val="20"/>
          <w:color w:val="auto"/>
        </w:rPr>
      </w:pPr>
      <w:r>
        <w:rPr>
          <w:rFonts w:ascii="Times New Roman" w:cs="Times New Roman" w:eastAsia="Times New Roman" w:hAnsi="Times New Roman"/>
          <w:sz w:val="18"/>
          <w:szCs w:val="18"/>
          <w:color w:val="auto"/>
        </w:rPr>
        <w:t>medical needs in EGFR-mutant NSCLC that affect approximately 60,000 patients in major markets, including the U.S., European Union (EU), the UK, and Japan.</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BLU-945</w:t>
      </w:r>
    </w:p>
    <w:p>
      <w:pPr>
        <w:spacing w:after="0" w:line="268"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BLU-945 is a selective and potent investigational inhibitor of the activating EGFR L858R mutation and on-target T790M and C797S resistance mutations. Early data from the ongoing dose escalation part of the Phase 1/2 trial of BLU-945, which we refer to as our SYMPHONY trial, were presented at the AACR Annual Meeting in April 2022. BLU-945 demonstrated dose-dependent decreases in EGFR variant allele fractions via circulating tumor DNA (ctDNA) analysis and radiographic tumor reductions. BLU-945 was well-tolerated, with no significant AEs associated with wild-type EGFR inhibition. In the second quarter of 2022, we initiated a BLU-945 and osimertinib combination cohort in the ongoing Phase 1/2 SYMPHONY trial. In October 2022, preclinical data presented at the EORTC-NCI-AACR Molecular Targets and Cancer Therapeutics Symposium showed that BLU-945 in combination with osimertinib prolonged tumor regression and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survival in EGFR L858R-driven, treatment-naïve, patient-derived xenograft models.</w:t>
      </w:r>
    </w:p>
    <w:p>
      <w:pPr>
        <w:spacing w:after="0" w:line="266"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In November 2022, at our Investor Day, we reported updated monotherapy dose escalation data showing BLU-945 was well-tolerated and led to target ctDNA responses and tumor shrinkage. In the late-line setting, significant off-target resistance was identified at baseline and end-of-treatment by ctDNA analysis, leading us to prioritize clinical development of BLU-945 in combination with osimertinib in the first line, where we do not expect multiple overlapping driver mutations. In addition, at our Investor Day we reported early SYMPHONY trial dose escalation data showing BLU-945 in combination with osimertinib has been well-tolerated to-date. We plan to define a recommended phase 2 dose for the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combination of BLU-945 and osimertinib and initiate a dose expansion cohort in the first quarter of 2023.</w:t>
      </w:r>
    </w:p>
    <w:p>
      <w:pPr>
        <w:spacing w:after="0" w:line="3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BLU-701 and BLU-525</w:t>
      </w:r>
    </w:p>
    <w:p>
      <w:pPr>
        <w:spacing w:after="0" w:line="268" w:lineRule="exact"/>
        <w:rPr>
          <w:sz w:val="20"/>
          <w:szCs w:val="20"/>
          <w:color w:val="auto"/>
        </w:rPr>
      </w:pPr>
    </w:p>
    <w:p>
      <w:pPr>
        <w:ind w:left="60" w:right="219" w:firstLine="648"/>
        <w:spacing w:after="0" w:line="269" w:lineRule="auto"/>
        <w:rPr>
          <w:sz w:val="20"/>
          <w:szCs w:val="20"/>
          <w:color w:val="auto"/>
        </w:rPr>
      </w:pPr>
      <w:r>
        <w:rPr>
          <w:rFonts w:ascii="Times New Roman" w:cs="Times New Roman" w:eastAsia="Times New Roman" w:hAnsi="Times New Roman"/>
          <w:sz w:val="17"/>
          <w:szCs w:val="17"/>
          <w:color w:val="auto"/>
        </w:rPr>
        <w:t>BLU-701 is a selective and potent investigational inhibitor of activating EGFR L858R or exon 19 deletion mutations and the on-target C797S resistance mutation. Based on emerging clinical and preclinical data, Blueprint Medicines plans to prioritize development of BLU-525, a next-generation EGFR inhibitor, and deprioritize further development of BLU-701. Compared to BLU-701, BLU-525 has a distinct chemical structure with improved kinome selectivity and differentiated metabolism, and equivalent EGFR mutation coverage, wild-type EGFR selectivity and CNS penetration. Data supporting the preclinical profile of BLU-525 were reported at the EORTC-NCI-AACR Molecular Targets and Cancer Therapeutics Symposium in October 2022. We plan to submit an investigational new drug application</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FDA for BLU-525 in the first quarter of 2023.</w:t>
      </w:r>
    </w:p>
    <w:p>
      <w:pPr>
        <w:spacing w:after="0" w:line="3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 Exon 20 Insertion-Positive NSCLC — BLU-451</w:t>
      </w:r>
    </w:p>
    <w:p>
      <w:pPr>
        <w:spacing w:after="0" w:line="200"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BLU-451 is a selective and potent investigational inhibitor under development for the treatment of EGFR exon 20 insertion-positive NSCLC. In December 2021, we completed our acquisition of Lengo Therapeutics, Inc., along with its lead compound LNG-451, which we refer to as BLU-451.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which we refer to as our CONCERTO trial. In November 2022, at our Investor Day, we presented a case report of a patient with EGFR exon 20 insertion-positive NSCLC, in which BLU-451 led to a confirmed partial response following prior treatment with chemotherapy and immunotherapy, CLN-081 and BDTX-189. We plan to present</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initial data from the CONCERTO trial of BLU-451 in the first half of 2023.</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CDK2-Vulnerable Cancers — BLU-222</w:t>
      </w:r>
    </w:p>
    <w:p>
      <w:pPr>
        <w:spacing w:after="0" w:line="270"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We are developing an investigational inhibitor, BLU-222, targeting CDK2 for the treatment of patients with CDK2-vulnerable cancers. CDK2 is cell cycle regulator and an important cancer target, with relevance across multiple malignancies, including hormone-receptor-positive breast cancer and other CCNE1 amplified tumors, such as subsets of</w:t>
      </w:r>
    </w:p>
    <w:p>
      <w:pPr>
        <w:sectPr>
          <w:pgSz w:w="11900" w:h="16838" w:orient="portrait"/>
          <w:cols w:equalWidth="0" w:num="1">
            <w:col w:w="9019"/>
          </w:cols>
          <w:pgMar w:left="1440" w:top="513" w:right="1440"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ovarian and endometrial cancer. In subsets of patients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21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In the first quarter of 2022, we initiated the Phase 1/2 trial of BLU-222 in CDK2-vulnerable cancers, which we refer to as our VELA trial. BLU-222 is being developed as monotherapy and in combination with other agents, including CDK4/6 inhibitors and ER antagonists, in hormone-receptor-positive, HER2-negative breast cancer (HR+/HER- BC), and as a single agent and in combination in CCNE1-amplified tumor types. We plan to present initial clinical data for BLU-222 in the first half of 2023.</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Advanced Cancers — BLU-852</w:t>
      </w:r>
    </w:p>
    <w:p>
      <w:pPr>
        <w:spacing w:after="0" w:line="26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BLU-852 is a selective and potent investigational inhibitor of MAP4K1, a well-characterized immunokinase involved in the regulation of immune cells. Preclinical data presented at the virtual AACR Annual Meeting in April 2021 show that MAP4K1 inhibition enhanced intratumoral immune cell activation, overcame Treg mediated T cell suppression, and reduced tumor burden both as a monotherapy and in combination with checkpoint inhibition. These preclinical data support the continued development of BLU-852. Under our ongoing cancer immunotherapy collaboration, we expect Roche to initiate a Phase 1 trial of BLU-852, as a single agent and in combination with atezolizumab, in advanced cancers in 2023.</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nominated two development candidates from our discovery programs: a KIT exon 13 inhibitor, IDRX-73 (formerly known as BLU-654), and BLU-525. We will also be sharing our vision for our expanded discovery platform at our Investor Day on November 1, 2022, in New York City.</w:t>
      </w:r>
    </w:p>
    <w:p>
      <w:pPr>
        <w:spacing w:after="0" w:line="217"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Under our targeted protein degradation collaboration with Proteovant, we plan to research and advance up to two novel protein degrader programs into development, with the option to expand to two additional programs. Under our immunotherapy collaboration with Roche, we are conducting activities for up to two discovery programs, including BLU-</w:t>
      </w:r>
    </w:p>
    <w:p>
      <w:pPr>
        <w:spacing w:after="0" w:line="2" w:lineRule="exact"/>
        <w:rPr>
          <w:sz w:val="20"/>
          <w:szCs w:val="20"/>
          <w:color w:val="auto"/>
        </w:rPr>
      </w:pPr>
    </w:p>
    <w:p>
      <w:pPr>
        <w:ind w:left="420" w:hanging="37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Summary below.</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Mast Cell Disorders – wild-type KIT inhibition</w:t>
      </w:r>
    </w:p>
    <w:p>
      <w:pPr>
        <w:spacing w:after="0" w:line="21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pursuing a research program targeting wild-type KIT, which aims to build on our KIT target leadership to design a best-in-class oral precision therapy for prevalent mast cell diseases, including chronic urticaria. Wild-type KIT plays a central role in mast cell survival, proliferation and activation. In addition, mast cells are the primary effector cells in several allergic-inflammatory diseases, including both inducible and spontaneous chronic urticaria. Chronic urticaria is a debilitating inflammatory skin disorder characterized by wheals (hives), and sleep disruption, stress and anxiety due to severe itching are major contributors to disease burden. We have identified multiple examples of compounds meeting our target product profile, which includes potent and selective inhibition of wild-type KIT, low potential for drug/drug</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interactions, and activity that is peripherally restricted.</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Rights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have worldwide development and commercialization rights to avapritinib, other than the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licensed to CStone for these drug candidates in Mainland China, Hong Kong, Macau and Taiwan (the CStone territory). We have entered into distribution agreements for certain European countries in which we do not have our own infrastructure, and we plan to pursue additional regulatory approvals and commercialization of avapritinib in additional countries, including through additional distribution agreements.</w:t>
      </w:r>
    </w:p>
    <w:p>
      <w:pPr>
        <w:spacing w:after="0" w:line="220"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w:t>
      </w:r>
    </w:p>
    <w:p>
      <w:pPr>
        <w:spacing w:after="0" w:line="22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worldwide development and commercialization rights to BLU-945 and BLU-701, other than the rights licensed to Zai Lab for these drug candidates in Mainland China, Hong Kong, Macau, and Taiwan (collectively, the Zai territory).</w:t>
      </w:r>
    </w:p>
    <w:p>
      <w:pPr>
        <w:spacing w:after="0" w:line="203"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Other than the discovery-stage cancer immunotherapy programs (including BLU-852) under our collaboration with Roche, we have worldwide development and commercialization rights to all of our development and discovery programs, including BLU-451, BLU-222 and BLU-263.</w:t>
      </w:r>
    </w:p>
    <w:p>
      <w:pPr>
        <w:spacing w:after="0" w:line="203"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We have granted an exclusive worldwide license to Clementia, a wholly-owned subsidiary of Ipsen S.A., to develop and commercialize BLU-782.</w:t>
      </w:r>
    </w:p>
    <w:p>
      <w:pPr>
        <w:spacing w:after="0" w:line="202" w:lineRule="exact"/>
        <w:rPr>
          <w:sz w:val="20"/>
          <w:szCs w:val="20"/>
          <w:color w:val="auto"/>
        </w:rPr>
      </w:pPr>
    </w:p>
    <w:p>
      <w:pPr>
        <w:ind w:left="60" w:right="699" w:firstLine="648"/>
        <w:spacing w:after="0" w:line="266" w:lineRule="auto"/>
        <w:rPr>
          <w:sz w:val="20"/>
          <w:szCs w:val="20"/>
          <w:color w:val="auto"/>
        </w:rPr>
      </w:pPr>
      <w:r>
        <w:rPr>
          <w:rFonts w:ascii="Times New Roman" w:cs="Times New Roman" w:eastAsia="Times New Roman" w:hAnsi="Times New Roman"/>
          <w:sz w:val="18"/>
          <w:szCs w:val="18"/>
          <w:color w:val="auto"/>
        </w:rPr>
        <w:t>We have granted an exclusive worldwide license to IDRx for a development candidate-stage KIT exon 13 inhibitor, IDRX-73 (formerly known as BLU-654).</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w:t>
      </w:r>
    </w:p>
    <w:p>
      <w:pPr>
        <w:spacing w:after="0" w:line="268"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Roche—Immunotherapy Collaboration. </w:t>
      </w:r>
      <w:r>
        <w:rPr>
          <w:rFonts w:ascii="Times New Roman" w:cs="Times New Roman" w:eastAsia="Times New Roman" w:hAnsi="Times New Roman"/>
          <w:sz w:val="18"/>
          <w:szCs w:val="18"/>
          <w:color w:val="auto"/>
        </w:rPr>
        <w:t>In March 2016, we entered into a collaboration with Roche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224"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Roche—Pralsetinib Collaboration. </w:t>
      </w:r>
      <w:r>
        <w:rPr>
          <w:rFonts w:ascii="Times New Roman" w:cs="Times New Roman" w:eastAsia="Times New Roman" w:hAnsi="Times New Roman"/>
          <w:sz w:val="18"/>
          <w:szCs w:val="18"/>
          <w:color w:val="auto"/>
        </w:rPr>
        <w:t>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are also co-developing pralsetinib globally in RET-altered solid tumors, including NSCLC, MTC and other thyroid cancers, and expanding development of pralsetinib in multiple treatment settings.</w:t>
      </w:r>
    </w:p>
    <w:p>
      <w:pPr>
        <w:spacing w:after="0" w:line="211" w:lineRule="exact"/>
        <w:rPr>
          <w:sz w:val="20"/>
          <w:szCs w:val="20"/>
          <w:color w:val="auto"/>
        </w:rPr>
      </w:pPr>
    </w:p>
    <w:p>
      <w:pPr>
        <w:ind w:left="60" w:right="4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CStone. </w:t>
      </w:r>
      <w:r>
        <w:rPr>
          <w:rFonts w:ascii="Times New Roman" w:cs="Times New Roman" w:eastAsia="Times New Roman" w:hAnsi="Times New Roman"/>
          <w:sz w:val="18"/>
          <w:szCs w:val="18"/>
          <w:color w:val="auto"/>
        </w:rPr>
        <w:t>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back-up forms and certain other forms, in the CStone territory either as a monotherapy or as part of a combination therapy.</w:t>
      </w:r>
    </w:p>
    <w:p>
      <w:pPr>
        <w:spacing w:after="0" w:line="21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Clementia. </w:t>
      </w:r>
      <w:r>
        <w:rPr>
          <w:rFonts w:ascii="Times New Roman" w:cs="Times New Roman" w:eastAsia="Times New Roman" w:hAnsi="Times New Roman"/>
          <w:sz w:val="18"/>
          <w:szCs w:val="18"/>
          <w:color w:val="auto"/>
        </w:rPr>
        <w:t>In October 2019, we entered into a license agreement with Clementia, a wholly-owned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ALK2 in development for the treatment of FOP. The FDA has granted a rare pediatric disease designation, orphan drug designation and fast track designation to BLU-782, each for the treatment of FOP. Clementia initiated patient dosing in a Phase 2 clinical trial of BLU-782, now referred to as IPN60130, in the first quarter of 2022.</w:t>
      </w:r>
    </w:p>
    <w:p>
      <w:pPr>
        <w:spacing w:after="0" w:line="21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Zai Lab</w:t>
      </w:r>
      <w:r>
        <w:rPr>
          <w:rFonts w:ascii="Times New Roman" w:cs="Times New Roman" w:eastAsia="Times New Roman" w:hAnsi="Times New Roman"/>
          <w:sz w:val="18"/>
          <w:szCs w:val="18"/>
          <w:color w:val="auto"/>
        </w:rPr>
        <w:t>. In November 2021, we entered into a collaboration with Zai Lab to develop and commercialize BLU-701, BLU-945, including their respective back-up forms and certain other forms thereof, for the treatment of EGFR-driven NSCLC in Greater China, including Mainland China, Hong Kong, Macau and Taiwan. The collaboration aims to accelerate and expand global development of BLU-701 and BLU-945, and potential future candidates.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Proteovant</w:t>
      </w:r>
      <w:r>
        <w:rPr>
          <w:rFonts w:ascii="Times New Roman" w:cs="Times New Roman" w:eastAsia="Times New Roman" w:hAnsi="Times New Roman"/>
          <w:sz w:val="18"/>
          <w:szCs w:val="18"/>
          <w:color w:val="auto"/>
        </w:rPr>
        <w:t>. In February 2022, we entered into a collaboration with Proteovant to research and advance novel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protein degrader therapies to address medical needs in oncology and hematology. The collaboration will leverage Proteovant’s artificial intelligence-enhanced targeted protein degradation platform and our small molecule precision medicine capabilities to discover and advance up to two novel protein degrader target programs into development, with the option to extend to two additional programs.</w:t>
      </w:r>
    </w:p>
    <w:p>
      <w:pPr>
        <w:spacing w:after="0" w:line="210"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IDRx. </w:t>
      </w:r>
      <w:r>
        <w:rPr>
          <w:rFonts w:ascii="Times New Roman" w:cs="Times New Roman" w:eastAsia="Times New Roman" w:hAnsi="Times New Roman"/>
          <w:sz w:val="18"/>
          <w:szCs w:val="18"/>
          <w:color w:val="auto"/>
        </w:rPr>
        <w:t>In August 2022, we entered into the IDRx License Agreement and a Stock Purchase Agreement with IDRx,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recently launched clinical-stage biopharmaceutical company. Pursuant to these agreements, we licensed a development candidate-stage KIT exon 13 inhibitor, IDRX-73 (formerly known as BLU-654), to IDRx in exchange for 4,509,105 shares of IDRx’s Series A preferred stock received as noncash consideration and the eligibility to receive up to $217.5 million in contingent cash payments, including specified development, regulatory and sales-based milestone payments and tiered royalty payments.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Mergers &amp; Acquisitions Summary</w:t>
      </w:r>
    </w:p>
    <w:p>
      <w:pPr>
        <w:spacing w:after="0" w:line="2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Lengo Therapeutics</w:t>
      </w:r>
      <w:r>
        <w:rPr>
          <w:rFonts w:ascii="Times New Roman" w:cs="Times New Roman" w:eastAsia="Times New Roman" w:hAnsi="Times New Roman"/>
          <w:sz w:val="18"/>
          <w:szCs w:val="18"/>
          <w:color w:val="auto"/>
        </w:rPr>
        <w:t>. In December 2021, we completed our acquisition of Lengo Therapeutics, Inc., along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compound LNG-451, now known as BLU-451, which is in development for the treatment of NSCLC in patients with EGFR exon 20 insertion mutations. The acquisition also brought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225" w:lineRule="exact"/>
        <w:rPr>
          <w:sz w:val="20"/>
          <w:szCs w:val="20"/>
          <w:color w:val="auto"/>
        </w:rPr>
      </w:pPr>
    </w:p>
    <w:p>
      <w:pPr>
        <w:ind w:left="60" w:right="79" w:firstLine="648"/>
        <w:spacing w:after="0" w:line="275" w:lineRule="auto"/>
        <w:rPr>
          <w:sz w:val="20"/>
          <w:szCs w:val="20"/>
          <w:color w:val="auto"/>
        </w:rPr>
      </w:pPr>
      <w:r>
        <w:rPr>
          <w:rFonts w:ascii="Times New Roman" w:cs="Times New Roman" w:eastAsia="Times New Roman" w:hAnsi="Times New Roman"/>
          <w:sz w:val="17"/>
          <w:szCs w:val="17"/>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 Summary</w:t>
      </w:r>
    </w:p>
    <w:p>
      <w:pPr>
        <w:spacing w:after="0" w:line="25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Purchase. </w:t>
      </w:r>
      <w:r>
        <w:rPr>
          <w:rFonts w:ascii="Times New Roman" w:cs="Times New Roman" w:eastAsia="Times New Roman" w:hAnsi="Times New Roman"/>
          <w:sz w:val="18"/>
          <w:szCs w:val="18"/>
          <w:color w:val="auto"/>
        </w:rPr>
        <w:t>In June 2022, we entered into a Royalty Purchase Agreement with Royalty Pharma.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Royalty Purchase Agreement, we received an upfront cash payment of $175.0 million and the right to receive up to $165.0 million in certain milestone payments, subject to the achievement of specified net sales milestones by Roche, in exchange for all of our existing rights to receive royalty payments on the net sales of GAVRETO worldwide excluding the CStone territory and U.S. territory under the terms of the Roche pralsetinib collaboration agreement.</w:t>
      </w:r>
    </w:p>
    <w:p>
      <w:pPr>
        <w:spacing w:after="0" w:line="21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a Future Revenue Purchase Agreement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2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for up to $660.0 million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The Financing Agreement provides for (i) a senior secured term loan facility of up to $150.0 million and (ii) a senior secured delayed draw term loan facility of up to $250.0 million to be funded in two tranches at the Company’s choice. The loans will mature on June 30, 2028 and bear interest at a variable rate equal to either the SOFR plus six and one half percent (6.50%) or the base rate plus five and one half percent (5.50%), subject to a floor of one percent (1%) and two percent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 on the Ongoing COVID-19 Pandemic</w:t>
      </w:r>
    </w:p>
    <w:p>
      <w:pPr>
        <w:spacing w:after="0" w:line="270" w:lineRule="exact"/>
        <w:rPr>
          <w:sz w:val="20"/>
          <w:szCs w:val="20"/>
          <w:color w:val="auto"/>
        </w:rPr>
      </w:pPr>
    </w:p>
    <w:p>
      <w:pPr>
        <w:ind w:left="60" w:right="79" w:firstLine="661"/>
        <w:spacing w:after="0" w:line="250" w:lineRule="auto"/>
        <w:rPr>
          <w:sz w:val="20"/>
          <w:szCs w:val="20"/>
          <w:color w:val="auto"/>
        </w:rPr>
      </w:pPr>
      <w:r>
        <w:rPr>
          <w:rFonts w:ascii="Times New Roman" w:cs="Times New Roman" w:eastAsia="Times New Roman" w:hAnsi="Times New Roman"/>
          <w:sz w:val="18"/>
          <w:szCs w:val="18"/>
          <w:color w:val="auto"/>
        </w:rPr>
        <w:t>Due to the continued evolution and global impact of the ongoing COVID-19 pandemic, we cannot precisely determine or quantify the impact this pandemic will have on our business, operations and financial performance. For our ongoing and planned clinical trials, while we anticipate and have experienced some delays or disruptions due to the COVID-19 pandemic, we have successfully worked with impacted clinical trial sites to ensure study continuity. We actively monitor for COVID-19-related impacts to our supply chain, and we currently have sufficient supply or plans for supply to meet our anticipated global commercial and clinical development needs for our approved drugs and clinical-stage drug candidates. COVID-19 may also impact and has impacted our commercial activities for AYVAKIT/AYVAKYT and GAVRETO, including patient access to testing and identification, but we have observed an increase in in-person engagements and will continue to conduct commercial and medical affairs field activities across our portfolio in virtual formats where in-person interactions are not feasible.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keeping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70"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 license agreement, future royalty and revenue monetization, and a term loan. Through September 30, 2022, we have received an aggregate of $3.6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Pharma Holding (Alexion), and $150.0 million in gross proceeds from a term loan from Sixth Street Partners. Since January 2020, we have also generated revenue through the sales of our approved drug products.</w:t>
      </w:r>
    </w:p>
    <w:p>
      <w:pPr>
        <w:spacing w:after="0" w:line="23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 December 31, 2020. Our net loss was $398.9 million for the nine months ended September 30, 2022. For the year ended December 31, 2021, our net loss was $644.1 million, which included $260.0 million of expenses related to the acquisition of Lengo, and our net income was $313.9 million for the year ended December 31, 2020, primarily due to the collaboration revenue recorded under our collaboration with Roche for pralsetinib. Our net loss was $347.7 million for the year ended December 31, 2019. As of September 30, 2022, we had an accumulated deficit of $1,674.3 million. We expect to continue to incur significant expenses and operating losses over the next few years. We anticipate that our expenses will continue to increase in connection with our ongoing activities, particularly as we:</w:t>
      </w:r>
    </w:p>
    <w:p>
      <w:pPr>
        <w:spacing w:after="0" w:line="232" w:lineRule="exact"/>
        <w:rPr>
          <w:sz w:val="20"/>
          <w:szCs w:val="20"/>
          <w:color w:val="auto"/>
        </w:rPr>
      </w:pPr>
    </w:p>
    <w:p>
      <w:pPr>
        <w:ind w:left="1380" w:right="319" w:hanging="331"/>
        <w:spacing w:after="0" w:line="296" w:lineRule="auto"/>
        <w:tabs>
          <w:tab w:leader="none" w:pos="1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sales, marketing and distribution infrastructure to continue to commercialize our drug and any current or future drug candidates for which we may obtain marketing approval;</w:t>
      </w:r>
    </w:p>
    <w:p>
      <w:pPr>
        <w:spacing w:after="0" w:line="165" w:lineRule="exact"/>
        <w:rPr>
          <w:rFonts w:ascii="Times New Roman" w:cs="Times New Roman" w:eastAsia="Times New Roman" w:hAnsi="Times New Roman"/>
          <w:sz w:val="17"/>
          <w:szCs w:val="17"/>
          <w:color w:val="auto"/>
        </w:rPr>
      </w:pPr>
    </w:p>
    <w:p>
      <w:pPr>
        <w:ind w:left="1380" w:right="499" w:hanging="331"/>
        <w:spacing w:after="0" w:line="266"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our drug candidates, including avapritinib and pralsetinib in additional indications or avapritinib in additional geographies;</w:t>
      </w:r>
    </w:p>
    <w:p>
      <w:pPr>
        <w:spacing w:after="0" w:line="189" w:lineRule="exact"/>
        <w:rPr>
          <w:rFonts w:ascii="Times New Roman" w:cs="Times New Roman" w:eastAsia="Times New Roman" w:hAnsi="Times New Roman"/>
          <w:sz w:val="18"/>
          <w:szCs w:val="18"/>
          <w:color w:val="auto"/>
        </w:rPr>
      </w:pPr>
    </w:p>
    <w:p>
      <w:pPr>
        <w:ind w:left="1380" w:right="99" w:hanging="331"/>
        <w:spacing w:after="0" w:line="258"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activities for avapritinib and pralsetinib and initiate or advance clinical development activities for other current or future drug candidates as monotherapies or in combination with other agents;</w:t>
      </w:r>
    </w:p>
    <w:p>
      <w:pPr>
        <w:spacing w:after="0" w:line="196"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BLU-945, BLU-701, BLU-525, BLU-451, BLU-263 and BLU-222;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39" w:hanging="331"/>
        <w:spacing w:after="0" w:line="261"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w:t>
      </w:r>
    </w:p>
    <w:p>
      <w:pPr>
        <w:spacing w:after="0" w:line="166"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development and commercialization activities for companion diagnostic tests for our drugs and drug candidates;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our collaborations with Roche, CStone, Zai Lab and Proteovant;</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1"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0"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21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September 2020, the FDA granted accelerated approval to pralsetinib under the brand name GAVRETO for the treatment of adult patients with metastatic RET fusion-positive NSCLC as detected by an FDA approved test.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23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For the three and nine months ended September 30, 2022, our revenue primarily consisted of product sales of AYVAKIT/ AYVAKYT as well as collaboration and license revenue under our collaborations with CStone and Roche and license agreements with Clementia and IDRx. We transferred certain responsibilities associated with product sales to customers, pricing and distribution matters related to U.S. product sales of GAVRETO to Roche on July 1, 2021, and have not recorded any net product revenue from product sales of GAVRETO after this date. For additional information, see Note 10</w:t>
      </w:r>
      <w:r>
        <w:rPr>
          <w:rFonts w:ascii="Times New Roman" w:cs="Times New Roman" w:eastAsia="Times New Roman" w:hAnsi="Times New Roman"/>
          <w:sz w:val="18"/>
          <w:szCs w:val="18"/>
          <w:i w:val="1"/>
          <w:iCs w:val="1"/>
          <w:color w:val="auto"/>
        </w:rPr>
        <w:t>, Collaboration and License Agreements</w:t>
      </w:r>
      <w:r>
        <w:rPr>
          <w:rFonts w:ascii="Times New Roman" w:cs="Times New Roman" w:eastAsia="Times New Roman" w:hAnsi="Times New Roman"/>
          <w:sz w:val="18"/>
          <w:szCs w:val="18"/>
          <w:color w:val="auto"/>
        </w:rPr>
        <w:t>, to our unaudited condensed consolidated financial statements. Collaboration and license revenue for the three and nine months ended September 30, 2022 primarily includes amounts that were recognized related to upfront consideration, milestone payments, amounts due to us for supply of inventory (under our collaboration agreements) and research and development services, and royalties on drug sales.</w:t>
      </w:r>
    </w:p>
    <w:p>
      <w:pPr>
        <w:spacing w:after="0" w:line="21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as well as the sale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Prior to receiving the initial FDA approval for AYVAKIT and GAVRETO in January 2020 and September 2020, respectively, and subsequent approval for AYVAKIT in June 2021, we manufactured inventory to be sold upon commercialization and recorded approximately $37.7 million related to this inventory as research and development expense. As a result, certain manufacturing costs related to the inventory build-up incurred before FDA approval were expensed in prior periods and are therefore excluded from the cost of goods sold for the three and nine months ended September 30, 2022. We estimate our cost of goods sold related to product revenue as a percentage of net product revenue will continue to be positively impacted as we sell through certain inventory that was previously expensed prior to FDA approval. We expect to utilize low-cost inventory for an extended period of time. Once the low-cost inventory balances are sold through, we estimate our costs of goods sold related to product sales to remain in the mid-single digit percentage range. Cost of goods sold related to sales of drug products to our collaboration partners are at lower margins and will partially offset the positive impact of the previously expensed inventory.</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5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10</w:t>
      </w:r>
      <w:r>
        <w:rPr>
          <w:rFonts w:ascii="Times New Roman" w:cs="Times New Roman" w:eastAsia="Times New Roman" w:hAnsi="Times New Roman"/>
          <w:sz w:val="18"/>
          <w:szCs w:val="18"/>
          <w:i w:val="1"/>
          <w:iCs w:val="1"/>
          <w:color w:val="auto"/>
        </w:rPr>
        <w:t>, 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to our unaudited condensed consolidated financial statements. We expect collaboration loss sharing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fluctuate from quarter to quarter as a result of the timing and amount of GAVRETO sales.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8"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67" w:lineRule="exact"/>
        <w:rPr>
          <w:sz w:val="20"/>
          <w:szCs w:val="20"/>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acquire in-process research and development asset with no alternative future use;</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380" w:right="85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for the development and commercialization of companion diagnostic tests;</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development activities under our immunotherapy collaboration with Roche, development activities under our collaboration for pralsetinib with Roche, and research and development activities under our collaboration with Proteovant;</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1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7"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195"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to ensure adequate clinical and commercial supply;</w:t>
      </w:r>
    </w:p>
    <w:p>
      <w:pPr>
        <w:spacing w:after="0" w:line="161" w:lineRule="exact"/>
        <w:rPr>
          <w:rFonts w:ascii="Times New Roman" w:cs="Times New Roman" w:eastAsia="Times New Roman" w:hAnsi="Times New Roman"/>
          <w:sz w:val="18"/>
          <w:szCs w:val="18"/>
          <w:color w:val="auto"/>
        </w:rPr>
      </w:pPr>
    </w:p>
    <w:p>
      <w:pPr>
        <w:ind w:left="1380" w:right="113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GAVRETO and our drug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GAVRETO and our drug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GAVRETO and any future drug we may commercialize;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6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10" w:lineRule="exact"/>
        <w:rPr>
          <w:sz w:val="20"/>
          <w:szCs w:val="20"/>
          <w:color w:val="auto"/>
        </w:rPr>
      </w:pPr>
    </w:p>
    <w:p>
      <w:pPr>
        <w:ind w:left="60" w:right="35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and nine months ended September 30, 2022 and 2021.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55"/>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3"/>
                <w:szCs w:val="13"/>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4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4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BLU-263 external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EFGR franchise (BLU-525/701/945)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33,229</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BLU-222 external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BLU-451 external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development and pre-development candidate</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and unallocated expenses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28,931</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w:t>
            </w: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99,333</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74,918</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359,579</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244,157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020" w:right="119" w:hanging="322"/>
        <w:spacing w:after="0" w:line="25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includes reduction for reimbursable expenses from Roche or increases in reimbursements to Roche under our collaboration for pralsetinib with Roche, and other development and pre-development candidate expenses includes reduction for reimbursable expenses under our other collaboration agreement.</w:t>
      </w:r>
    </w:p>
    <w:p>
      <w:pPr>
        <w:spacing w:after="0" w:line="227"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for pralsetinib with Roche, research and development activities under our collaboration with Proteovant and development activities for companion diagnostic tests for any current and future drug candidates.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1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6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Interest income (expense), net consists primarily of interest expense related to our financing arrangements with Royalty Pharma and Sixth Street Partners. Interest expense on liabilities related to the sale of future royalties and revenues consists of the periodic interest calculated using the effective interest rate method over the future estimated royalty payments due to Royalty Pharma and Sixth Street Partners over the life of the agreements. Interest expense on the term loan with Sixth Street Partners results from the amortization of the debt liability using the effective interest method over the maturity of the term loan.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unaudited condensed consolidated financial statements.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income (expense), net also includes income earned on cash equivalents and marketable securities.</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income (expense), net consists primarily of foreign currency transaction gains or losses.</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consists of federal, state and foreign income taxes incurred.</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2021. There have been no significant changes to our critical accounting policies and estimates since December 31, 2021 with the exception of the below new policies.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5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are carried at cost, less any impairments, plus or minus changes resulting from observable price changes in orderly transactions for the identical or a similar investment of the same issuer. Each period we assess relevant transactions to identify observable price changes, and regularly monitor these investments to evaluate whether there is an indication of impairment. We evaluate whether an investment’s fair value is less than its carrying value using an estimate of fair value, if such an estimate is available. For periods in which there is no estimate of fair value, we evaluate whether an event or change in circumstances has occurred that may have a significant adverse effect on the value of the investment.</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68"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7"/>
          <w:szCs w:val="17"/>
          <w:color w:val="auto"/>
        </w:rPr>
        <w:t>We account for net proceeds from sales of our rights to receive future royalty payments and from sales of future revenues as liabilities related to the sale of future royalties and revenues if we have significant continuing involvement in the generation of the related future cash flows. Interest on the liabilities related to the sale of future royalties and revenues will be recognized using the effective interest rate method over the life of the related royalty or revenue stream. The liabilities related to the sale of future royalties and revenues and the related interest expenses are based on our current estimates of future royalties and revenues as well as commercial milestones expected to be achieved and received over the life of the arrangement, which we determine by using forecasts of the underlying drug products of the underlying regions. We periodically assess the expected payments and to the extent the amount or timing of the future estimated payments is materially different than previous estimates, we account for any such change by adjusting carrying value of the liabilities related to the sale of future royalties and revenues, and prospectively recognizing the related interest expenses.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2022 and 2021</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 together with the changes in those items in dollars and as a percentage: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8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Net product revenue increased by $11.4 million from $17.3 million for three months ended September 30, 2021 to $28.6 million for three months ended September 30, 2022.</w:t>
      </w:r>
    </w:p>
    <w:p>
      <w:pPr>
        <w:spacing w:after="0" w:line="176"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during the three months ended September 30,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Borders>
              <w:bottom w:val="single" w:sz="8" w:color="auto"/>
            </w:tcBorders>
          </w:tcPr>
          <w:p>
            <w:pPr>
              <w:spacing w:after="0"/>
              <w:rPr>
                <w:sz w:val="16"/>
                <w:szCs w:val="16"/>
                <w:color w:val="auto"/>
              </w:rPr>
            </w:pPr>
          </w:p>
        </w:tc>
      </w:tr>
      <w:tr>
        <w:trPr>
          <w:trHeight w:val="196"/>
        </w:trPr>
        <w:tc>
          <w:tcPr>
            <w:tcW w:w="44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36"/>
        </w:trPr>
        <w:tc>
          <w:tcPr>
            <w:tcW w:w="4480" w:type="dxa"/>
            <w:vAlign w:val="bottom"/>
          </w:tcPr>
          <w:p>
            <w:pPr>
              <w:spacing w:after="0"/>
              <w:rPr>
                <w:sz w:val="11"/>
                <w:szCs w:val="11"/>
                <w:color w:val="auto"/>
              </w:rPr>
            </w:pPr>
          </w:p>
        </w:tc>
        <w:tc>
          <w:tcPr>
            <w:tcW w:w="76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4"/>
                <w:szCs w:val="14"/>
                <w:b w:val="1"/>
                <w:bCs w:val="1"/>
                <w:color w:val="auto"/>
              </w:rPr>
              <w:t>United</w:t>
            </w:r>
          </w:p>
        </w:tc>
        <w:tc>
          <w:tcPr>
            <w:tcW w:w="680" w:type="dxa"/>
            <w:vAlign w:val="bottom"/>
            <w:gridSpan w:val="2"/>
          </w:tcPr>
          <w:p>
            <w:pPr>
              <w:jc w:val="center"/>
              <w:ind w:right="20"/>
              <w:spacing w:after="0" w:line="136" w:lineRule="exact"/>
              <w:rPr>
                <w:sz w:val="20"/>
                <w:szCs w:val="20"/>
                <w:color w:val="auto"/>
              </w:rPr>
            </w:pPr>
            <w:r>
              <w:rPr>
                <w:rFonts w:ascii="Times New Roman" w:cs="Times New Roman" w:eastAsia="Times New Roman" w:hAnsi="Times New Roman"/>
                <w:sz w:val="14"/>
                <w:szCs w:val="14"/>
                <w:b w:val="1"/>
                <w:bCs w:val="1"/>
                <w:color w:val="auto"/>
              </w:rPr>
              <w:t>Rest of</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4"/>
                <w:szCs w:val="14"/>
                <w:b w:val="1"/>
                <w:bCs w:val="1"/>
                <w:color w:val="auto"/>
              </w:rPr>
              <w:t>United</w:t>
            </w:r>
          </w:p>
        </w:tc>
        <w:tc>
          <w:tcPr>
            <w:tcW w:w="680" w:type="dxa"/>
            <w:vAlign w:val="bottom"/>
            <w:gridSpan w:val="2"/>
          </w:tcPr>
          <w:p>
            <w:pPr>
              <w:jc w:val="center"/>
              <w:ind w:right="20"/>
              <w:spacing w:after="0" w:line="136" w:lineRule="exact"/>
              <w:rPr>
                <w:sz w:val="20"/>
                <w:szCs w:val="20"/>
                <w:color w:val="auto"/>
              </w:rPr>
            </w:pPr>
            <w:r>
              <w:rPr>
                <w:rFonts w:ascii="Times New Roman" w:cs="Times New Roman" w:eastAsia="Times New Roman" w:hAnsi="Times New Roman"/>
                <w:sz w:val="14"/>
                <w:szCs w:val="14"/>
                <w:b w:val="1"/>
                <w:bCs w:val="1"/>
                <w:color w:val="auto"/>
              </w:rPr>
              <w:t>Rest of</w:t>
            </w:r>
          </w:p>
        </w:tc>
        <w:tc>
          <w:tcPr>
            <w:tcW w:w="760" w:type="dxa"/>
            <w:vAlign w:val="bottom"/>
          </w:tcPr>
          <w:p>
            <w:pPr>
              <w:spacing w:after="0"/>
              <w:rPr>
                <w:sz w:val="11"/>
                <w:szCs w:val="11"/>
                <w:color w:val="auto"/>
              </w:rPr>
            </w:pPr>
          </w:p>
        </w:tc>
      </w:tr>
      <w:tr>
        <w:trPr>
          <w:trHeight w:val="195"/>
        </w:trPr>
        <w:tc>
          <w:tcPr>
            <w:tcW w:w="4480" w:type="dxa"/>
            <w:vAlign w:val="bottom"/>
          </w:tcPr>
          <w:p>
            <w:pPr>
              <w:spacing w:after="0"/>
              <w:rPr>
                <w:sz w:val="16"/>
                <w:szCs w:val="16"/>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World</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World</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AYVAKIT/AYVAKYT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$ 25,054</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$ 3,580</w:t>
            </w: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$ 28,634</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$ 14,656</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$ 2,614</w:t>
            </w: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$ 17,270</w:t>
            </w:r>
          </w:p>
        </w:tc>
      </w:tr>
    </w:tbl>
    <w:p>
      <w:pPr>
        <w:spacing w:after="0" w:line="200" w:lineRule="exact"/>
        <w:rPr>
          <w:sz w:val="20"/>
          <w:szCs w:val="20"/>
          <w:color w:val="auto"/>
        </w:rPr>
      </w:pPr>
    </w:p>
    <w:p>
      <w:pPr>
        <w:spacing w:after="0" w:line="214"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increase in net product revenue of AYVAKIT/AYVAKYT was primarily driven by the FDA and European Commission approvals to expand the labeled indications to include adult patients with advanced SM.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Collaboration and license revenue increased by $2.9 million from $6.9 million for the three months ended September 30, 2021 to $9.8 million for the three months ended September 30, 2022. The following table summarizes the revenue recognized from our collaboration and license agreements during the three months ended September 30, 2022 and 2021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1"/>
        </w:trPr>
        <w:tc>
          <w:tcPr>
            <w:tcW w:w="6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with Roche for pralsetinib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Cancer immunotherapy with Roche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under our collaboration with Roche for pralsetinib for the three months ended</w:t>
      </w:r>
    </w:p>
    <w:p>
      <w:pPr>
        <w:spacing w:after="0" w:line="16" w:lineRule="exact"/>
        <w:rPr>
          <w:sz w:val="20"/>
          <w:szCs w:val="20"/>
          <w:color w:val="auto"/>
        </w:rPr>
      </w:pPr>
    </w:p>
    <w:p>
      <w:pPr>
        <w:jc w:val="both"/>
        <w:ind w:left="60" w:right="139"/>
        <w:spacing w:after="0" w:line="249" w:lineRule="auto"/>
        <w:rPr>
          <w:sz w:val="20"/>
          <w:szCs w:val="20"/>
          <w:color w:val="auto"/>
        </w:rPr>
      </w:pPr>
      <w:r>
        <w:rPr>
          <w:rFonts w:ascii="Times New Roman" w:cs="Times New Roman" w:eastAsia="Times New Roman" w:hAnsi="Times New Roman"/>
          <w:sz w:val="18"/>
          <w:szCs w:val="18"/>
          <w:color w:val="auto"/>
        </w:rPr>
        <w:t>September 30, 2022 was primarily associated with manufacturing services related to ex-US territory-specific activities and royalties on drug sales. Revenue recognized under our CStone collaboration for the three months ended</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September 30, 2022 was primarily generated by royalties on drug sales and the manufacturing services associated with CStone territory-specific activities during the quarter. Revenue recognized under our cancer immunotherapy collaboration with Roche for the three months ended September 30, 2022 consisted of amortization of the total transaction price of the arrangement achieved as of such period.</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Revenue recognized under our collaboration with Roche for pralsetinib for the three months ended September 30, 2021 was primarily associated with manufacturing and other services related to Roche territory-specific activities. Revenue recognized under our CStone collaboration for the three months ended September 30, 2021 was primarily generated by royalties on drug sales and the manufacturing services associated with CStone territory-specific activities during the quarter, including supply of drug substance and drug product to CStone for sale in their territory. Revenue recognized under our cancer immunotherapy collaboration with Roche for three months ended September 30, 2021 consisted of amortization of the total $64.5 million of upfront and milestone payments achieved as of such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 – Related Party</w:t>
      </w:r>
    </w:p>
    <w:p>
      <w:pPr>
        <w:spacing w:after="0" w:line="227" w:lineRule="exact"/>
        <w:rPr>
          <w:sz w:val="20"/>
          <w:szCs w:val="20"/>
          <w:color w:val="auto"/>
        </w:rPr>
      </w:pPr>
    </w:p>
    <w:p>
      <w:pPr>
        <w:ind w:left="60" w:right="539" w:firstLine="648"/>
        <w:spacing w:after="0" w:line="258" w:lineRule="auto"/>
        <w:rPr>
          <w:sz w:val="20"/>
          <w:szCs w:val="20"/>
          <w:color w:val="auto"/>
        </w:rPr>
      </w:pPr>
      <w:r>
        <w:rPr>
          <w:rFonts w:ascii="Times New Roman" w:cs="Times New Roman" w:eastAsia="Times New Roman" w:hAnsi="Times New Roman"/>
          <w:sz w:val="18"/>
          <w:szCs w:val="18"/>
          <w:color w:val="auto"/>
        </w:rPr>
        <w:t>License revenue – related party was $27.5 million for the three months ended September 30, 2022, which represents the license revenue recorded under the IDRx License Agreement. For additional information, see Note 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to our unaudited condensed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product sales decreased by $0.8 million from $3.8 million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2021 to $3.0 million for the three months ended September 30, 2022, and was related to manufacturing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associated with our products sales as well as costs associated with the sale of drug products to our collaboration</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partners. The following table summarizes the cost of sales by type during the three months ended September 30, 2022 and</w:t>
      </w:r>
    </w:p>
    <w:p>
      <w:pPr>
        <w:ind w:left="60"/>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1"/>
        </w:trPr>
        <w:tc>
          <w:tcPr>
            <w:tcW w:w="6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4"/>
        </w:trPr>
        <w:tc>
          <w:tcPr>
            <w:tcW w:w="6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collaboration sales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decrease in costs of product sales was primarily driven by costs incurred in the prior year that weren’t present in the current year, including a write-down of $0.4 million for the three months ended September 30, 2021. In addition, costs associated with our net product revenue remain at higher margins as certain costs associated with the manufacture of our drugs prior to FDA approval were recorded as research and development expenses and, therefore, were not included in cost of sales during such period.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27"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Our loss sharing under the collaboration with Roche for pralsetinib decreased by $1.6 million from $3.3 million for the three months ended September 30, 2021 to $1.7 million for the three months ended September 30,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60" w:right="399" w:firstLine="648"/>
        <w:spacing w:after="0" w:line="277" w:lineRule="auto"/>
        <w:rPr>
          <w:sz w:val="20"/>
          <w:szCs w:val="20"/>
          <w:color w:val="auto"/>
        </w:rPr>
      </w:pPr>
      <w:r>
        <w:rPr>
          <w:rFonts w:ascii="Times New Roman" w:cs="Times New Roman" w:eastAsia="Times New Roman" w:hAnsi="Times New Roman"/>
          <w:sz w:val="17"/>
          <w:szCs w:val="17"/>
          <w:color w:val="auto"/>
        </w:rPr>
        <w:t>Research and development expense increased by $43.6 million from $84.4 million for the three months ended September 30, 2021 to $128.0 million for the three months ended September 30, 2022. The increase in research and development expense was primarily due to an increase of $26.2 million in increased clinical supply manufacturing and clinical development activities due to the progression and expansion of our clinical trials, an increase of $8.5 million in costs related to early discovery and expanding the platform, and an increase of $8.9 million in personnel expenses.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increased by $7.8 million from $49.8 million for the three months ended September 30, 2021 to $57.6 million for the three months ended September 30, 2022. The increase in selling, general and administrative expense was primarily related to an increase of $3.4 million in personnel expenses associated with the expansion of our commercial infrastructure for commercialization of AYVAKIT/AYVAKIT, including a $0.4 million increase in stock-based compensation expense, an increase of $3.0 million in other general expenses to operate the business, and an increase of $1.4 million in commercial expenses primarily related to the expansion of our commercial infrastructure for commercialization of AYVAKIT/AYVAKYT.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$8.9 million from $0.6 million interest income for the three months ended September 30, 2021 to $8.4 million interest expense for the three months ended September 30, 2022. This increase was due to the interest charges on the liabilities related to the sale of future royalties and revenues with Royalty Pharma and Sixth Street Partners as well as the term loan with Sixth Street Partners.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60" w:right="1199"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increased by $0.9 million from $0.5 million expense for the three months ended September 30, 2021 to $0.4 million income for the three months ended September 30,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 xml:space="preserve">Income tax expense increased by $0.7 million from $0.2 million for the three months ended September 30, 2021 to $0.9 million for three months ended September 30, 2022. In June 2022, we entered into a Royalty Purchase Agreement with Royalty Pharma and a Future Revenue Purchase Agreement with Sixth Street Partners. Pursuant to the agreements, we received gross proceeds of $175.0 million from Royalty Pharma in June 2022 and $250.0 million from Sixth Street Partners in July 2022. Both cash considerations in their entirety are considered as taxable income for the calendar year ending December 31, 2022 which resulted in the Company being in an estimated taxable income position for the calendar year ending December 31, 2022 and the increase in income tax expense for three months ended September 30, 2022. For additional information, see Note 13,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to our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 together with the changes in those items in dollars and as a percentage: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 w:type="dxa"/>
            <w:vAlign w:val="bottom"/>
            <w:vMerge w:val="restart"/>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w:t>
            </w:r>
          </w:p>
        </w:tc>
        <w:tc>
          <w:tcPr>
            <w:tcW w:w="1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(9,450)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(398,871)</w:t>
            </w:r>
          </w:p>
        </w:tc>
        <w:tc>
          <w:tcPr>
            <w:tcW w:w="14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(325,399)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(73,472)</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Net product revenue increased by $43.3 million from $37.7 million for the nine months ended September 30, 2021 to $80.9 million for the nine months ended September 30, 2022.</w:t>
      </w:r>
    </w:p>
    <w:p>
      <w:pPr>
        <w:spacing w:after="0" w:line="148"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 xml:space="preserve">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We transferred certain responsibilities associated with product sales to customers, pricing and distribution matters related to U.S. product sales of GAVRETO to our collaboration partner on July 1, 2021, and have not recorded any net product revenue from product sales of GAVRETO after this date. For additional information, see Note 10, </w:t>
      </w:r>
      <w:r>
        <w:rPr>
          <w:rFonts w:ascii="Times New Roman" w:cs="Times New Roman" w:eastAsia="Times New Roman" w:hAnsi="Times New Roman"/>
          <w:sz w:val="17"/>
          <w:szCs w:val="17"/>
          <w:i w:val="1"/>
          <w:iCs w:val="1"/>
          <w:color w:val="auto"/>
        </w:rPr>
        <w:t>Collaboration and License Agreements</w:t>
      </w:r>
      <w:r>
        <w:rPr>
          <w:rFonts w:ascii="Times New Roman" w:cs="Times New Roman" w:eastAsia="Times New Roman" w:hAnsi="Times New Roman"/>
          <w:sz w:val="17"/>
          <w:szCs w:val="17"/>
          <w:color w:val="auto"/>
        </w:rPr>
        <w:t>, to our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and GAVRETO during the nine months ended September 30, 2022 and 2021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United</w:t>
            </w: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 of</w:t>
            </w:r>
          </w:p>
        </w:tc>
        <w:tc>
          <w:tcPr>
            <w:tcW w:w="16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World</w:t>
            </w:r>
          </w:p>
        </w:tc>
        <w:tc>
          <w:tcPr>
            <w:tcW w:w="780" w:type="dxa"/>
            <w:vAlign w:val="bottom"/>
            <w:gridSpan w:val="2"/>
            <w:vMerge w:val="continue"/>
          </w:tcPr>
          <w:p>
            <w:pPr>
              <w:spacing w:after="0"/>
              <w:rPr>
                <w:sz w:val="16"/>
                <w:szCs w:val="16"/>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0" w:type="dxa"/>
            <w:vAlign w:val="bottom"/>
          </w:tcPr>
          <w:p>
            <w:pPr>
              <w:spacing w:after="0"/>
              <w:rPr>
                <w:sz w:val="16"/>
                <w:szCs w:val="16"/>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World</w:t>
            </w: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AYVAKIT/AYVAKYT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$ 70,888</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$ 10,041</w:t>
            </w: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$ 80,929</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$ 26,949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$ 70,888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$ 80,929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increase in net product revenue of AYVAKIT/AYVAKYT was primarily driven by the FDA and European Commission approvals to expand the labeled indications to include adult patients with advanced SM.</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left="60" w:right="199" w:firstLine="648"/>
        <w:spacing w:after="0" w:line="267" w:lineRule="auto"/>
        <w:rPr>
          <w:sz w:val="20"/>
          <w:szCs w:val="20"/>
          <w:color w:val="auto"/>
        </w:rPr>
      </w:pPr>
      <w:r>
        <w:rPr>
          <w:rFonts w:ascii="Times New Roman" w:cs="Times New Roman" w:eastAsia="Times New Roman" w:hAnsi="Times New Roman"/>
          <w:sz w:val="17"/>
          <w:szCs w:val="17"/>
          <w:color w:val="auto"/>
        </w:rPr>
        <w:t>Collaboration and license revenue increased by $21.4 million from $35.4 million for the nine months ended September 30, 2021 to $56.8 million for the nine months ended September 30, 2022. The following table summarizes the revenue recognized from our collaboration and license agreements during the nine months ended September 30, 2022 and</w:t>
      </w:r>
    </w:p>
    <w:p>
      <w:pPr>
        <w:ind w:left="60"/>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6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9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Clementia license agreement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26,228</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with Roche for pralsetinib</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Cancer immunotherapy with Roche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35,401</w:t>
            </w: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Revenue recognized under our license agreement with Clementia for the nine months ended September 30, 2022 consisted of a specified development milestone payment. Revenue recognized under our CStone collaboration for the nine months ended September 30, 2022 consisted of $4.0 million in a specified regulatory milestone payment and $14.2 million associated with the manufacturing services related to CStone territory-specific activities and royalties on drug sales.</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Revenue recognized under our collaboration with Roche for pralsetinib for the nine months ended September 30, 2022 was associated with manufacturing services related to ex-US territory-specific activities and royalties on drug sales. Revenue recognized under our cancer immunotherapy collaboration with Roche for the nine months ended September 30, 2022 consisted of amortization of the total transaction price of the arrangement achieved as of such period.</w:t>
      </w:r>
    </w:p>
    <w:p>
      <w:pPr>
        <w:spacing w:after="0" w:line="189" w:lineRule="exact"/>
        <w:rPr>
          <w:sz w:val="20"/>
          <w:szCs w:val="20"/>
          <w:color w:val="auto"/>
        </w:rPr>
      </w:pPr>
    </w:p>
    <w:p>
      <w:pPr>
        <w:ind w:left="60" w:right="139" w:firstLine="693"/>
        <w:spacing w:after="0" w:line="252" w:lineRule="auto"/>
        <w:rPr>
          <w:sz w:val="20"/>
          <w:szCs w:val="20"/>
          <w:color w:val="auto"/>
        </w:rPr>
      </w:pPr>
      <w:r>
        <w:rPr>
          <w:rFonts w:ascii="Times New Roman" w:cs="Times New Roman" w:eastAsia="Times New Roman" w:hAnsi="Times New Roman"/>
          <w:sz w:val="18"/>
          <w:szCs w:val="18"/>
          <w:color w:val="auto"/>
        </w:rPr>
        <w:t>Revenue recognized under our CStone collaboration for the nine months ended September 30, 2021 primarily consisted of $9.0 million in milestone revenue related to regulatory and development milestones that were achieved during the period and $17.2 million related to manufacturing services associated with CStone territory-specific activities during the period, including supply of drug substance and drug product to CStone for sale in their territory, and royalties on the drug sales. Revenue recognized under our collaboration with Roche for pralsetinib for the nine months ended September 30, 2021 was associated with manufacturing and other services related to Roche territory-specific activities. Revenue recognized under our cancer immunotherapy collaboration with Roche for the nine months ended September 30, 2021 was primarily related to amortization of the $64.5 million of upfront and milestone payments received as of such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Revenue – Related Party</w:t>
      </w:r>
    </w:p>
    <w:p>
      <w:pPr>
        <w:spacing w:after="0" w:line="227" w:lineRule="exact"/>
        <w:rPr>
          <w:sz w:val="20"/>
          <w:szCs w:val="20"/>
          <w:color w:val="auto"/>
        </w:rPr>
      </w:pPr>
    </w:p>
    <w:p>
      <w:pPr>
        <w:jc w:val="both"/>
        <w:ind w:left="60" w:right="779" w:firstLine="648"/>
        <w:spacing w:after="0" w:line="266" w:lineRule="auto"/>
        <w:rPr>
          <w:sz w:val="20"/>
          <w:szCs w:val="20"/>
          <w:color w:val="auto"/>
        </w:rPr>
      </w:pPr>
      <w:r>
        <w:rPr>
          <w:rFonts w:ascii="Times New Roman" w:cs="Times New Roman" w:eastAsia="Times New Roman" w:hAnsi="Times New Roman"/>
          <w:sz w:val="18"/>
          <w:szCs w:val="18"/>
          <w:color w:val="auto"/>
        </w:rPr>
        <w:t>License revenue – related party was $27.5 million for the nine months ended September 30, 2022, which represents license revenue recorded under the IDRx License Agreement. For additional information, see Note 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to our unaudited condensed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Cost of product sales increased by $2.6 million from $10.4 million during the nine months ended September 30, 2021 to $13.0 million for the nine months ended September 30, 2022, and was related to manufacturing costs associated with our products sales as well as costs associated with the sale of drug product to our collaboration partners. The following table summarizes the cost of sales by type during the nine months ended September 30, 2022 and 2021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6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collaboration sales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r>
      <w:tr>
        <w:trPr>
          <w:trHeight w:val="209"/>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increase in total costs of sales was primarily driven by the increase in sales to our collaboration partners. The decrease in cost of product sales was driven by costs incurred in the prior year that weren’t present in the current year, including a write-down of $0.8 million for the nine months ended September 30, 2021. Costs associated with our net product revenue remain at higher margins as certain costs associated with the manufacture of our drugs prior to FDA approval were recorded as research and development expenses and, therefore, were not included in cost of sales during such period.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2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loss sharing under the collaboration with Roche for pralsetinib increased by $3.8 million from $3.3 million for the nine months ended September 30, 2021 to $7.1 million for the nine months ended September 30, 2022.</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$115.4 million from $244.2 million for the nine months ended September 30, 2021 to $359.6 million for the nine months ended September 30, 2022. The increase in research and development expense was primarily due to an increase of $67.7 million in increased clinical supply manufacturing and clinical development activities due to the progression and expansion of our clinical trials, an increase of $22.2 million in costs related to early discovery and expanding the platform, and an increase of $25.5 million in personnel expenses, including an increase of $0.9 million in stock-based compensation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by $32.3 million from $141.1 million for the nine months ended September 30, 2021 to $173.4 million for the nine months ended September 30, 2022. The increase in selling, general and administrative expense was primarily related to an increase of $19.3 million in personnel expenses, including a $3.0 million increase in stock-based compensation expense, an increase of $9.6 million in other general expenses to operate the business, and an increase of $3.3 million in commercial expenses primarily related to the expansion of our commercial infrastructure for commercialization of AYVAKIT/AYVAKYT.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Interest expense, net, increased by $9.5 million from $1.9 million interest income for the nine months ended September 30, 2021 to $7.5 million interest expense for the nine months ended September 30, 2022. This increase was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due to the interest charges on the liabilities related to the sale of future royalties and revenues with Royalty Pharma and Sixth Street Partners as well as the term loan with Sixth Street Partners.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$1.7 million from $1.1 million expense for the nine months ended September 30, 2021 to $0.6 million income for the nine months ended September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 xml:space="preserve">Income tax expense increased by $3.8 million from $0.4 million for the nine months ended September 30, 2021 to $4.2 million for the nine months ended September 30, 2022. In June, 2022, we entered into a Royalty Purchase Agreement with Royalty Pharma and a Future Revenue Purchase Agreement with Sixth Street Partners. Pursuant to the agreements, we received gross proceeds of $175.0 million from Royalty Pharma in June 2022 and $250.0 million from Sixth Street Partners in July 2022. Both cash considerations in their entirety are considered as taxable income for the calendar year ending December 31, 2022 which resulted in the Company being in a taxable income position for the calendar year ending December 31, 2022 and the increase in income tax expense for the nine months ended September 30, 2022. For additional information, see Note 13,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to our unaudited condensed consolidated financial statements.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 license agreement, future royalty and revenue monetization, and a term loan. Through September 30, 2022, we have received an aggregate of $3.6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$150.0 million in gross proceeds from a term loan from Sixth Street Partners. Since January 2020, we have also generated revenue through the sales of our approved drug products.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$1,192.6 million.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14"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2022 and 2021:</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594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For the nine months ended September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$96.3 million increase in net cash used in operating activities was primarily due to an increase of $73.5 million in the net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For the nine months ended September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2021, the $217.4 million increase in net cash used in investing activities was primarily due to an increase of $211.5 million in net proceeds used to purchase available-for-sale marketable securities.</w:t>
      </w:r>
    </w:p>
    <w:p>
      <w:pPr>
        <w:spacing w:after="0" w:line="14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nine months ended September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$526.5 million increase in net cash provided by financing activities was due to an increase of $553.6 million in net proceeds received under the Royalty Purchase Agreement with Royalty Pharma, the Future Revenue Purchase Agreement with Sixth Street Partners, and the term loan with Sixth Street Partners, which was partially offset by a decrease in net proceeds received from stock options exercises and employee stock purchase plan.</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liabilities related to sale of future royalties and revenues on the consolidated balance sheet and as of September 30, 2022, the carrying value of the liability related to this arrangement was $173.6 million.</w:t>
      </w:r>
    </w:p>
    <w:p>
      <w:pPr>
        <w:spacing w:after="0" w:line="18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Royalty Purchase Agreement, we are eligible to receive certain milestone payments totaling up to $165.0 million, subject to the achievement of specified net sales milestones by Roche. The potential milestone payments will be added to the carrying value of the liability related to this arrangement when the milestones are achieved and received.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xml:space="preserve"> to our unaudited condensed consolidated financial statements.</w:t>
      </w:r>
    </w:p>
    <w:p>
      <w:pPr>
        <w:spacing w:after="0" w:line="187"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In July 2022, we closed a Future Revenue Purchase Agreement with Sixth Street Partners and received gross proceeds of $250.0 million in exchange for future royalty payments at a rate of 9.75% on up to $900 million each year of</w:t>
      </w:r>
    </w:p>
    <w:p>
      <w:pPr>
        <w:spacing w:after="0" w:line="1" w:lineRule="exact"/>
        <w:rPr>
          <w:sz w:val="20"/>
          <w:szCs w:val="20"/>
          <w:color w:val="auto"/>
        </w:rPr>
      </w:pPr>
    </w:p>
    <w:p>
      <w:pPr>
        <w:ind w:left="60" w:right="279" w:hanging="10"/>
        <w:spacing w:after="0" w:line="249" w:lineRule="auto"/>
        <w:tabs>
          <w:tab w:leader="none" w:pos="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worldwide annual net product sales of AYVAKIT/ AYVAKYT (avapritinib) and (ii) if it is approved, aggregate worldwide annual net product sales of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September 30, 2022, the carrying value of the liability related to this arrangement was $250.1 million.</w:t>
      </w:r>
    </w:p>
    <w:p>
      <w:pPr>
        <w:spacing w:after="0" w:line="19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six and one half percent (6.50%) or the base rate plus five and one half percent (5.50%), subject to a floor of one percent (1%) and two percent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 As of September 30, 2022, the carrying value of the term loan was $138.4 million.</w:t>
      </w:r>
    </w:p>
    <w:p>
      <w:pPr>
        <w:spacing w:after="0" w:line="19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obligations under the financing agreement will be secured, subject to certain exceptions, by security interests in the substantially all of our assets and our certain subsidiaries. The financing agreement contains negative covenants that, among other things and subject to certain exceptions, could restrict the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 For additional information, see Note 3</w:t>
      </w:r>
      <w:r>
        <w:rPr>
          <w:rFonts w:ascii="Times New Roman" w:cs="Times New Roman" w:eastAsia="Times New Roman" w:hAnsi="Times New Roman"/>
          <w:sz w:val="18"/>
          <w:szCs w:val="18"/>
          <w:i w:val="1"/>
          <w:iCs w:val="1"/>
          <w:color w:val="auto"/>
        </w:rPr>
        <w:t>, Financing Arrangements</w:t>
      </w:r>
      <w:r>
        <w:rPr>
          <w:rFonts w:ascii="Times New Roman" w:cs="Times New Roman" w:eastAsia="Times New Roman" w:hAnsi="Times New Roman"/>
          <w:sz w:val="18"/>
          <w:szCs w:val="18"/>
          <w:color w:val="auto"/>
        </w:rPr>
        <w:t>, to our unaudited condensed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54" w:lineRule="exact"/>
        <w:rPr>
          <w:sz w:val="20"/>
          <w:szCs w:val="20"/>
          <w:color w:val="auto"/>
        </w:rPr>
      </w:pPr>
    </w:p>
    <w:p>
      <w:pPr>
        <w:ind w:left="60" w:right="279" w:firstLine="648"/>
        <w:spacing w:after="0" w:line="25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avapritinib in additional geographies, to the extent these expenses are not the responsibility of our collaborators.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22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$1,192.6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312" w:lineRule="auto"/>
        <w:tabs>
          <w:tab w:leader="none" w:pos="1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9" w:lineRule="exact"/>
        <w:rPr>
          <w:rFonts w:ascii="Times New Roman" w:cs="Times New Roman" w:eastAsia="Times New Roman" w:hAnsi="Times New Roman"/>
          <w:sz w:val="17"/>
          <w:szCs w:val="17"/>
          <w:color w:val="auto"/>
        </w:rPr>
      </w:pPr>
    </w:p>
    <w:p>
      <w:pPr>
        <w:ind w:left="1380" w:right="33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80" w:right="139" w:hanging="331"/>
        <w:spacing w:after="0" w:line="261"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16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avapritinib in additional geographies;</w:t>
      </w:r>
    </w:p>
    <w:p>
      <w:pPr>
        <w:spacing w:after="0" w:line="175" w:lineRule="exact"/>
        <w:rPr>
          <w:rFonts w:ascii="Times New Roman" w:cs="Times New Roman" w:eastAsia="Times New Roman" w:hAnsi="Times New Roman"/>
          <w:sz w:val="18"/>
          <w:szCs w:val="18"/>
          <w:color w:val="auto"/>
        </w:rPr>
      </w:pPr>
    </w:p>
    <w:p>
      <w:pPr>
        <w:ind w:left="1380" w:right="73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CStone, Zai Lab and Proteovant and our license agreements with Clementia and IDRx,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5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80" w:right="69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1"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66"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avapritinib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avapritinib in additional geographies, may not achieve commercial success. Accordingly, we may need to rely on additional financing to achieve our business objectives. Adequate additional financing may not be available to us on acceptable terms, or at all.</w:t>
      </w:r>
    </w:p>
    <w:p>
      <w:pPr>
        <w:spacing w:after="0" w:line="215"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the license agreements with Clementia and IDRx,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spacing w:after="0" w:line="22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70"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189"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there was a $4.0 million decrease in the Company’s contractual obligations described under “Management’s Discussion and Analysis of Financial Condition and Results of Operations” included in the Annual Report on Form 10-K for the year ended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we had cash, cash equivalents and marketable securities of $1,192.6 million and $1,034.6 million, respectively, consisting primarily of money market funds and investments in U.S. government agency and treasury obligations.</w:t>
      </w:r>
    </w:p>
    <w:p>
      <w:pPr>
        <w:spacing w:after="0" w:line="13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including recent changes resulting from monetary policy from the U.S. and international central banks, inflationary pressures and the Russian invasion of Ukraine.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September 30, 2022 and December 31, 2021, we held limited funds and future obligations denominated in foreign currencies.</w:t>
      </w:r>
    </w:p>
    <w:p>
      <w:pPr>
        <w:spacing w:after="0" w:line="14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and nine months ended September 30, 2022. However, if inflation remains at current levels for an extended period of time, or increases, our costs are likely to increase, which may negatively impact our margins and cash flows.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2022. Based upon such evaluation, our Chief Executive Officer and Chief Financial Officer have concluded that, as of September 30, 2022, our disclosure controls and procedures were effective at the reasonable assurance level.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nor are we aware of any governmental proceedings involving potential monetary sanctions of $300,000 or more.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81" w:lineRule="exact"/>
        <w:rPr>
          <w:sz w:val="20"/>
          <w:szCs w:val="20"/>
          <w:color w:val="auto"/>
        </w:rPr>
      </w:pPr>
    </w:p>
    <w:p>
      <w:pPr>
        <w:ind w:left="1380" w:right="99" w:hanging="331"/>
        <w:spacing w:after="0" w:line="20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marketing and sale of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(pralsetinib) or any future approved drugs may be unsuccessful or less successful than anticipated.</w:t>
      </w:r>
    </w:p>
    <w:p>
      <w:pPr>
        <w:spacing w:after="0" w:line="197" w:lineRule="exact"/>
        <w:rPr>
          <w:rFonts w:ascii="Times New Roman" w:cs="Times New Roman" w:eastAsia="Times New Roman" w:hAnsi="Times New Roman"/>
          <w:sz w:val="18"/>
          <w:szCs w:val="18"/>
          <w:color w:val="auto"/>
        </w:rPr>
      </w:pPr>
    </w:p>
    <w:p>
      <w:pPr>
        <w:ind w:left="1380" w:right="799" w:hanging="331"/>
        <w:spacing w:after="0" w:line="312"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9" w:lineRule="exact"/>
        <w:rPr>
          <w:rFonts w:ascii="Times New Roman" w:cs="Times New Roman" w:eastAsia="Times New Roman" w:hAnsi="Times New Roman"/>
          <w:sz w:val="17"/>
          <w:szCs w:val="17"/>
          <w:color w:val="auto"/>
        </w:rPr>
      </w:pPr>
    </w:p>
    <w:p>
      <w:pPr>
        <w:ind w:left="1380" w:right="19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additional commercial capabilities and infrastructure, we may be unable to generate sufficient revenue to sustain our business.</w:t>
      </w:r>
    </w:p>
    <w:p>
      <w:pPr>
        <w:spacing w:after="0" w:line="161" w:lineRule="exact"/>
        <w:rPr>
          <w:rFonts w:ascii="Times New Roman" w:cs="Times New Roman" w:eastAsia="Times New Roman" w:hAnsi="Times New Roman"/>
          <w:sz w:val="18"/>
          <w:szCs w:val="18"/>
          <w:color w:val="auto"/>
        </w:rPr>
      </w:pPr>
    </w:p>
    <w:p>
      <w:pPr>
        <w:jc w:val="both"/>
        <w:ind w:left="1380" w:right="1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commercializing, developing or discovering drugs before or more successfully than we do.</w:t>
      </w:r>
    </w:p>
    <w:p>
      <w:pPr>
        <w:spacing w:after="0" w:line="161" w:lineRule="exact"/>
        <w:rPr>
          <w:rFonts w:ascii="Times New Roman" w:cs="Times New Roman" w:eastAsia="Times New Roman" w:hAnsi="Times New Roman"/>
          <w:sz w:val="18"/>
          <w:szCs w:val="18"/>
          <w:color w:val="auto"/>
        </w:rPr>
      </w:pPr>
    </w:p>
    <w:p>
      <w:pPr>
        <w:ind w:left="1380" w:right="73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54"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drug candidates to clinical development, develop our drug candidates as monotherapies or in combination with other agents,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7"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99" w:hanging="331"/>
        <w:spacing w:after="0" w:line="261"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66" w:lineRule="exact"/>
        <w:rPr>
          <w:rFonts w:ascii="Times New Roman" w:cs="Times New Roman" w:eastAsia="Times New Roman" w:hAnsi="Times New Roman"/>
          <w:sz w:val="18"/>
          <w:szCs w:val="18"/>
          <w:color w:val="auto"/>
        </w:rPr>
      </w:pPr>
    </w:p>
    <w:p>
      <w:pPr>
        <w:ind w:left="1380" w:right="179" w:hanging="331"/>
        <w:spacing w:after="0" w:line="261"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clinical development or regulatory approval, limit the commercial profile of an approved label, result in restrictive distribution or result in significant negative consequences following marketing approval, if any.</w:t>
      </w:r>
    </w:p>
    <w:p>
      <w:pPr>
        <w:spacing w:after="0" w:line="16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pacing w:after="0" w:line="225" w:lineRule="exact"/>
        <w:rPr>
          <w:rFonts w:ascii="Times New Roman" w:cs="Times New Roman" w:eastAsia="Times New Roman" w:hAnsi="Times New Roman"/>
          <w:sz w:val="18"/>
          <w:szCs w:val="18"/>
          <w:color w:val="auto"/>
        </w:rPr>
      </w:pPr>
    </w:p>
    <w:p>
      <w:pPr>
        <w:ind w:left="1380" w:right="359" w:hanging="331"/>
        <w:spacing w:after="0" w:line="258"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69"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89" w:lineRule="auto"/>
        <w:tabs>
          <w:tab w:leader="none" w:pos="13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57" w:lineRule="exact"/>
        <w:rPr>
          <w:rFonts w:ascii="Times New Roman" w:cs="Times New Roman" w:eastAsia="Times New Roman" w:hAnsi="Times New Roman"/>
          <w:sz w:val="17"/>
          <w:szCs w:val="17"/>
          <w:color w:val="auto"/>
        </w:rPr>
      </w:pPr>
    </w:p>
    <w:p>
      <w:pPr>
        <w:ind w:left="1380" w:right="99" w:hanging="331"/>
        <w:spacing w:after="0" w:line="261"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6" w:lineRule="exact"/>
        <w:rPr>
          <w:rFonts w:ascii="Times New Roman" w:cs="Times New Roman" w:eastAsia="Times New Roman" w:hAnsi="Times New Roman"/>
          <w:sz w:val="18"/>
          <w:szCs w:val="18"/>
          <w:color w:val="auto"/>
        </w:rPr>
      </w:pPr>
    </w:p>
    <w:p>
      <w:pPr>
        <w:ind w:left="1380" w:right="159" w:hanging="331"/>
        <w:spacing w:after="0" w:line="281" w:lineRule="auto"/>
        <w:tabs>
          <w:tab w:leader="none" w:pos="13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0"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future growth prospects could be materially and adversely affected by the ongoing COVID-19 pandemic.</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9" w:lineRule="auto"/>
        <w:tabs>
          <w:tab w:leader="none" w:pos="13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5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have two approved precision therapies, AYVAKIT/AYVAKYT and GAVRETO. While we have been commercializing AYVAKIT in the U.S. and in Europe and co-commercializing GAVRETO with Roche in the U.S.,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87" w:lineRule="exact"/>
        <w:rPr>
          <w:sz w:val="20"/>
          <w:szCs w:val="20"/>
          <w:color w:val="auto"/>
        </w:rPr>
      </w:pPr>
    </w:p>
    <w:p>
      <w:pPr>
        <w:ind w:left="1340" w:right="13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patients who may receive our drugs and any future drugs;</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and any future drugs;</w:t>
      </w:r>
    </w:p>
    <w:p>
      <w:pPr>
        <w:spacing w:after="0" w:line="175"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existing collaborations with Roche, CStone Pharmaceuticals and Zai Lab;</w:t>
      </w:r>
    </w:p>
    <w:p>
      <w:pPr>
        <w:spacing w:after="0" w:line="225" w:lineRule="exact"/>
        <w:rPr>
          <w:rFonts w:ascii="Times New Roman" w:cs="Times New Roman" w:eastAsia="Times New Roman" w:hAnsi="Times New Roman"/>
          <w:sz w:val="18"/>
          <w:szCs w:val="18"/>
          <w:color w:val="auto"/>
        </w:rPr>
      </w:pPr>
    </w:p>
    <w:p>
      <w:pPr>
        <w:ind w:left="1340" w:right="41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2"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6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83" w:lineRule="exact"/>
        <w:rPr>
          <w:sz w:val="20"/>
          <w:szCs w:val="20"/>
          <w:color w:val="auto"/>
        </w:rPr>
      </w:pPr>
    </w:p>
    <w:p>
      <w:pPr>
        <w:ind w:left="1380" w:hanging="331"/>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25" w:lineRule="exact"/>
        <w:rPr>
          <w:rFonts w:ascii="Times New Roman" w:cs="Times New Roman" w:eastAsia="Times New Roman" w:hAnsi="Times New Roman"/>
          <w:sz w:val="18"/>
          <w:szCs w:val="18"/>
          <w:color w:val="auto"/>
        </w:rPr>
      </w:pPr>
    </w:p>
    <w:p>
      <w:pPr>
        <w:ind w:left="1340" w:right="619" w:hanging="318"/>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4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7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25" w:lineRule="exact"/>
        <w:rPr>
          <w:sz w:val="20"/>
          <w:szCs w:val="20"/>
          <w:color w:val="auto"/>
        </w:rPr>
      </w:pPr>
    </w:p>
    <w:p>
      <w:pPr>
        <w:ind w:left="1340" w:hanging="318"/>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1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61"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1"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 including due to the ongoing COVID-19 pandemic.</w:t>
      </w:r>
    </w:p>
    <w:p>
      <w:pPr>
        <w:spacing w:after="0" w:line="162"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precise incidence and/or prevalence for SM, RET-altered cancers, EGFR-mutated NSCLC, CCNE aberrant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Accordingly, the number of patients in the U.S., France, Germany, Italy, Spain, the United Kingdom (UK)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59"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9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AYVAKIT/AYVAKYT faces competition for advanced SM from Novartis AG’s midostaurin and imatinib, and may face competition from drug candidates in development, including that being developed by Cogent Biosciences, Inc. If avapritinib and BLU-263 are approved for non-advanced SM, they may face competition from drug candidates in development, including those being developed by AB Science S.A., Allakos Inc. and Cogent Biosciences, Inc.</w:t>
      </w:r>
    </w:p>
    <w:p>
      <w:pPr>
        <w:spacing w:after="0" w:line="18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7"/>
          <w:szCs w:val="17"/>
          <w:color w:val="auto"/>
        </w:rPr>
        <w:t>GAVRETO faces competition for RET fusion-positive NSCLC and RET-altered thyroid carcinoma, including MTC, from Eli Lilly and Company’s selpercatinib. If pralsetinib receives marketing approval for patients with other solid tumors, it will likely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 Pralsetinib’s commercial potential may also face indirect competition from chemotherapeutic agents and immuno-oncology products, including those developed by AstraZeneca PLC, Bristol-Myers Squibb Company, EMD Serono &amp; Pfizer Inc., Merck &amp; Co., and Regeneron Pharmaceuticals, Inc.</w:t>
      </w:r>
    </w:p>
    <w:p>
      <w:pPr>
        <w:spacing w:after="0" w:line="18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Cogent Biosciences, Inc., Deciphera Pharmaceuticals, LLC, Exelixis, Inc., Ningbo Tai Kang Medical Technology Co. Ltd., Theseus Pharmaceuticals and Xencor, Inc.</w:t>
      </w:r>
    </w:p>
    <w:p>
      <w:pPr>
        <w:spacing w:after="0" w:line="162" w:lineRule="exact"/>
        <w:rPr>
          <w:sz w:val="20"/>
          <w:szCs w:val="20"/>
          <w:color w:val="auto"/>
        </w:rPr>
      </w:pPr>
    </w:p>
    <w:p>
      <w:pPr>
        <w:ind w:left="60" w:right="139" w:firstLine="648"/>
        <w:spacing w:after="0" w:line="268" w:lineRule="auto"/>
        <w:rPr>
          <w:sz w:val="20"/>
          <w:szCs w:val="20"/>
          <w:color w:val="auto"/>
        </w:rPr>
      </w:pPr>
      <w:r>
        <w:rPr>
          <w:rFonts w:ascii="Times New Roman" w:cs="Times New Roman" w:eastAsia="Times New Roman" w:hAnsi="Times New Roman"/>
          <w:sz w:val="17"/>
          <w:szCs w:val="17"/>
          <w:color w:val="auto"/>
        </w:rPr>
        <w:t>We are developing BLU-945 and BLU-525 for treatment-resistant EGFR-mutated NSCLC, which, if approved, will face competition from AstraZeneca plc’s osimertinib and aumolertinib, which is under collaboration between Jiangsu Hansoh Pharmaceutical Group Co., Ltd. and EQRX, Inc. and approved in China. In addition, BLU-945 and BLU-525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C4 Therapeutics, Inc., Daiichi Sankyo Company, Limited, EpimAb Biotherapeutics, Inc., Janssen Pharmaceuticals, Inc., J Ints Bio, Kanaph Therapeutics, Merus N.V., SystImmune, Inc., Theseus Pharmaceuticals, Inc., RedCloud Bio, and Erasca, Inc. BLU-945 and BLU-525 may also face indirect competition from chemotherapeutic agents and immuno-oncology products, including those developed by AstraZeneca PLC, Bristol-Myers Squibb Company, EMD Serono &amp; Pfizer Inc., Merck &amp; Co., and Regeneron Pharmaceuticals, Inc.</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Arthrosi Therapeutics, Bayer AG, Cullinan Oncology, Inc., Dizal Pharmaceutical Co. Ltd., Shenzhen Forward Pharmaceutical Co., Ltd., Shanghai Junshi Biosciences Co., Ltd., Oric Pharmaceuticals, Inc., and Scorpion Therapeutics, Inc. BLU-451 may also face indirect competition from chemotherapeutic agents and immuno-oncology products, including those developed by AstraZeneca PLC, Bristol-Myers Squibb Company, EMD Serono &amp; Pfizer Inc., Merck &amp; Co., and Regeneron Pharmaceuticals, Inc.</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cyclin E aberrant cancers, which, if approved, will face competition from indication-specific therapies such as Genentech’s bevacizumab, AstraZeneca and Merck’s olaparib, AstraZeneca and Daiichi Sankyo’s trastuzumab deruxtecan, Gilead’s sacituzumab govitecan-hziy, Clovis Oncology’s rucaparib, GSK’s niraparib, Merck’s pembrolizumab, and Eisai’s lenvatinib. In addition, BLU-222 may face competition from drug candidates in development, including those being developed by Allorian Therapeutics, Inc., Anrui Biomend, Aucentra Therapeutics, Incyclix Bio LLC, Cedilla Therapeutics, Inc., Cyclacel Pharmaceuticals Inc., Debiopharm Group, Impact Therapeutics, Inc., Incyte Corporation, Monte Rosa Therapeutics, Inc., Nuvation Bio, Inc., Regor Therapeutics Inc., Schrodinger, Inc., Simcere Pharmaceutical, Pfizer Inc., AstraZeneca plc, Zentalis Pharmaceuticals, Inc., Relay Therapeutics, and Repare Therapeutics, Inc.</w:t>
      </w:r>
    </w:p>
    <w:p>
      <w:pPr>
        <w:spacing w:after="0" w:line="177"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We are developing BLU-852 for advanced cancers susceptible to MAP4K1 inhibition, which, if approved, will face competition from immuno-oncology products, including those developed by Bristol-Myers Squibb Company, Merck</w:t>
      </w:r>
    </w:p>
    <w:p>
      <w:pPr>
        <w:spacing w:after="0" w:line="1" w:lineRule="exact"/>
        <w:rPr>
          <w:sz w:val="20"/>
          <w:szCs w:val="20"/>
          <w:color w:val="auto"/>
        </w:rPr>
      </w:pPr>
    </w:p>
    <w:p>
      <w:pPr>
        <w:ind w:left="60" w:right="79" w:hanging="10"/>
        <w:spacing w:after="0" w:line="249"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MingMed Biotechnology Co., Ltd., and Pfizer Inc.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9"/>
        <w:spacing w:after="0" w:line="282" w:lineRule="auto"/>
        <w:rPr>
          <w:sz w:val="20"/>
          <w:szCs w:val="20"/>
          <w:color w:val="auto"/>
        </w:rPr>
      </w:pPr>
      <w:r>
        <w:rPr>
          <w:rFonts w:ascii="Times New Roman" w:cs="Times New Roman" w:eastAsia="Times New Roman" w:hAnsi="Times New Roman"/>
          <w:sz w:val="18"/>
          <w:szCs w:val="18"/>
          <w:color w:val="auto"/>
        </w:rPr>
        <w:t>effectiveness of any related companion diagnostic tests, the level of generic competition and the availability of reimbursement from government and other third-party payors.</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9" w:lineRule="exact"/>
        <w:rPr>
          <w:sz w:val="20"/>
          <w:szCs w:val="20"/>
          <w:color w:val="auto"/>
        </w:rPr>
      </w:pPr>
    </w:p>
    <w:p>
      <w:pPr>
        <w:ind w:left="60" w:right="399"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87" w:lineRule="exact"/>
        <w:rPr>
          <w:sz w:val="20"/>
          <w:szCs w:val="20"/>
          <w:color w:val="auto"/>
        </w:rPr>
      </w:pPr>
    </w:p>
    <w:p>
      <w:pPr>
        <w:ind w:left="1380" w:right="899" w:hanging="331"/>
        <w:spacing w:after="0" w:line="282"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25"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60" w:lineRule="exact"/>
        <w:rPr>
          <w:sz w:val="20"/>
          <w:szCs w:val="20"/>
          <w:color w:val="auto"/>
        </w:rPr>
      </w:pPr>
    </w:p>
    <w:p>
      <w:pPr>
        <w:ind w:left="60" w:right="1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demand for compassionate use of our drug candidates could negatively affect our reputation and harm our business.</w:t>
      </w:r>
    </w:p>
    <w:p>
      <w:pPr>
        <w:spacing w:after="0" w:line="171"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7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83"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1" w:lineRule="auto"/>
        <w:rPr>
          <w:sz w:val="20"/>
          <w:szCs w:val="20"/>
          <w:color w:val="auto"/>
        </w:rPr>
      </w:pPr>
      <w:r>
        <w:rPr>
          <w:rFonts w:ascii="Times New Roman" w:cs="Times New Roman" w:eastAsia="Times New Roman" w:hAnsi="Times New Roman"/>
          <w:sz w:val="17"/>
          <w:szCs w:val="17"/>
          <w:color w:val="auto"/>
        </w:rPr>
        <w:t>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160"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61"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and MTC patients with RET mutations.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96" w:lineRule="exact"/>
        <w:rPr>
          <w:sz w:val="20"/>
          <w:szCs w:val="20"/>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225" w:lineRule="exact"/>
        <w:rPr>
          <w:rFonts w:ascii="Times New Roman" w:cs="Times New Roman" w:eastAsia="Times New Roman" w:hAnsi="Times New Roman"/>
          <w:sz w:val="18"/>
          <w:szCs w:val="18"/>
          <w:color w:val="auto"/>
        </w:rPr>
      </w:pPr>
    </w:p>
    <w:p>
      <w:pPr>
        <w:ind w:left="1340" w:right="65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clearances or approvals;</w:t>
      </w:r>
    </w:p>
    <w:p>
      <w:pPr>
        <w:spacing w:after="0" w:line="148" w:lineRule="exact"/>
        <w:rPr>
          <w:rFonts w:ascii="Times New Roman" w:cs="Times New Roman" w:eastAsia="Times New Roman" w:hAnsi="Times New Roman"/>
          <w:sz w:val="18"/>
          <w:szCs w:val="18"/>
          <w:color w:val="auto"/>
        </w:rPr>
      </w:pPr>
    </w:p>
    <w:p>
      <w:pPr>
        <w:jc w:val="both"/>
        <w:ind w:left="1340" w:right="319" w:hanging="318"/>
        <w:spacing w:after="0" w:line="266"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a companion diagnostic test;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87" w:lineRule="exact"/>
        <w:rPr>
          <w:sz w:val="20"/>
          <w:szCs w:val="20"/>
          <w:color w:val="auto"/>
        </w:rPr>
      </w:pPr>
    </w:p>
    <w:p>
      <w:pPr>
        <w:ind w:left="1340" w:right="239" w:hanging="318"/>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approved drugs and drug candidates may be adversely affected if we are unable to appropriately select patients for enrollment in our clinical trials;</w:t>
      </w:r>
    </w:p>
    <w:p>
      <w:pPr>
        <w:spacing w:after="0" w:line="161" w:lineRule="exact"/>
        <w:rPr>
          <w:rFonts w:ascii="Times New Roman" w:cs="Times New Roman" w:eastAsia="Times New Roman" w:hAnsi="Times New Roman"/>
          <w:sz w:val="18"/>
          <w:szCs w:val="18"/>
          <w:color w:val="auto"/>
        </w:rPr>
      </w:pPr>
    </w:p>
    <w:p>
      <w:pPr>
        <w:ind w:left="1340" w:right="319" w:hanging="318"/>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not receive marketing approval if safe and effective use of a therapeutic drug candidate depends on an in vitro diagnostic;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819" w:hanging="318"/>
        <w:spacing w:after="0" w:line="282"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post-marketing requirements regarding the development and commercialization of companion diagnostic tests for our drugs and drug candidates; and</w:t>
      </w:r>
    </w:p>
    <w:p>
      <w:pPr>
        <w:spacing w:after="0" w:line="161" w:lineRule="exact"/>
        <w:rPr>
          <w:rFonts w:ascii="Times New Roman" w:cs="Times New Roman" w:eastAsia="Times New Roman" w:hAnsi="Times New Roman"/>
          <w:sz w:val="18"/>
          <w:szCs w:val="18"/>
          <w:color w:val="auto"/>
        </w:rPr>
      </w:pPr>
    </w:p>
    <w:p>
      <w:pPr>
        <w:ind w:left="1340" w:right="279" w:hanging="318"/>
        <w:spacing w:after="0" w:line="266" w:lineRule="auto"/>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our business may be materially harmed.</w:t>
      </w:r>
    </w:p>
    <w:p>
      <w:pPr>
        <w:spacing w:after="0" w:line="22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89"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5" w:lineRule="exact"/>
        <w:rPr>
          <w:sz w:val="20"/>
          <w:szCs w:val="20"/>
          <w:color w:val="auto"/>
        </w:rPr>
      </w:pPr>
    </w:p>
    <w:p>
      <w:pPr>
        <w:ind w:left="60" w:right="3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5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93" w:lineRule="exact"/>
        <w:rPr>
          <w:sz w:val="20"/>
          <w:szCs w:val="20"/>
          <w:color w:val="auto"/>
        </w:rPr>
      </w:pPr>
    </w:p>
    <w:p>
      <w:pPr>
        <w:ind w:left="1340" w:right="139" w:hanging="318"/>
        <w:spacing w:after="0" w:line="266"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any companion diagnostic tests for use with our drugs and drug candidates;</w:t>
      </w:r>
    </w:p>
    <w:p>
      <w:pPr>
        <w:spacing w:after="0" w:line="225"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and transitioning any conditional marketing authorizations to full approvals;</w:t>
      </w:r>
    </w:p>
    <w:p>
      <w:pPr>
        <w:spacing w:after="0" w:line="148" w:lineRule="exact"/>
        <w:rPr>
          <w:rFonts w:ascii="Times New Roman" w:cs="Times New Roman" w:eastAsia="Times New Roman" w:hAnsi="Times New Roman"/>
          <w:sz w:val="18"/>
          <w:szCs w:val="18"/>
          <w:color w:val="auto"/>
        </w:rPr>
      </w:pPr>
    </w:p>
    <w:p>
      <w:pPr>
        <w:ind w:left="1340" w:right="79" w:hanging="318"/>
        <w:spacing w:after="0" w:line="289" w:lineRule="auto"/>
        <w:tabs>
          <w:tab w:leader="none" w:pos="1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57" w:lineRule="exact"/>
        <w:rPr>
          <w:rFonts w:ascii="Times New Roman" w:cs="Times New Roman" w:eastAsia="Times New Roman" w:hAnsi="Times New Roman"/>
          <w:sz w:val="17"/>
          <w:szCs w:val="17"/>
          <w:color w:val="auto"/>
        </w:rPr>
      </w:pPr>
    </w:p>
    <w:p>
      <w:pPr>
        <w:ind w:left="1340" w:right="239" w:hanging="318"/>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pacing w:after="0" w:line="148"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25" w:lineRule="exact"/>
        <w:rPr>
          <w:sz w:val="20"/>
          <w:szCs w:val="20"/>
          <w:color w:val="auto"/>
        </w:rPr>
      </w:pPr>
    </w:p>
    <w:p>
      <w:pPr>
        <w:ind w:left="60" w:right="419" w:firstLine="648"/>
        <w:spacing w:after="0" w:line="296"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business. If we do not receive regulatory approvals for our drug candidates, we may not be able to continue our operations.</w:t>
      </w:r>
    </w:p>
    <w:p>
      <w:pPr>
        <w:spacing w:after="0" w:line="22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25" w:lineRule="exact"/>
        <w:rPr>
          <w:sz w:val="20"/>
          <w:szCs w:val="20"/>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expedited review and approval programs, including breakthrough therapy designation and fast track designation, or otherwise to seek to accelerate clinical development and regulatory timelines.</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MTC patients with RET mutations,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w:t>
      </w:r>
    </w:p>
    <w:p>
      <w:pPr>
        <w:spacing w:after="0" w:line="17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90"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48" w:lineRule="exact"/>
        <w:rPr>
          <w:sz w:val="20"/>
          <w:szCs w:val="20"/>
          <w:color w:val="auto"/>
        </w:rPr>
      </w:pPr>
    </w:p>
    <w:p>
      <w:pPr>
        <w:ind w:left="1380" w:right="7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75"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5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380" w:right="379" w:hanging="331"/>
        <w:spacing w:after="0" w:line="312" w:lineRule="auto"/>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9" w:lineRule="exact"/>
        <w:rPr>
          <w:rFonts w:ascii="Times New Roman" w:cs="Times New Roman" w:eastAsia="Times New Roman" w:hAnsi="Times New Roman"/>
          <w:sz w:val="17"/>
          <w:szCs w:val="17"/>
          <w:color w:val="auto"/>
        </w:rPr>
      </w:pPr>
    </w:p>
    <w:p>
      <w:pPr>
        <w:ind w:left="1380" w:right="27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and</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impacting the FDA or comparable foreign regulatory authorities due to the ongoing COVID-19 pandemic, including delays in the review and approval of applications or the conduct of inspections.</w:t>
      </w:r>
    </w:p>
    <w:p>
      <w:pPr>
        <w:spacing w:after="0" w:line="176"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During the COVID-19 pandemic,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6" w:lineRule="exact"/>
        <w:rPr>
          <w:sz w:val="20"/>
          <w:szCs w:val="20"/>
          <w:color w:val="auto"/>
        </w:rPr>
      </w:pPr>
    </w:p>
    <w:p>
      <w:pPr>
        <w:ind w:left="1380" w:right="119" w:hanging="331"/>
        <w:spacing w:after="0" w:line="266"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7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for any or all targeted indications. The drug 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 target toxicity. If on 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 benefit perspective. Many compounds that initially showed promise in early stage testing for treating cancer have later been found to cause side effects that prevented further development of the compound.</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70" w:lineRule="exact"/>
        <w:rPr>
          <w:sz w:val="20"/>
          <w:szCs w:val="20"/>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has granted fast track designation to BLU-782 for the treatment of FOP. The FDA has granted breakthrough therapy designation to avapritinib for the treatment of moderate to severe indolent SM. In addition, the FDA previously granted breakthrough designation to our drugs, AYVAKIT and GAVRETO, for the treatment of certain patients with GIST, advanced SM and RET-altered cancers, respectively.</w:t>
      </w:r>
    </w:p>
    <w:p>
      <w:pPr>
        <w:spacing w:after="0" w:line="192"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83"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seek approval of our drug candidates, where applicable, under the FDA’s accelerated approval pathway. This pathway may not lead to a faster development, regulatory review or approval process and does not increase the likelihood that our drug candidates will receive marketing approval.</w:t>
      </w:r>
    </w:p>
    <w:p>
      <w:pPr>
        <w:spacing w:after="0" w:line="175"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may seek approval of our drug candidates, where applicable, under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to confirm the product’s clinical benefit.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0"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left="60" w:right="239" w:firstLine="648"/>
        <w:spacing w:after="0" w:line="250"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94"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Similarly, in the EU, the European Commission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drugs that are intended for the diagnosis, prevention or treatment of life threatening or chronically debilitating conditions affecting not more than five (5) in ten thousand (10,000) persons in the EU and for which no satisfactory method of</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diagnosis, prevention, or treatment has been authorized for marketing in the EU (or, if such a method exists, the drug would be of significant benefit to those affected by the condition). In addition, designation is granted for drugs intended for the diagnosis, prevention, or treatment of a life threatening, seriously debilitating or serious and chronic condition and when, without incentives, it is unlikely that sales of the drug in the EU would generate sufficient return to justify the necessary investment in developing the drug. In the EU, orphan medicinal product designation entitles a party to financial incentives such as reduction of fees or fee waivers.</w:t>
      </w:r>
    </w:p>
    <w:p>
      <w:pPr>
        <w:spacing w:after="0" w:line="18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spacing w:after="0" w:line="189" w:lineRule="exact"/>
        <w:rPr>
          <w:sz w:val="20"/>
          <w:szCs w:val="20"/>
          <w:color w:val="auto"/>
        </w:rPr>
      </w:pPr>
    </w:p>
    <w:p>
      <w:pPr>
        <w:ind w:left="60" w:right="279" w:firstLine="648"/>
        <w:spacing w:after="0" w:line="275"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1"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medicine capabilities. However, we may not be able to identify any drug candidates for our pipeline through such acquisitions or in-licenses.</w:t>
      </w:r>
    </w:p>
    <w:p>
      <w:pPr>
        <w:spacing w:after="0" w:line="16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drug candidates in combination with other therapies, which exposes us to additional risks.</w:t>
      </w:r>
    </w:p>
    <w:p>
      <w:pPr>
        <w:spacing w:after="0" w:line="22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We intend to develop, launch and commercialize BLU-945, BLU-525,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94" w:lineRule="exact"/>
        <w:rPr>
          <w:sz w:val="20"/>
          <w:szCs w:val="20"/>
          <w:color w:val="auto"/>
        </w:rPr>
      </w:pPr>
    </w:p>
    <w:p>
      <w:pPr>
        <w:jc w:val="both"/>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25"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7"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approval of current or future drug candidates, where applicable, under the FDA’s accelerated approval pathway. 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 marketing information and reports, registration, as well as continued compliance with current Good Manufacturing Practices (cGMPs) and Good Clinical Practices (GCPs) for any clinical trials that we conduct post 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 marketing testing, including Phase 4 clinical trials, and surveillance to monitor the safety and efficacy of the drug.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165" w:lineRule="exact"/>
        <w:rPr>
          <w:sz w:val="20"/>
          <w:szCs w:val="20"/>
          <w:color w:val="auto"/>
        </w:rPr>
      </w:pPr>
    </w:p>
    <w:p>
      <w:pPr>
        <w:ind w:left="1340" w:right="59" w:hanging="318"/>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6"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0"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 products. It is unclear what effect, if any, American Rescue Plan and other government efforts to expand coverage will have on the number of covered individuals. See section entitled “Business – Coverage and Reimbursement” included in our Annual Report on Form 10-K for the year ended December 31, 2021.</w:t>
      </w:r>
    </w:p>
    <w:p>
      <w:pPr>
        <w:spacing w:after="0" w:line="175"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56"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spacing w:after="0" w:line="2"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w:t>
      </w:r>
    </w:p>
    <w:p>
      <w:pPr>
        <w:spacing w:after="0" w:line="2" w:lineRule="exact"/>
        <w:rPr>
          <w:sz w:val="20"/>
          <w:szCs w:val="20"/>
          <w:color w:val="auto"/>
        </w:rPr>
      </w:pPr>
    </w:p>
    <w:p>
      <w:pPr>
        <w:ind w:left="60" w:right="79" w:hanging="10"/>
        <w:spacing w:after="0" w:line="249" w:lineRule="auto"/>
        <w:tabs>
          <w:tab w:leader="none" w:pos="3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In August 2022, the Inflation Reduction Act of 2022 (the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 See section entitled “Business – Coverage and Reimbursement” included in our Annual Report on Form 10-K for the year ended December 31, 2021.</w:t>
      </w:r>
    </w:p>
    <w:p>
      <w:pPr>
        <w:spacing w:after="0" w:line="226"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7" w:lineRule="exact"/>
        <w:rPr>
          <w:sz w:val="20"/>
          <w:szCs w:val="20"/>
          <w:color w:val="auto"/>
        </w:rPr>
      </w:pPr>
    </w:p>
    <w:p>
      <w:pPr>
        <w:jc w:val="both"/>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w:t>
      </w:r>
    </w:p>
    <w:p>
      <w:pPr>
        <w:spacing w:after="0" w:line="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Legislation or regulations allowing the reimportation of drugs, if enacted, could decrease the price we receive for any products that we may develop and adversely affect our future revenues and prospects for profitability. For example, on July 9, 2021, President Biden issued an executive order directing the FDA to, among other things,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continue to clarify and improve the approval framework for generic drugs and identify and address any efforts to impede generic drug competition which could adversely impact our business.</w:t>
      </w:r>
    </w:p>
    <w:p>
      <w:pPr>
        <w:spacing w:after="0" w:line="20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responding to such requests or any legal challenges under this law, our business could be adversely impacted.</w:t>
      </w:r>
    </w:p>
    <w:p>
      <w:pPr>
        <w:spacing w:after="0" w:line="228"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21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79" w:lineRule="exact"/>
        <w:rPr>
          <w:sz w:val="20"/>
          <w:szCs w:val="20"/>
          <w:color w:val="auto"/>
        </w:rPr>
      </w:pPr>
    </w:p>
    <w:p>
      <w:pPr>
        <w:ind w:left="60" w:right="1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the Physician Payment Sunshine Act, HIPAA, as amended by the Health Information Technology for Economic and Clinical Health Act of 2009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“Business – Other Healthcare Laws” included in our Annual Report on Form 10-K for the year ended December 31, 2021.</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9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8" w:lineRule="exact"/>
        <w:rPr>
          <w:sz w:val="20"/>
          <w:szCs w:val="20"/>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66"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therapies. If reimbursement of our drugs is unavailable or limited in scope or amount, or if pricing is set at unsatisfactory levels, our business could be materially harmed.</w:t>
      </w:r>
    </w:p>
    <w:p>
      <w:pPr>
        <w:spacing w:after="0" w:line="15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5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(API), drug substance and drug product material for use in preclinical studies and clinical trials for our drug candidates and commercial sale of our approved drugs.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 license agreement, future royalty and revenue monetization, and a term loan. Through September 30, 2022, we have received an aggregate of $3.6 billion from such transactions, including $1.9 billion in aggregate gross proceeds from the sale of common stock in our IPO,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$150.0 million in gross proceeds from a term loan from Sixth Street Partners. Since January 2020, we also have generated revenue through sales of our drug products.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 Our net loss was $398.9 million for the nine months ended September 30, 2022. For the year ended</w:t>
      </w:r>
    </w:p>
    <w:p>
      <w:pPr>
        <w:ind w:left="60"/>
        <w:spacing w:after="0"/>
        <w:rPr>
          <w:sz w:val="20"/>
          <w:szCs w:val="20"/>
          <w:color w:val="auto"/>
        </w:rPr>
      </w:pPr>
      <w:r>
        <w:rPr>
          <w:rFonts w:ascii="Times New Roman" w:cs="Times New Roman" w:eastAsia="Times New Roman" w:hAnsi="Times New Roman"/>
          <w:sz w:val="18"/>
          <w:szCs w:val="18"/>
          <w:color w:val="auto"/>
        </w:rPr>
        <w:t>December 31, 2021, our net loss was $644.1 million, which included $260.0 million of expenses related to the acquisition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Lengo, and our net income was $313.9 million for the year ended December 31, 2020 primarily due to the collaboration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recorded under our collaboration with Roche for pralsetinib. Our net loss was $347.7 million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2019. As of September 30, 2022, we had an accumulated deficit of $1,674.3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1"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 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substantial revenue from drug sales. Our ability to generate substantial revenue depends on a number of factors, including, but not limited to, our ability to:</w:t>
      </w:r>
    </w:p>
    <w:p>
      <w:pPr>
        <w:spacing w:after="0" w:line="176" w:lineRule="exact"/>
        <w:rPr>
          <w:sz w:val="20"/>
          <w:szCs w:val="20"/>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66"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75" w:lineRule="exact"/>
        <w:rPr>
          <w:rFonts w:ascii="Times New Roman" w:cs="Times New Roman" w:eastAsia="Times New Roman" w:hAnsi="Times New Roman"/>
          <w:sz w:val="18"/>
          <w:szCs w:val="18"/>
          <w:color w:val="auto"/>
        </w:rPr>
      </w:pPr>
    </w:p>
    <w:p>
      <w:pPr>
        <w:ind w:left="1340" w:right="459" w:hanging="318"/>
        <w:spacing w:after="0" w:line="282"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to ensure clinical supply and commercial manufacturing;</w:t>
      </w:r>
    </w:p>
    <w:p>
      <w:pPr>
        <w:spacing w:after="0" w:line="161" w:lineRule="exact"/>
        <w:rPr>
          <w:rFonts w:ascii="Times New Roman" w:cs="Times New Roman" w:eastAsia="Times New Roman" w:hAnsi="Times New Roman"/>
          <w:sz w:val="18"/>
          <w:szCs w:val="18"/>
          <w:color w:val="auto"/>
        </w:rPr>
      </w:pPr>
    </w:p>
    <w:p>
      <w:pPr>
        <w:ind w:left="1340" w:right="379" w:hanging="318"/>
        <w:spacing w:after="0" w:line="258"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and any current or future drug candidates for which we obtain marketing approval; and</w:t>
      </w:r>
    </w:p>
    <w:p>
      <w:pPr>
        <w:spacing w:after="0" w:line="182"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GAVRETO and any current or future drug candidates for which we receive marketing approval.</w:t>
      </w:r>
    </w:p>
    <w:p>
      <w:pPr>
        <w:spacing w:after="0" w:line="176" w:lineRule="exact"/>
        <w:rPr>
          <w:sz w:val="20"/>
          <w:szCs w:val="20"/>
          <w:color w:val="auto"/>
        </w:rPr>
      </w:pPr>
    </w:p>
    <w:p>
      <w:pPr>
        <w:ind w:left="60" w:right="399" w:firstLine="648"/>
        <w:spacing w:after="0" w:line="253"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w:t>
      </w:r>
    </w:p>
    <w:p>
      <w:pPr>
        <w:spacing w:after="0" w:line="183"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4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62" w:lineRule="exact"/>
        <w:rPr>
          <w:sz w:val="20"/>
          <w:szCs w:val="20"/>
          <w:color w:val="auto"/>
        </w:rPr>
      </w:pPr>
    </w:p>
    <w:p>
      <w:pPr>
        <w:ind w:left="1340" w:right="399" w:hanging="318"/>
        <w:spacing w:after="0" w:line="312" w:lineRule="auto"/>
        <w:tabs>
          <w:tab w:leader="none" w:pos="1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9" w:lineRule="exact"/>
        <w:rPr>
          <w:rFonts w:ascii="Times New Roman" w:cs="Times New Roman" w:eastAsia="Times New Roman" w:hAnsi="Times New Roman"/>
          <w:sz w:val="17"/>
          <w:szCs w:val="17"/>
          <w:color w:val="auto"/>
        </w:rPr>
      </w:pPr>
    </w:p>
    <w:p>
      <w:pPr>
        <w:ind w:left="1340" w:right="359" w:hanging="318"/>
        <w:spacing w:after="0" w:line="266"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75"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48"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75" w:lineRule="exact"/>
        <w:rPr>
          <w:rFonts w:ascii="Times New Roman" w:cs="Times New Roman" w:eastAsia="Times New Roman" w:hAnsi="Times New Roman"/>
          <w:sz w:val="18"/>
          <w:szCs w:val="18"/>
          <w:color w:val="auto"/>
        </w:rPr>
      </w:pPr>
    </w:p>
    <w:p>
      <w:pPr>
        <w:ind w:left="1340" w:right="559" w:hanging="318"/>
        <w:spacing w:after="0" w:line="266"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CStone and Zai Lab and our license agreements with Clementia and IDRx,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58"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2"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40" w:right="71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48" w:lineRule="exact"/>
        <w:rPr>
          <w:rFonts w:ascii="Times New Roman" w:cs="Times New Roman" w:eastAsia="Times New Roman" w:hAnsi="Times New Roman"/>
          <w:sz w:val="18"/>
          <w:szCs w:val="18"/>
          <w:color w:val="auto"/>
        </w:rPr>
      </w:pPr>
    </w:p>
    <w:p>
      <w:pPr>
        <w:ind w:left="1340" w:right="77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25" w:lineRule="exact"/>
        <w:rPr>
          <w:sz w:val="20"/>
          <w:szCs w:val="20"/>
          <w:color w:val="auto"/>
        </w:rPr>
      </w:pPr>
    </w:p>
    <w:p>
      <w:pPr>
        <w:ind w:left="60" w:right="159" w:firstLine="693"/>
        <w:spacing w:after="0" w:line="252"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technologies, drugs or drug candidates or otherwise agree to terms unfavorable to us, any of which may have a material adverse effect on our business, operating results and prospects.</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left="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CStone and Zai Lab and our license agreements with Clementia and IDRx,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which, we sold our right to receive all of the royalties payable to the Company with respect to net sales by Roche, in all countries besides China, Hong Kong, Macau, Taiwan (collectively, “Greater China”) and the U.S., of GAVRETO under the Collaboration Agreement, dated July 13, 2020, by and between the Company and Roche, as amended. As consideration for the arrangement, we received $175.0 million upfront in cash and may receive up to $165.0 million in milestone payments. As a result, we will no longer derive cash from royalty payments from sales of GAVRETO in all countries besides Greater China and the U.S., other than in the form of contingent milestone payments under the royalty purchase agreement with Royalty Pharma.</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June 2022, we entered into a Future Revenue Purchase Agreement with Sixth Street Partners, the other purchasers from time to time party thereto, and Sixth Street Partners as representative for the purchasers, pursuant to which, we sold our right to receive future royalty payments at a rate of 9.75% on up to $900 million each year of (i) aggregate worldwide annual net product sales of AYVAKIT/ AYVAKYT (avapritinib) and (ii) if it is approved, aggregate worldwide annual net product sales of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As consideration for the arrangement, we received $250.0 million in cash in July 2022 upon the transactions closing.</w:t>
      </w:r>
    </w:p>
    <w:p>
      <w:pPr>
        <w:spacing w:after="0" w:line="186" w:lineRule="exact"/>
        <w:rPr>
          <w:sz w:val="20"/>
          <w:szCs w:val="20"/>
          <w:color w:val="auto"/>
        </w:rPr>
      </w:pPr>
    </w:p>
    <w:p>
      <w:pPr>
        <w:jc w:val="both"/>
        <w:ind w:left="60" w:right="459"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the terms of the Sixth Street financing agreement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8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Under the Financing Agreement by and among the Company, the other lenders from time to time party thereto and Tao Talents, LLC, as the administrative agent for the lenders, we have incurred a substantial amount of debt, which could adversely affect our business. In July 2022, we drew down the senior secured term loan of $150.0 million.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We may also at any time request an incremental term loan in an amount not to exceed $260.0 million on terms to be agreed and subject to the consent of the lenders providing such incremental term loan.</w:t>
      </w:r>
    </w:p>
    <w:p>
      <w:pPr>
        <w:spacing w:after="0" w:line="183"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7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Sixth Street Financing Agreement could restrict our ability to grow our business or enter into transactions that we believe would be beneficial to our business.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We have entered into collaborations and licenses with Roche, CStone, Zai Lab, Proteovant,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8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Zai Lab, Proteovant, Clementia or IDRx, or of any future collaboration or license agreement, could adversely affect us financially or harm our business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9" w:lineRule="exact"/>
        <w:rPr>
          <w:sz w:val="20"/>
          <w:szCs w:val="20"/>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CROs, we could be required to repeat, extend the duration of, or increase the size of any clinical trials we conduct and this could significantly delay commercialization and require significantly greater expenditures.</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88"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6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7" w:lineRule="exact"/>
        <w:rPr>
          <w:sz w:val="20"/>
          <w:szCs w:val="20"/>
          <w:color w:val="auto"/>
        </w:rPr>
      </w:pPr>
    </w:p>
    <w:p>
      <w:pPr>
        <w:ind w:left="60" w:right="79" w:firstLine="648"/>
        <w:spacing w:after="0" w:line="248" w:lineRule="auto"/>
        <w:rPr>
          <w:sz w:val="20"/>
          <w:szCs w:val="20"/>
          <w:color w:val="auto"/>
        </w:rPr>
      </w:pPr>
      <w:r>
        <w:rPr>
          <w:rFonts w:ascii="Times New Roman" w:cs="Times New Roman" w:eastAsia="Times New Roman" w:hAnsi="Times New Roman"/>
          <w:sz w:val="18"/>
          <w:szCs w:val="18"/>
          <w:color w:val="auto"/>
        </w:rPr>
        <w:t>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our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9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95"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7"/>
          <w:szCs w:val="17"/>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ongoing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76"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62"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spacing w:after="0" w:line="18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7"/>
          <w:szCs w:val="17"/>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ongoing COVID-19 pandemic could adversely impact our suppliers and result in delays or disruptions in our current or future supply chain.</w:t>
      </w:r>
    </w:p>
    <w:p>
      <w:pPr>
        <w:spacing w:after="0" w:line="18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8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4"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state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84" w:lineRule="exact"/>
        <w:rPr>
          <w:sz w:val="20"/>
          <w:szCs w:val="20"/>
          <w:color w:val="auto"/>
        </w:rPr>
      </w:pPr>
    </w:p>
    <w:p>
      <w:pPr>
        <w:ind w:left="60" w:right="159" w:firstLine="648"/>
        <w:spacing w:after="0" w:line="223" w:lineRule="auto"/>
        <w:rPr>
          <w:sz w:val="20"/>
          <w:szCs w:val="20"/>
          <w:color w:val="auto"/>
        </w:rPr>
      </w:pPr>
      <w:r>
        <w:rPr>
          <w:rFonts w:ascii="Times New Roman" w:cs="Times New Roman" w:eastAsia="Times New Roman" w:hAnsi="Times New Roman"/>
          <w:sz w:val="17"/>
          <w:szCs w:val="17"/>
          <w:color w:val="auto"/>
        </w:rPr>
        <w:t>We own or license patents and patent applications that relate to our approved drugs AYVAKIT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(avapritinib) and GAVRETO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(pralsetinib) and our drug candidates BLU-263, BLU-945, BLU-701, BLU-451, BLU-222, BLU-852 and BLU-525. We also own or license patents and patent applications relating to other compounds that are inhibitors of KIT and PDGFRA, RET, EGFR, CDK2, and MAP4K1 as well as methods of use, formulations, solid state forms, and manufacturing processes. The issued U.S. patent directed to AYVAKIT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composition of matter has a statutory expiration date in 2034, the issued U.S. patent directed to GAVRETO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composition of matter has a statutory expiration date in 2036.</w:t>
      </w:r>
    </w:p>
    <w:p>
      <w:pPr>
        <w:spacing w:after="0" w:line="67"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As of September 30, 2022, the patent portfolio for our KIT and PDGFRA program, including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BLU-263 contains 12 issued U.S. patents, 20 issued foreign patents, including two European patents validated in 38 and 12 countries, six pending U.S. non-provisional patent applications, one pending U.S. provisional application, four pending PCT international patent applications and 55 pending foreign patent applications. The patents that have issued or will issue covering our KIT and PDGFRA program will have a statutory expiration date between 2034 and 2043. Patent term adjustments, patent term extensions, and supplementary protection certificates could result in later expiration dates.</w:t>
      </w:r>
    </w:p>
    <w:p>
      <w:pPr>
        <w:spacing w:after="0" w:line="195" w:lineRule="exact"/>
        <w:rPr>
          <w:sz w:val="20"/>
          <w:szCs w:val="20"/>
          <w:color w:val="auto"/>
        </w:rPr>
      </w:pPr>
    </w:p>
    <w:p>
      <w:pPr>
        <w:ind w:left="60" w:right="139" w:firstLine="648"/>
        <w:spacing w:after="0" w:line="232" w:lineRule="auto"/>
        <w:rPr>
          <w:sz w:val="20"/>
          <w:szCs w:val="20"/>
          <w:color w:val="auto"/>
        </w:rPr>
      </w:pPr>
      <w:r>
        <w:rPr>
          <w:rFonts w:ascii="Times New Roman" w:cs="Times New Roman" w:eastAsia="Times New Roman" w:hAnsi="Times New Roman"/>
          <w:sz w:val="18"/>
          <w:szCs w:val="18"/>
          <w:color w:val="auto"/>
        </w:rPr>
        <w:t>As of September 30, 2022, the patent portfolio for our RET program, including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contains nine issued U.S. patents, four pending U.S. non-provisional patent applications, three pending PCT international applications, 53 pending foreign patent applications and 14 issued foreign patents. The patents that have issued or will issue covering our RET program will have a statutory expiration date between 2036 and 2041. Patent term adjustments, patent term extensions, and supplementary protection certificates could result in later expiration dates.</w:t>
      </w:r>
    </w:p>
    <w:p>
      <w:pPr>
        <w:spacing w:after="0" w:line="201"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2022, the patent portfolio for our EGFR program, including BLU-945, BLU-701, BLU-451 and BLU-525, contains one issued U.S. patent, four pending U.S. non-provisional patent applications, 8 pending U.S. provisional applications, 11 pending PCT international patent applications and 53 pending foreign patent applications and three issued foreign patents, including one European patent validated in 6 countries directed to our EGFR program, including BLU-945, BLU-701 and BLU-451. The patents that have issued or will issue covering our EGFR program will have a statutory expiration date between 2034 and 2043. Patent term adjustments, patent term extensions, and supplementary protection certificates could result in later expiration 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the patent portfolio for our CDK2 program, including BLU-222 contains one pending U.S. non-provisional application, two pending U.S. provisional applications, two pending PCT international applications, and four pending foreign patent applications. The patents that will issue covering our CDK2 program will have a statutory expiration date of 2042. Patent term adjustments, patent term extensions, and supplementary protection certificates could result in later expiration dates.</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the patent portfolio for our MAP4K1 program, including BLU-852 contains two pending U.S. non-provisional applications, no pending U.S. provisional applications, three pending PCT international applications, and nine pending foreign patent applications. The patents that will issue covering our MAP4K1 program will have a statutory expiration date of between 2041 and 2042. Patent term adjustments, patent term extensions, and supplementary protection certificates could result in later expiration dates.</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patents and patent applications directed to novel gene fusions and the uses of these fusions for detecting and treating conditions implicated with these fusions. As of September 30, 2022, the patent portfolio directed to our platform contains nine issued U.S. patents, five pending U.S. non-provisional patent applications, one pending European Union patent applications and seven issued European patents. Any U.S. or ex-U.S. patent issuing from the pending applications directed to this technology, if issued, will have statutory expiration dates ranging from 2034 to 2035.</w:t>
      </w:r>
    </w:p>
    <w:p>
      <w:pPr>
        <w:spacing w:after="0" w:line="189"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9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6" w:lineRule="exact"/>
        <w:rPr>
          <w:sz w:val="20"/>
          <w:szCs w:val="20"/>
          <w:color w:val="auto"/>
        </w:rPr>
      </w:pPr>
    </w:p>
    <w:p>
      <w:pPr>
        <w:jc w:val="both"/>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w:t>
      </w:r>
    </w:p>
    <w:p>
      <w:pPr>
        <w:sectPr>
          <w:pgSz w:w="11900" w:h="16838" w:orient="portrait"/>
          <w:cols w:equalWidth="0" w:num="1">
            <w:col w:w="9019"/>
          </w:cols>
          <w:pgMar w:left="1440" w:top="513" w:right="1440"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Trademark Office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9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215" w:lineRule="exact"/>
        <w:rPr>
          <w:sz w:val="20"/>
          <w:szCs w:val="20"/>
          <w:color w:val="auto"/>
        </w:rPr>
      </w:pPr>
    </w:p>
    <w:p>
      <w:pPr>
        <w:ind w:left="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3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0" w:lineRule="auto"/>
        <w:rPr>
          <w:sz w:val="20"/>
          <w:szCs w:val="20"/>
          <w:color w:val="auto"/>
        </w:rPr>
      </w:pPr>
      <w:r>
        <w:rPr>
          <w:rFonts w:ascii="Times New Roman" w:cs="Times New Roman" w:eastAsia="Times New Roman" w:hAnsi="Times New Roman"/>
          <w:sz w:val="18"/>
          <w:szCs w:val="18"/>
          <w:color w:val="auto"/>
        </w:rPr>
        <w:t>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5"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1"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1"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0"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83"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4" w:lineRule="exact"/>
        <w:rPr>
          <w:sz w:val="20"/>
          <w:szCs w:val="20"/>
          <w:color w:val="auto"/>
        </w:rPr>
      </w:pPr>
    </w:p>
    <w:p>
      <w:pPr>
        <w:ind w:left="60" w:right="199" w:firstLine="648"/>
        <w:spacing w:after="0" w:line="270"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1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future growth prospects could be materially and adversely affected by the ongoing COVID-19 pandemic.</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conduct of business operations have occurred and could continue to occur or be expanded in scope or duration, which could adversely impact:</w:t>
      </w:r>
    </w:p>
    <w:p>
      <w:pPr>
        <w:spacing w:after="0" w:line="162" w:lineRule="exact"/>
        <w:rPr>
          <w:sz w:val="20"/>
          <w:szCs w:val="20"/>
          <w:color w:val="auto"/>
        </w:rPr>
      </w:pPr>
    </w:p>
    <w:p>
      <w:pPr>
        <w:ind w:left="1340" w:hanging="318"/>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planned clinical trials;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and business operations;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at our third-party suppliers and other vendors in the U.S. and other countries;</w:t>
      </w:r>
    </w:p>
    <w:p>
      <w:pPr>
        <w:spacing w:after="0" w:line="225" w:lineRule="exact"/>
        <w:rPr>
          <w:rFonts w:ascii="Times New Roman" w:cs="Times New Roman" w:eastAsia="Times New Roman" w:hAnsi="Times New Roman"/>
          <w:sz w:val="18"/>
          <w:szCs w:val="18"/>
          <w:color w:val="auto"/>
        </w:rPr>
      </w:pPr>
    </w:p>
    <w:p>
      <w:pPr>
        <w:jc w:val="both"/>
        <w:ind w:left="1340" w:right="159" w:hanging="318"/>
        <w:spacing w:after="0" w:line="258" w:lineRule="auto"/>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82"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activities related to AYVAKIT/AYVAKYT, GAVRETO and any drug candidates for which we may receive marketing approval in the U.S. or other geographies in the future.</w:t>
      </w:r>
    </w:p>
    <w:p>
      <w:pPr>
        <w:spacing w:after="0" w:line="162"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To the extent the ongoing COVID-19 pandemic adversely affects our business, results of operations and future growth prospects, it may also have the effect of heightening many of the other risks described in this “Risk Factors” section.</w:t>
      </w:r>
    </w:p>
    <w:p>
      <w:pPr>
        <w:spacing w:after="0" w:line="172" w:lineRule="exact"/>
        <w:rPr>
          <w:sz w:val="20"/>
          <w:szCs w:val="20"/>
          <w:color w:val="auto"/>
        </w:rPr>
      </w:pPr>
    </w:p>
    <w:p>
      <w:pPr>
        <w:ind w:left="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9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4"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October 15, 2022, we had 602 full-time and part-time employees, and we expect to continue to increase our number of employees and expand the scope of our operations. To manage our anticipated future growth, we must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9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145"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ongoing COVID-19 pandemic has caused extreme volatility and disruptions in the capital and credit markets. In addition, geopolitical developments, such as the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Related sanctions, export controls or other actions that may be initiated by nations including the U.S., the European Union or Russia (e.g., potential cyberattacks, disruption of energy flows) could adversely affect our business, our supply chain, CROs, CMOs, clinical trial sites, collaborative partners,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Political development can also lead to uncertainty to regulations and rules that may materially affect our business. For example, as the UK regulatory system is now independent from the EU, Brexit could result in the UK significantly altering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European Union and elsewhere.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the Russian invasion of Ukraine could have an adverse impact on our business, financial condition and results of operations, including our clinical trials.</w:t>
      </w:r>
    </w:p>
    <w:p>
      <w:pPr>
        <w:spacing w:after="0" w:line="22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February 24, 2022, Russian forces invaded Ukraine, which has resulted in conflict and disruption in the region. In response to this action taken by Russia, the U.S. and other countries immediately imposed various economic sanctions against Russia. In the event Russia’s invasion continues or geographically expands, additional governmental sanctions may be enacted. The uncertain nature of this evolving situation, including the potential effects of sanctions limitations, retaliatory cyber-attacks on the world economy and markets, have also contributed to increased market volatility and uncertainty, which could have an adverse impact on macroeconomic factors that affect our business and operations.</w:t>
      </w:r>
    </w:p>
    <w:p>
      <w:pPr>
        <w:spacing w:after="0" w:line="27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Additionally, the ongoing conflict in Ukraine may disrupt the ability of our commercial research organizations, or CROs, to conduct clinical trials at certain sites in Ukraine. Moreover, enrollment and retention of clinical trial participants may be adversely affected. The overall impact of this conflict on our ability to conduct clinical trials at certain sites in future periods is hard to predict. However, interruptions of our clinical trials could significantly delay our clinical development plans and potential authorization or approval of our product candidates, which could increase our costs and impact our timelines for commercializing certain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8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 fluctuations could have an adverse impact on our operating results.</w:t>
      </w:r>
    </w:p>
    <w:p>
      <w:pPr>
        <w:spacing w:after="0" w:line="29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contract with vendors that are located in Asia and Europe, which are denominated in foreign currencies. 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spacing w:after="0" w:line="26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4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9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84"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9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6" w:lineRule="exact"/>
        <w:rPr>
          <w:sz w:val="20"/>
          <w:szCs w:val="20"/>
          <w:color w:val="auto"/>
        </w:rPr>
      </w:pPr>
    </w:p>
    <w:p>
      <w:pPr>
        <w:jc w:val="both"/>
        <w:ind w:left="60" w:right="3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8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w:t>
      </w:r>
    </w:p>
    <w:p>
      <w:pPr>
        <w:spacing w:after="0" w:line="19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Further, European data protection laws also prohibit the transfer of personal data from the EEA and Switzerland to third countries that are not considered to provide adequate protections are provided for personal data, including the U.S. With regard to transfers of personal data from the EEA, transfers to third countries that have not been approved as “adequate” are prohibited unless an appropriate safeguard specified by the GDPR is implemented, such as the Standard Contractual Clauses (SCCs) approved by the European Commission or binding corporate rules, or a derogation applies. In 2020, the Court of Justice of the European Union (CJEU) deemed that transfers made pursuant to the EU SCCs and other alternative transfer mechanisms, including binding corporate rules, need to be analyzed on a case-by-case basis to ensure EU standards of data protection are met in the jurisdiction where the data importer is based, and there continue to be concerns about whether these transfer mechanisms will face additional challenges. European regulators have issued recent guidance following the CJEU case that imposes significant new diligence requirements on transferring data outside the European Union, including under an approved transfer mechanism. This guidance requires an “essential equivalency” assessment of the laws of the destination country transferred. If essentially equivalent protections are not available in the destination country, the exporting entity must then assess if supplemental measures can be put in place that, in combination with the chosen transfer mechanism, would address the deficiency in the laws and ensure that essentially equivalent protection can be given to the data.</w:t>
      </w:r>
    </w:p>
    <w:p>
      <w:pPr>
        <w:spacing w:after="0" w:line="195"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On June 4, 2021, the European Commission issued new SCCs that account for the CJEU’s decision and other developments, which need to be put in place for new contracts involving the transfer of personal data from the European Economic Area to a third country since September 27, 2021, and incorporated into existing contracts by December 27, 2022. The New SCCs do not apply to the UK, but the UK Information Commissioner’s Office has published its own transfer mechanism, the International Data Transfer Agreement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Complying with these obligations and applicable guidance regarding cross-border data transfers could be expensive and time consuming, and may require us to modify our data handling policies and procedures and may ultimately prevent or restrict us from transferring personal data outside the European Economic Area of the UK which could cause significant business disruption.</w:t>
      </w:r>
    </w:p>
    <w:p>
      <w:pPr>
        <w:spacing w:after="0" w:line="194" w:lineRule="exact"/>
        <w:rPr>
          <w:sz w:val="20"/>
          <w:szCs w:val="20"/>
          <w:color w:val="auto"/>
        </w:rPr>
      </w:pPr>
    </w:p>
    <w:p>
      <w:pPr>
        <w:jc w:val="both"/>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w:t>
      </w:r>
    </w:p>
    <w:p>
      <w:pPr>
        <w:spacing w:after="0" w:line="3"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Complying with this guidance as it exists today and evolves will be expensive and time consuming and may ultimately prevent us from transferring personal data outside the European Union, which would cause significant business disruption for ourselves and our customers and potentially require the changes in the way our products are configured, hosted and supported.</w:t>
      </w:r>
    </w:p>
    <w:p>
      <w:pPr>
        <w:spacing w:after="0" w:line="18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we are subject to Swiss data protection laws, including the Federal Act on Data Protection (FADP). While the FADP provides broad protections to personal data, on September 25, 2020, the Swiss federal Parliament enacted a revised version of the FADP, which is anticipated to become effective in 2022 or the beginning of 2023. The new version of the FADP aligns Swiss data protection law with the GDPR.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An update is expected in 2022. The aim is for the Draft Regulation to be in force some time in 2023.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187" w:lineRule="exact"/>
        <w:rPr>
          <w:sz w:val="20"/>
          <w:szCs w:val="20"/>
          <w:color w:val="auto"/>
        </w:rPr>
      </w:pPr>
    </w:p>
    <w:p>
      <w:pPr>
        <w:ind w:left="60" w:right="79" w:firstLine="648"/>
        <w:spacing w:after="0" w:line="265" w:lineRule="auto"/>
        <w:rPr>
          <w:sz w:val="20"/>
          <w:szCs w:val="20"/>
          <w:color w:val="auto"/>
        </w:rPr>
      </w:pPr>
      <w:r>
        <w:rPr>
          <w:rFonts w:ascii="Times New Roman" w:cs="Times New Roman" w:eastAsia="Times New Roman" w:hAnsi="Times New Roman"/>
          <w:sz w:val="17"/>
          <w:szCs w:val="17"/>
          <w:color w:val="auto"/>
        </w:rPr>
        <w:t>As another prominent example, we are also subject to data protection regulation in the UK. Following the UK’s withdrawal from the EU on January 31, 2020 and the end of the transitional arrangements agreed between the UK and EU as of January 1, 2021, the GDPR has been incorporated into UK domestic law by virtue of section 3 of the European Union (Withdrawal) Act 2018 and amended by the Data Protection, Privacy and Electronic Communications (Amendments etc.) (EU Exit) Regulations 2019 (UK GDPR). United Kingdom-based organizations doing business in the European Union will need to continue to comply with the GDPR.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Information Commissioner’s Office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39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European data protection requirements, we are subject to the California Consumer Privacy Act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312" w:lineRule="auto"/>
        <w:rPr>
          <w:sz w:val="20"/>
          <w:szCs w:val="20"/>
          <w:color w:val="auto"/>
        </w:rPr>
      </w:pPr>
      <w:r>
        <w:rPr>
          <w:rFonts w:ascii="Times New Roman" w:cs="Times New Roman" w:eastAsia="Times New Roman" w:hAnsi="Times New Roman"/>
          <w:sz w:val="17"/>
          <w:szCs w:val="17"/>
          <w:color w:val="auto"/>
        </w:rPr>
        <w:t>may require us to modify our data collection or processing practices and policies and to incur substantial costs and expenses in an effort to comply and increase our potential exposure to regulatory enforcement and/or litigation.</w:t>
      </w:r>
    </w:p>
    <w:p>
      <w:pPr>
        <w:spacing w:after="0" w:line="140" w:lineRule="exact"/>
        <w:rPr>
          <w:sz w:val="20"/>
          <w:szCs w:val="20"/>
          <w:color w:val="auto"/>
        </w:rPr>
      </w:pPr>
    </w:p>
    <w:p>
      <w:pPr>
        <w:ind w:left="60" w:right="79" w:firstLine="648"/>
        <w:spacing w:after="0" w:line="264" w:lineRule="auto"/>
        <w:rPr>
          <w:sz w:val="20"/>
          <w:szCs w:val="20"/>
          <w:color w:val="auto"/>
        </w:rPr>
      </w:pPr>
      <w:r>
        <w:rPr>
          <w:rFonts w:ascii="Times New Roman" w:cs="Times New Roman" w:eastAsia="Times New Roman" w:hAnsi="Times New Roman"/>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w:t>
      </w:r>
    </w:p>
    <w:p>
      <w:pPr>
        <w:spacing w:after="0" w:line="5" w:lineRule="exact"/>
        <w:rPr>
          <w:sz w:val="20"/>
          <w:szCs w:val="20"/>
          <w:color w:val="auto"/>
        </w:rPr>
      </w:pPr>
    </w:p>
    <w:p>
      <w:pPr>
        <w:ind w:left="60" w:right="139" w:hanging="10"/>
        <w:spacing w:after="0" w:line="254"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87"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7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1"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them over five years. The U.S. Congress is considering legislation that would defer the amortization requirement to future periods; however, we have no assurance that the provision will be repealed or otherwise modified. If the requirement is not repealed or modified, it will have a material impact on the carryover of taxable losses used to offset future taxable income, and in turn, impacting our cash flows in future years.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29" w:lineRule="exact"/>
        <w:rPr>
          <w:sz w:val="20"/>
          <w:szCs w:val="20"/>
          <w:color w:val="auto"/>
        </w:rPr>
      </w:pPr>
    </w:p>
    <w:p>
      <w:pPr>
        <w:jc w:val="both"/>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October 28, 2022. As a result of this volatility, our stockholders could incur substantial losses.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74" w:lineRule="exact"/>
        <w:rPr>
          <w:sz w:val="20"/>
          <w:szCs w:val="20"/>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25" w:lineRule="exact"/>
        <w:rPr>
          <w:rFonts w:ascii="Times New Roman" w:cs="Times New Roman" w:eastAsia="Times New Roman" w:hAnsi="Times New Roman"/>
          <w:sz w:val="18"/>
          <w:szCs w:val="18"/>
          <w:color w:val="auto"/>
        </w:rPr>
      </w:pPr>
    </w:p>
    <w:p>
      <w:pPr>
        <w:ind w:left="1380" w:right="117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80" w:right="53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the ongoing conflict in Ukraine, trade wars, political unrest or other similar events;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In February 2022, we entered into a new sales agreement with Cowen and Company, LLC through which we may, from time to time, issue and sell shares of our common stock having an aggregate offering price of up to $300.0 million, subject to the terms and conditions of the new sales agreement.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75"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2022, we commenced a new at-the-market, or ATM, program to raise capital. Under our ATM</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 we have entered into a sales agreement to sell common shares, up to a maximum aggregate market value of</w:t>
      </w:r>
    </w:p>
    <w:p>
      <w:pPr>
        <w:ind w:left="60"/>
        <w:spacing w:after="0"/>
        <w:rPr>
          <w:sz w:val="20"/>
          <w:szCs w:val="20"/>
          <w:color w:val="auto"/>
        </w:rPr>
      </w:pPr>
      <w:r>
        <w:rPr>
          <w:rFonts w:ascii="Times New Roman" w:cs="Times New Roman" w:eastAsia="Times New Roman" w:hAnsi="Times New Roman"/>
          <w:sz w:val="17"/>
          <w:szCs w:val="17"/>
          <w:color w:val="auto"/>
        </w:rPr>
        <w:t>$300.0 million, through one or more at-the-market offerings. Given volatility in the capital markets, we may not be willing</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able to continue to raise equity capital through our ATM program. We may, therefore, need to turn to other sources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that may have terms that are not favorable to us, or reduce our business operations given capital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constraints.</w:t>
      </w:r>
    </w:p>
    <w:p>
      <w:pPr>
        <w:spacing w:after="0" w:line="22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00" w:lineRule="exact"/>
        <w:rPr>
          <w:sz w:val="20"/>
          <w:szCs w:val="20"/>
          <w:color w:val="auto"/>
        </w:rPr>
      </w:pPr>
    </w:p>
    <w:p>
      <w:pPr>
        <w:spacing w:after="0" w:line="20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9"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1"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99"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35"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4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3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4" w:lineRule="exact"/>
        <w:rPr>
          <w:sz w:val="20"/>
          <w:szCs w:val="20"/>
          <w:color w:val="auto"/>
        </w:rPr>
      </w:pPr>
    </w:p>
    <w:p>
      <w:pPr>
        <w:ind w:left="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$872.6 million, and our ability to utilize those net operating loss carryforwards could be limited by an “ownership change” as described above, which could result in increased tax liability to us. In addition, pursuant to the TCJA (as amended by the CARES Act),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w:t>
      </w:r>
    </w:p>
    <w:p>
      <w:pPr>
        <w:spacing w:after="0" w:line="187"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As part of this update, the Company also analyzed the shifts in the stock ownership of Lengo Therapeutics, Inc. (Lengo), a company acquired on December 29, 2021, for purposes of determining (1) whether and when Lengo experienced an “ownership change,” as defined in section 382(g)(1) of the Internal Revenue Code, during the period beginning March 6, 2019, the date of the first reported issuance of Lengo stock, and ending on the date of the Company’s acquisition by Blueprint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Blueprint’s acquisition of the Company.</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486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31.2*</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48" w:lineRule="exact"/>
        <w:rPr>
          <w:sz w:val="20"/>
          <w:szCs w:val="20"/>
          <w:color w:val="auto"/>
        </w:rPr>
      </w:pPr>
    </w:p>
    <w:p>
      <w:pPr>
        <w:ind w:right="199"/>
        <w:spacing w:after="0" w:line="282" w:lineRule="auto"/>
        <w:rPr>
          <w:sz w:val="20"/>
          <w:szCs w:val="20"/>
          <w:color w:val="auto"/>
        </w:rPr>
      </w:pPr>
      <w:r>
        <w:rPr>
          <w:rFonts w:ascii="Times New Roman" w:cs="Times New Roman" w:eastAsia="Times New Roman" w:hAnsi="Times New Roman"/>
          <w:sz w:val="18"/>
          <w:szCs w:val="18"/>
          <w:u w:val="single" w:color="auto"/>
          <w:color w:val="0000EE"/>
        </w:rPr>
        <w:t>Certification of Principal Executive Officer pursuant to Rule 13a-14(a) or Rule 15d-14(a) of the Exchange Act,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4946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7"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u w:val="single" w:color="auto"/>
          <w:color w:val="0000EE"/>
        </w:rPr>
        <w:t>Certification of Principal Financial Officer pursuant to Rule 13a-14(a) or Rule 15d-14(a) of the Exchange Act, as adopted pursuant to Section 302 of the Sarbanes-Oxley Act of 2002</w:t>
      </w:r>
    </w:p>
    <w:p>
      <w:pPr>
        <w:spacing w:after="0" w:line="27" w:lineRule="exact"/>
        <w:rPr>
          <w:sz w:val="20"/>
          <w:szCs w:val="20"/>
          <w:color w:val="auto"/>
        </w:rPr>
      </w:pPr>
    </w:p>
    <w:p>
      <w:pPr>
        <w:ind w:right="199"/>
        <w:spacing w:after="0" w:line="297" w:lineRule="auto"/>
        <w:rPr>
          <w:sz w:val="20"/>
          <w:szCs w:val="20"/>
          <w:color w:val="auto"/>
        </w:rPr>
      </w:pPr>
      <w:r>
        <w:rPr>
          <w:rFonts w:ascii="Times New Roman" w:cs="Times New Roman" w:eastAsia="Times New Roman" w:hAnsi="Times New Roman"/>
          <w:sz w:val="18"/>
          <w:szCs w:val="18"/>
          <w:u w:val="single" w:color="auto"/>
          <w:color w:val="0000EE"/>
        </w:rPr>
        <w:t>Certifications of Principal Executive Officer and Principal Financial Officer pursuant to 18 U.S.C. Section 1350, as adopted pursuant to Section 906 of the Sarbanes-Oxley Act of 2002</w:t>
      </w:r>
    </w:p>
    <w:p>
      <w:pPr>
        <w:spacing w:after="0" w:line="41" w:lineRule="exact"/>
        <w:rPr>
          <w:sz w:val="20"/>
          <w:szCs w:val="20"/>
          <w:color w:val="auto"/>
        </w:rPr>
      </w:pPr>
    </w:p>
    <w:p>
      <w:pPr>
        <w:sectPr>
          <w:pgSz w:w="11900" w:h="16838" w:orient="portrait"/>
          <w:cols w:equalWidth="0" w:num="2">
            <w:col w:w="800" w:space="360"/>
            <w:col w:w="7859"/>
          </w:cols>
          <w:pgMar w:left="1440" w:top="513" w:right="1440" w:bottom="1440" w:gutter="0" w:footer="0" w:header="0"/>
          <w:type w:val="continuous"/>
        </w:sect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 – the instance document does not appear in the Interactive Data File</w:t>
      </w:r>
    </w:p>
    <w:p>
      <w:pPr>
        <w:spacing w:after="0" w:line="27" w:lineRule="exact"/>
        <w:rPr>
          <w:sz w:val="20"/>
          <w:szCs w:val="20"/>
          <w:color w:val="auto"/>
        </w:rPr>
      </w:pPr>
    </w:p>
    <w:p>
      <w:pPr>
        <w:ind w:left="60" w:right="2619" w:firstLine="1107"/>
        <w:spacing w:after="0" w:line="349" w:lineRule="auto"/>
        <w:rPr>
          <w:sz w:val="20"/>
          <w:szCs w:val="20"/>
          <w:color w:val="auto"/>
        </w:rPr>
      </w:pPr>
      <w:r>
        <w:rPr>
          <w:rFonts w:ascii="Times New Roman" w:cs="Times New Roman" w:eastAsia="Times New Roman" w:hAnsi="Times New Roman"/>
          <w:sz w:val="18"/>
          <w:szCs w:val="18"/>
          <w:color w:val="auto"/>
        </w:rPr>
        <w:t>because its XBRL tags are embedded within the Inline XBRL Document 101.SCH* Inline XBRL Taxonomy Extension Schema Document</w:t>
      </w:r>
    </w:p>
    <w:p>
      <w:pPr>
        <w:spacing w:after="0" w:line="1"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117"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117"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117"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117" w:lineRule="exact"/>
        <w:rPr>
          <w:sz w:val="20"/>
          <w:szCs w:val="20"/>
          <w:color w:val="auto"/>
        </w:rPr>
      </w:pPr>
    </w:p>
    <w:p>
      <w:pPr>
        <w:ind w:left="1160" w:right="339" w:hanging="1104"/>
        <w:spacing w:after="0" w:line="297" w:lineRule="auto"/>
        <w:tabs>
          <w:tab w:leader="none" w:pos="1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-187960</wp:posOffset>
            </wp:positionV>
            <wp:extent cx="1414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97" w:lineRule="exact"/>
        <w:rPr>
          <w:sz w:val="20"/>
          <w:szCs w:val="20"/>
          <w:color w:val="auto"/>
        </w:rPr>
      </w:pPr>
    </w:p>
    <w:p>
      <w:pPr>
        <w:ind w:left="6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117" w:lineRule="exact"/>
        <w:rPr>
          <w:sz w:val="20"/>
          <w:szCs w:val="20"/>
          <w:color w:val="auto"/>
        </w:rPr>
      </w:pPr>
    </w:p>
    <w:p>
      <w:pPr>
        <w:ind w:left="300" w:right="499" w:hanging="250"/>
        <w:spacing w:after="0" w:line="282" w:lineRule="auto"/>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pursuant to Regulation S-K Item 601(b) because it is both (i) not material to investors and (ii) information that the Company treats as private or confidential.</w:t>
      </w:r>
    </w:p>
    <w:p>
      <w:pPr>
        <w:spacing w:after="0" w:line="54" w:lineRule="exact"/>
        <w:rPr>
          <w:sz w:val="20"/>
          <w:szCs w:val="20"/>
          <w:color w:val="auto"/>
        </w:rPr>
      </w:pPr>
    </w:p>
    <w:p>
      <w:pPr>
        <w:ind w:left="300" w:right="119" w:hanging="250"/>
        <w:spacing w:after="0" w:line="261" w:lineRule="auto"/>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0" w:right="27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68"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Kathryn Haviland, certify that:</w:t>
      </w:r>
    </w:p>
    <w:p>
      <w:pPr>
        <w:spacing w:after="0" w:line="225" w:lineRule="exact"/>
        <w:rPr>
          <w:sz w:val="20"/>
          <w:szCs w:val="20"/>
          <w:color w:val="auto"/>
        </w:rPr>
      </w:pPr>
    </w:p>
    <w:p>
      <w:pPr>
        <w:ind w:left="1500" w:hanging="64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Kathryn Haviland</w:t>
            </w:r>
          </w:p>
        </w:tc>
      </w:tr>
      <w:tr>
        <w:trPr>
          <w:trHeight w:val="191"/>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4" w:name="page115"/>
    <w:bookmarkEnd w:id="11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25" w:lineRule="exact"/>
        <w:rPr>
          <w:sz w:val="20"/>
          <w:szCs w:val="20"/>
          <w:color w:val="auto"/>
        </w:rPr>
      </w:pPr>
    </w:p>
    <w:p>
      <w:pPr>
        <w:ind w:left="1500" w:hanging="643"/>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Michael Landsittel</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Landsittel</w:t>
            </w:r>
          </w:p>
        </w:tc>
      </w:tr>
      <w:tr>
        <w:trPr>
          <w:trHeight w:val="216"/>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left="200" w:right="23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Blueprint Medicines Corporation (the “Company”) for the period ended September 30, 2022 as filed with the Securities and Exchange Commission on the date hereof (the “Report”), each of the undersigned officers of the Company hereby certifies, pursuant to 18 U.S.C. Section 1350, that to his knowledge:</w:t>
      </w:r>
    </w:p>
    <w:p>
      <w:pPr>
        <w:spacing w:after="0" w:line="187" w:lineRule="exact"/>
        <w:rPr>
          <w:sz w:val="20"/>
          <w:szCs w:val="20"/>
          <w:color w:val="auto"/>
        </w:rPr>
      </w:pPr>
    </w:p>
    <w:p>
      <w:pPr>
        <w:ind w:left="1500" w:right="259" w:hanging="562"/>
        <w:spacing w:after="0" w:line="282"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500" w:right="899" w:hanging="562"/>
        <w:spacing w:after="0" w:line="282"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11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11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lowerRoman"/>
      <w:start w:val="3"/>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852"/>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amp;"/>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lowerRoman"/>
      <w:start w:val="3"/>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lvl w:ilvl="1">
      <w:lvlJc w:val="left"/>
      <w:lvlText w:val="%2"/>
      <w:numFmt w:val="decimal"/>
      <w:start w:val="104"/>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2022-11-01T16:02:30Z</dcterms:created>
  <dcterms:modified xsi:type="dcterms:W3CDTF">2022-11-01T16:02:30Z</dcterms:modified>
</cp:coreProperties>
</file>