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215900</wp:posOffset>
            </wp:positionV>
            <wp:extent cx="15976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7660" cy="762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234315</wp:posOffset>
            </wp:positionV>
            <wp:extent cx="159766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766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December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228600</wp:posOffset>
            </wp:positionV>
            <wp:extent cx="15976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766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215900</wp:posOffset>
            </wp:positionV>
            <wp:extent cx="15976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7660" cy="7620"/>
                    </a:xfrm>
                    <a:prstGeom prst="rect">
                      <a:avLst/>
                    </a:prstGeom>
                    <a:noFill/>
                  </pic:spPr>
                </pic:pic>
              </a:graphicData>
            </a:graphic>
          </wp:anchor>
        </w:drawing>
      </w:r>
    </w:p>
    <w:p>
      <w:pPr>
        <w:sectPr>
          <w:pgSz w:w="11900" w:h="16838" w:orient="portrait"/>
          <w:cols w:equalWidth="0" w:num="1">
            <w:col w:w="10100"/>
          </w:cols>
          <w:pgMar w:left="900" w:top="585"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001-37359</w:t>
      </w:r>
    </w:p>
    <w:p>
      <w:pPr>
        <w:spacing w:after="0" w:line="2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26-3632015</w:t>
      </w:r>
    </w:p>
    <w:p>
      <w:pPr>
        <w:spacing w:after="0" w:line="2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(I.R.S. Employer</w:t>
      </w:r>
    </w:p>
    <w:p>
      <w:pPr>
        <w:spacing w:after="0" w:line="1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3440" w:space="720"/>
            <w:col w:w="3000" w:space="720"/>
            <w:col w:w="2220"/>
          </w:cols>
          <w:pgMar w:left="900" w:top="585" w:right="899" w:bottom="1440" w:gutter="0" w:footer="0" w:header="0"/>
          <w:type w:val="continuous"/>
        </w:sectPr>
      </w:pPr>
    </w:p>
    <w:p>
      <w:pPr>
        <w:spacing w:after="0" w:line="9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b w:val="1"/>
          <w:bCs w:val="1"/>
          <w:color w:val="auto"/>
        </w:rPr>
        <w:t>45 Sidney Street</w:t>
      </w:r>
    </w:p>
    <w:p>
      <w:pPr>
        <w:spacing w:after="0" w:line="2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Cambridge, Massachusetts</w:t>
      </w:r>
    </w:p>
    <w:p>
      <w:pPr>
        <w:spacing w:after="0" w:line="1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75"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02139</w:t>
      </w:r>
    </w:p>
    <w:p>
      <w:pPr>
        <w:spacing w:after="0" w:line="29"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540" w:space="720"/>
            <w:col w:w="2840"/>
          </w:cols>
          <w:pgMar w:left="900" w:top="585" w:right="899" w:bottom="1440" w:gutter="0" w:footer="0" w:header="0"/>
          <w:type w:val="continuous"/>
        </w:sectPr>
      </w:pP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374-7580</w:t>
      </w:r>
    </w:p>
    <w:p>
      <w:pPr>
        <w:spacing w:after="0" w:line="2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2410460</wp:posOffset>
            </wp:positionH>
            <wp:positionV relativeFrom="paragraph">
              <wp:posOffset>95250</wp:posOffset>
            </wp:positionV>
            <wp:extent cx="15976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7660" cy="1524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200" w:firstLine="586"/>
        <w:spacing w:after="0" w:line="29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820" w:hanging="22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9" w:lineRule="exact"/>
        <w:rPr>
          <w:rFonts w:ascii="MS PGothic" w:cs="MS PGothic" w:eastAsia="MS PGothic" w:hAnsi="MS PGothic"/>
          <w:sz w:val="16"/>
          <w:szCs w:val="16"/>
          <w:color w:val="auto"/>
        </w:rPr>
      </w:pPr>
    </w:p>
    <w:p>
      <w:pPr>
        <w:ind w:left="820" w:hanging="22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 w:lineRule="exact"/>
        <w:rPr>
          <w:rFonts w:ascii="MS PGothic" w:cs="MS PGothic" w:eastAsia="MS PGothic" w:hAnsi="MS PGothic"/>
          <w:sz w:val="16"/>
          <w:szCs w:val="16"/>
          <w:color w:val="auto"/>
        </w:rPr>
      </w:pPr>
    </w:p>
    <w:p>
      <w:pPr>
        <w:ind w:left="820" w:hanging="22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 w:lineRule="exact"/>
        <w:rPr>
          <w:rFonts w:ascii="MS PGothic" w:cs="MS PGothic" w:eastAsia="MS PGothic" w:hAnsi="MS PGothic"/>
          <w:sz w:val="16"/>
          <w:szCs w:val="16"/>
          <w:color w:val="auto"/>
        </w:rPr>
      </w:pPr>
    </w:p>
    <w:p>
      <w:pPr>
        <w:ind w:left="820" w:hanging="22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9" w:lineRule="exact"/>
        <w:rPr>
          <w:sz w:val="24"/>
          <w:szCs w:val="24"/>
          <w:color w:val="auto"/>
        </w:rPr>
      </w:pPr>
    </w:p>
    <w:p>
      <w:pPr>
        <w:ind w:right="80" w:firstLine="586"/>
        <w:spacing w:after="0" w:line="29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1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3" w:lineRule="exact"/>
        <w:rPr>
          <w:sz w:val="24"/>
          <w:szCs w:val="24"/>
          <w:color w:val="auto"/>
        </w:rPr>
      </w:pPr>
    </w:p>
    <w:p>
      <w:pPr>
        <w:ind w:right="80" w:firstLine="586"/>
        <w:spacing w:after="0" w:line="21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100" w:type="dxa"/>
            <w:vAlign w:val="bottom"/>
            <w:tcBorders>
              <w:top w:val="single" w:sz="8" w:color="auto"/>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4"/>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BPMC</w:t>
            </w:r>
          </w:p>
        </w:tc>
        <w:tc>
          <w:tcPr>
            <w:tcW w:w="410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516"/>
        </w:trPr>
        <w:tc>
          <w:tcPr>
            <w:tcW w:w="39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585" w:right="8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11" w:lineRule="exact"/>
        <w:rPr>
          <w:sz w:val="20"/>
          <w:szCs w:val="20"/>
          <w:color w:val="auto"/>
        </w:rPr>
      </w:pPr>
    </w:p>
    <w:p>
      <w:pPr>
        <w:ind w:right="20" w:firstLine="586"/>
        <w:spacing w:after="0" w:line="261" w:lineRule="auto"/>
        <w:rPr>
          <w:sz w:val="20"/>
          <w:szCs w:val="20"/>
          <w:color w:val="auto"/>
        </w:rPr>
      </w:pPr>
      <w:r>
        <w:rPr>
          <w:rFonts w:ascii="Times New Roman" w:cs="Times New Roman" w:eastAsia="Times New Roman" w:hAnsi="Times New Roman"/>
          <w:sz w:val="16"/>
          <w:szCs w:val="16"/>
          <w:color w:val="auto"/>
        </w:rPr>
        <w:t>On December 8, 2019, Blueprint Medicines Corporation (the “Company”) issued a press release announcing initial data from the dose-finding portion (part 1) of its ongoing Phase 2 PIONEER clinical trial in patients with indolent systemic mastocytosis and top-line data from its Phase 1 EXPLORER clinical trial evaluating avapritinib for the treatment of advanced systemic mastocytosis. The PIONEER trial data were presented on Sunday, December 8, 2019 in a poster presentation at the 61st American Society of Hematology Annual Meeting and Exposition (“ASH Annual Meeting”) in Orlando, Florida. A copy of the press release is furnished as Exhibit 99.1 to this Current Report on Form 8-K, and a copy of the presentation at the ASH Annual Meeting is furnished as Exhibit 99.2 to this Current Report on Form 8-K.</w:t>
      </w:r>
    </w:p>
    <w:p>
      <w:pPr>
        <w:spacing w:after="0" w:line="167" w:lineRule="exact"/>
        <w:rPr>
          <w:sz w:val="20"/>
          <w:szCs w:val="20"/>
          <w:color w:val="auto"/>
        </w:rPr>
      </w:pPr>
    </w:p>
    <w:p>
      <w:pPr>
        <w:ind w:right="440" w:firstLine="586"/>
        <w:spacing w:after="0" w:line="290" w:lineRule="auto"/>
        <w:rPr>
          <w:sz w:val="20"/>
          <w:szCs w:val="20"/>
          <w:color w:val="auto"/>
        </w:rPr>
      </w:pPr>
      <w:r>
        <w:rPr>
          <w:rFonts w:ascii="Times New Roman" w:cs="Times New Roman" w:eastAsia="Times New Roman" w:hAnsi="Times New Roman"/>
          <w:sz w:val="16"/>
          <w:szCs w:val="16"/>
          <w:color w:val="auto"/>
        </w:rPr>
        <w:t>In addition, on December 8, 2019, the Company hosted an investor event and live webcast to discuss the data presented at the ASH Annual Meeting. A copy of the presentation from the investor event is furnished as Exhibit 99.3 to this Current Report on Form 8-K.</w:t>
      </w:r>
    </w:p>
    <w:p>
      <w:pPr>
        <w:spacing w:after="0" w:line="142" w:lineRule="exact"/>
        <w:rPr>
          <w:sz w:val="20"/>
          <w:szCs w:val="20"/>
          <w:color w:val="auto"/>
        </w:rPr>
      </w:pPr>
    </w:p>
    <w:p>
      <w:pPr>
        <w:ind w:right="200" w:firstLine="627"/>
        <w:spacing w:after="0" w:line="266"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 Exhibits.</w:t>
            </w:r>
          </w:p>
        </w:tc>
        <w:tc>
          <w:tcPr>
            <w:tcW w:w="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3"/>
        </w:trPr>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24"/>
                <w:szCs w:val="24"/>
                <w:color w:val="auto"/>
              </w:rPr>
            </w:pPr>
          </w:p>
        </w:tc>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2"/>
        </w:trPr>
        <w:tc>
          <w:tcPr>
            <w:tcW w:w="1460" w:type="dxa"/>
            <w:vAlign w:val="bottom"/>
            <w:tcBorders>
              <w:top w:val="single" w:sz="8" w:color="auto"/>
            </w:tcBorders>
          </w:tcPr>
          <w:p>
            <w:pPr>
              <w:ind w:left="100"/>
              <w:spacing w:after="0" w:line="152" w:lineRule="exact"/>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140" w:type="dxa"/>
            <w:vAlign w:val="bottom"/>
            <w:tcBorders>
              <w:top w:val="single" w:sz="8" w:color="auto"/>
              <w:bottom w:val="single" w:sz="8" w:color="0000EE"/>
            </w:tcBorders>
          </w:tcPr>
          <w:p>
            <w:pPr>
              <w:spacing w:after="0" w:line="152" w:lineRule="exact"/>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Press release issued by Blueprint Medicines Corporation on December 8, 2019</w:t>
              </w:r>
            </w:hyperlink>
          </w:p>
        </w:tc>
        <w:tc>
          <w:tcPr>
            <w:tcW w:w="3120" w:type="dxa"/>
            <w:vAlign w:val="bottom"/>
            <w:tcBorders>
              <w:top w:val="single" w:sz="8" w:color="auto"/>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146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99.2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80" w:type="dxa"/>
            <w:vAlign w:val="bottom"/>
            <w:gridSpan w:val="5"/>
          </w:tcPr>
          <w:p>
            <w:pPr>
              <w:spacing w:after="0" w:line="175" w:lineRule="exact"/>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color w:val="0000EE"/>
                </w:rPr>
                <w:t>Presentation by Blueprint Medicines Corporation at the ASH Annual Meeting on December 8, 2019</w:t>
              </w:r>
            </w:hyperlink>
          </w:p>
        </w:tc>
      </w:tr>
      <w:tr>
        <w:trPr>
          <w:trHeight w:val="175"/>
        </w:trPr>
        <w:tc>
          <w:tcPr>
            <w:tcW w:w="1460" w:type="dxa"/>
            <w:vAlign w:val="bottom"/>
          </w:tcPr>
          <w:p>
            <w:pPr>
              <w:ind w:left="100"/>
              <w:spacing w:after="0" w:line="175" w:lineRule="exact"/>
              <w:rPr>
                <w:sz w:val="20"/>
                <w:szCs w:val="20"/>
                <w:color w:val="auto"/>
              </w:rPr>
            </w:pPr>
            <w:r>
              <w:rPr>
                <w:rFonts w:ascii="Times New Roman" w:cs="Times New Roman" w:eastAsia="Times New Roman" w:hAnsi="Times New Roman"/>
                <w:sz w:val="16"/>
                <w:szCs w:val="16"/>
                <w:color w:val="auto"/>
              </w:rPr>
              <w:t>99.3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20" w:type="dxa"/>
            <w:vAlign w:val="bottom"/>
            <w:tcBorders>
              <w:top w:val="single" w:sz="8" w:color="0000EE"/>
              <w:bottom w:val="single" w:sz="8" w:color="0000EE"/>
            </w:tcBorders>
            <w:gridSpan w:val="2"/>
          </w:tcPr>
          <w:p>
            <w:pPr>
              <w:spacing w:after="0" w:line="175" w:lineRule="exact"/>
              <w:rPr>
                <w:rFonts w:ascii="Times New Roman" w:cs="Times New Roman" w:eastAsia="Times New Roman" w:hAnsi="Times New Roman"/>
                <w:sz w:val="16"/>
                <w:szCs w:val="16"/>
                <w:color w:val="0000EE"/>
              </w:rPr>
            </w:pPr>
            <w:hyperlink w:anchor="page10">
              <w:r>
                <w:rPr>
                  <w:rFonts w:ascii="Times New Roman" w:cs="Times New Roman" w:eastAsia="Times New Roman" w:hAnsi="Times New Roman"/>
                  <w:sz w:val="16"/>
                  <w:szCs w:val="16"/>
                  <w:color w:val="0000EE"/>
                </w:rPr>
                <w:t>Presentation by Blueprint Medicines Corporation at the investor event on December 8, 2019</w:t>
              </w:r>
            </w:hyperlink>
          </w:p>
        </w:tc>
        <w:tc>
          <w:tcPr>
            <w:tcW w:w="500" w:type="dxa"/>
            <w:vAlign w:val="bottom"/>
            <w:tcBorders>
              <w:top w:val="single" w:sz="8" w:color="0000EE"/>
            </w:tcBorders>
          </w:tcPr>
          <w:p>
            <w:pPr>
              <w:spacing w:after="0"/>
              <w:rPr>
                <w:sz w:val="15"/>
                <w:szCs w:val="15"/>
                <w:color w:val="auto"/>
              </w:rPr>
            </w:pPr>
          </w:p>
        </w:tc>
        <w:tc>
          <w:tcPr>
            <w:tcW w:w="1760" w:type="dxa"/>
            <w:vAlign w:val="bottom"/>
            <w:gridSpan w:val="2"/>
          </w:tcPr>
          <w:p>
            <w:pPr>
              <w:spacing w:after="0"/>
              <w:rPr>
                <w:sz w:val="15"/>
                <w:szCs w:val="15"/>
                <w:color w:val="auto"/>
              </w:rPr>
            </w:pPr>
          </w:p>
        </w:tc>
      </w:tr>
      <w:tr>
        <w:trPr>
          <w:trHeight w:val="211"/>
        </w:trPr>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43"/>
        </w:trPr>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20" w:type="dxa"/>
            <w:vAlign w:val="bottom"/>
            <w:gridSpan w:val="2"/>
          </w:tcPr>
          <w:p>
            <w:pPr>
              <w:jc w:val="right"/>
              <w:ind w:right="177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1"/>
        </w:trPr>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414" w:right="89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9" w:lineRule="exact"/>
        <w:rPr>
          <w:sz w:val="20"/>
          <w:szCs w:val="20"/>
          <w:color w:val="auto"/>
        </w:rPr>
      </w:pPr>
    </w:p>
    <w:p>
      <w:pPr>
        <w:ind w:firstLine="586"/>
        <w:spacing w:after="0" w:line="29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8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5740" w:val="left"/>
          <w:tab w:leader="none" w:pos="6120" w:val="left"/>
        </w:tabs>
        <w:rPr>
          <w:sz w:val="20"/>
          <w:szCs w:val="20"/>
          <w:color w:val="auto"/>
        </w:rPr>
      </w:pPr>
      <w:r>
        <w:rPr>
          <w:rFonts w:ascii="Times New Roman" w:cs="Times New Roman" w:eastAsia="Times New Roman" w:hAnsi="Times New Roman"/>
          <w:sz w:val="16"/>
          <w:szCs w:val="16"/>
          <w:color w:val="auto"/>
        </w:rPr>
        <w:t>Date: December 9, 2019</w:t>
      </w:r>
      <w:r>
        <w:rPr>
          <w:sz w:val="20"/>
          <w:szCs w:val="20"/>
          <w:color w:val="auto"/>
        </w:rPr>
        <w:tab/>
      </w:r>
      <w:r>
        <w:rPr>
          <w:rFonts w:ascii="Times New Roman" w:cs="Times New Roman" w:eastAsia="Times New Roman" w:hAnsi="Times New Roman"/>
          <w:sz w:val="16"/>
          <w:szCs w:val="16"/>
          <w:color w:val="auto"/>
        </w:rPr>
        <w:t>By:</w:t>
        <w:tab/>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17780</wp:posOffset>
            </wp:positionV>
            <wp:extent cx="25050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5075" cy="7620"/>
                    </a:xfrm>
                    <a:prstGeom prst="rect">
                      <a:avLst/>
                    </a:prstGeom>
                    <a:noFill/>
                  </pic:spPr>
                </pic:pic>
              </a:graphicData>
            </a:graphic>
          </wp:anchor>
        </w:drawing>
      </w:r>
    </w:p>
    <w:p>
      <w:pPr>
        <w:spacing w:after="0" w:line="5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Jeffrey W. Albers</w:t>
      </w:r>
    </w:p>
    <w:p>
      <w:pPr>
        <w:spacing w:after="0" w:line="3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452120</wp:posOffset>
            </wp:positionV>
            <wp:extent cx="640651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06515" cy="23495"/>
                    </a:xfrm>
                    <a:prstGeom prst="rect">
                      <a:avLst/>
                    </a:prstGeom>
                    <a:noFill/>
                  </pic:spPr>
                </pic:pic>
              </a:graphicData>
            </a:graphic>
          </wp:anchor>
        </w:drawing>
      </w:r>
    </w:p>
    <w:p>
      <w:pPr>
        <w:sectPr>
          <w:pgSz w:w="11900" w:h="16838" w:orient="portrait"/>
          <w:cols w:equalWidth="0" w:num="1">
            <w:col w:w="9900"/>
          </w:cols>
          <w:pgMar w:left="900" w:top="121" w:right="1099" w:bottom="1440" w:gutter="0" w:footer="0" w:header="0"/>
        </w:sectPr>
      </w:pPr>
    </w:p>
    <w:bookmarkStart w:id="3" w:name="page4"/>
    <w:bookmarkEnd w:id="3"/>
    <w:p>
      <w:pPr>
        <w:jc w:val="right"/>
        <w:ind w:right="139"/>
        <w:spacing w:after="0"/>
        <w:rPr>
          <w:sz w:val="20"/>
          <w:szCs w:val="20"/>
          <w:color w:val="auto"/>
        </w:rPr>
      </w:pPr>
      <w:r>
        <w:rPr>
          <w:rFonts w:ascii="Times New Roman" w:cs="Times New Roman" w:eastAsia="Times New Roman" w:hAnsi="Times New Roman"/>
          <w:sz w:val="16"/>
          <w:szCs w:val="16"/>
          <w:color w:val="auto"/>
        </w:rPr>
        <w:t>Exhibit 99.1</w:t>
      </w:r>
    </w:p>
    <w:p>
      <w:pPr>
        <w:spacing w:after="0" w:line="217" w:lineRule="exact"/>
        <w:rPr>
          <w:sz w:val="20"/>
          <w:szCs w:val="20"/>
          <w:color w:val="auto"/>
        </w:rPr>
      </w:pPr>
    </w:p>
    <w:p>
      <w:pPr>
        <w:ind w:left="1360" w:right="1359" w:firstLine="53"/>
        <w:spacing w:after="0" w:line="292" w:lineRule="auto"/>
        <w:rPr>
          <w:sz w:val="20"/>
          <w:szCs w:val="20"/>
          <w:color w:val="auto"/>
        </w:rPr>
      </w:pPr>
      <w:r>
        <w:rPr>
          <w:rFonts w:ascii="Times New Roman" w:cs="Times New Roman" w:eastAsia="Times New Roman" w:hAnsi="Times New Roman"/>
          <w:sz w:val="16"/>
          <w:szCs w:val="16"/>
          <w:b w:val="1"/>
          <w:bCs w:val="1"/>
          <w:color w:val="auto"/>
        </w:rPr>
        <w:t>Blueprint Medicines Announces Initial Data from Phase 2 PIONEER Trial of Avapritinib in Patients with Indolent Systemic Mastocytosis Showing Activity at All Dose Levels Tested</w:t>
      </w:r>
    </w:p>
    <w:p>
      <w:pPr>
        <w:spacing w:after="0" w:line="187" w:lineRule="exact"/>
        <w:rPr>
          <w:sz w:val="20"/>
          <w:szCs w:val="20"/>
          <w:color w:val="auto"/>
        </w:rPr>
      </w:pPr>
    </w:p>
    <w:p>
      <w:pPr>
        <w:jc w:val="center"/>
        <w:ind w:left="1600" w:right="660"/>
        <w:spacing w:after="0" w:line="337" w:lineRule="auto"/>
        <w:rPr>
          <w:sz w:val="20"/>
          <w:szCs w:val="20"/>
          <w:color w:val="auto"/>
        </w:rPr>
      </w:pPr>
      <w:r>
        <w:rPr>
          <w:rFonts w:ascii="Times New Roman" w:cs="Times New Roman" w:eastAsia="Times New Roman" w:hAnsi="Times New Roman"/>
          <w:sz w:val="16"/>
          <w:szCs w:val="16"/>
          <w:i w:val="1"/>
          <w:iCs w:val="1"/>
          <w:color w:val="auto"/>
        </w:rPr>
        <w:t>-- Plan to initiate screening in registration-enabling portion of PIONEER trial in indolent SM in first half 2020 -- -- Top-line EXPLORER trial data in advanced SM support planned NDA submission in Q1 2020 -- -- Blueprint Medicines to host investor event and webcast on Sunday, December 8, 2019 at 8:30 p.m. ET --</w:t>
      </w:r>
    </w:p>
    <w:p>
      <w:pPr>
        <w:spacing w:after="0" w:line="155" w:lineRule="exact"/>
        <w:rPr>
          <w:sz w:val="20"/>
          <w:szCs w:val="20"/>
          <w:color w:val="auto"/>
        </w:rPr>
      </w:pPr>
    </w:p>
    <w:p>
      <w:pPr>
        <w:ind w:left="140" w:right="279"/>
        <w:spacing w:after="0" w:line="260" w:lineRule="auto"/>
        <w:rPr>
          <w:sz w:val="20"/>
          <w:szCs w:val="20"/>
          <w:color w:val="auto"/>
        </w:rPr>
      </w:pPr>
      <w:r>
        <w:rPr>
          <w:rFonts w:ascii="Times New Roman" w:cs="Times New Roman" w:eastAsia="Times New Roman" w:hAnsi="Times New Roman"/>
          <w:sz w:val="16"/>
          <w:szCs w:val="16"/>
          <w:color w:val="auto"/>
        </w:rPr>
        <w:t>CAMBRIDGE, Mass., December 8, 2019 – Blueprint Medicines Corporation (NASDAQ:BPMC), a precision therapy company focused on genomically defined cancers, rare diseases and cancer immunotherapy, today announced initial data from the Phase 2 PIONEER clinical trial of avapritinib in patients with indolent systemic mastocytosis (SM). Initial data from the dose-finding Part 1 of the PIONEER trial showed rapid and robust reductions in serum tryptase, a well-established measure of mast cell burden, in patients treated with 25 mg, 50 mg or 100 mg of avapritinib once daily (QD). All dose levels of avapritinib tested were well-tolerated, and no patients discontinued treatment due to an adverse event (AE). The results will be presented today in a poster presentation at the 61</w:t>
      </w:r>
      <w:r>
        <w:rPr>
          <w:rFonts w:ascii="Times New Roman" w:cs="Times New Roman" w:eastAsia="Times New Roman" w:hAnsi="Times New Roman"/>
          <w:sz w:val="8"/>
          <w:szCs w:val="8"/>
          <w:color w:val="auto"/>
        </w:rPr>
        <w:t>st</w:t>
      </w:r>
      <w:r>
        <w:rPr>
          <w:rFonts w:ascii="Times New Roman" w:cs="Times New Roman" w:eastAsia="Times New Roman" w:hAnsi="Times New Roman"/>
          <w:sz w:val="16"/>
          <w:szCs w:val="16"/>
          <w:color w:val="auto"/>
        </w:rPr>
        <w:t xml:space="preserve"> American Society of Hematology (ASH) Annual Meeting and Exposition in Orlando, Florida.</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Nearly all cases of SM, a rare mast cell disorder, are driven by the KIT D816V mutation, which aberrantly activates mast</w:t>
      </w:r>
    </w:p>
    <w:p>
      <w:pPr>
        <w:spacing w:after="0" w:line="27" w:lineRule="exact"/>
        <w:rPr>
          <w:sz w:val="20"/>
          <w:szCs w:val="20"/>
          <w:color w:val="auto"/>
        </w:rPr>
      </w:pPr>
    </w:p>
    <w:p>
      <w:pPr>
        <w:jc w:val="both"/>
        <w:ind w:left="140" w:right="379"/>
        <w:spacing w:after="0" w:line="262" w:lineRule="auto"/>
        <w:rPr>
          <w:sz w:val="20"/>
          <w:szCs w:val="20"/>
          <w:color w:val="auto"/>
        </w:rPr>
      </w:pPr>
      <w:r>
        <w:rPr>
          <w:rFonts w:ascii="Times New Roman" w:cs="Times New Roman" w:eastAsia="Times New Roman" w:hAnsi="Times New Roman"/>
          <w:sz w:val="16"/>
          <w:szCs w:val="16"/>
          <w:color w:val="auto"/>
        </w:rPr>
        <w:t>cells. Patients across all disease subtypes including indolent SM experience debilitating symptoms across multiple organ systems, while advanced SM is uniquely characterized by organ damage due to mast cell infiltration. Avapritinib, an investigational drug, is a highly potent and selective inhibitor of D816V mutant KIT.</w:t>
      </w:r>
    </w:p>
    <w:p>
      <w:pPr>
        <w:spacing w:after="0" w:line="164" w:lineRule="exact"/>
        <w:rPr>
          <w:sz w:val="20"/>
          <w:szCs w:val="20"/>
          <w:color w:val="auto"/>
        </w:rPr>
      </w:pPr>
    </w:p>
    <w:p>
      <w:pPr>
        <w:ind w:left="140" w:right="199"/>
        <w:spacing w:after="0" w:line="261" w:lineRule="auto"/>
        <w:rPr>
          <w:sz w:val="20"/>
          <w:szCs w:val="20"/>
          <w:color w:val="auto"/>
        </w:rPr>
      </w:pPr>
      <w:r>
        <w:rPr>
          <w:rFonts w:ascii="Times New Roman" w:cs="Times New Roman" w:eastAsia="Times New Roman" w:hAnsi="Times New Roman"/>
          <w:sz w:val="16"/>
          <w:szCs w:val="16"/>
          <w:color w:val="auto"/>
        </w:rPr>
        <w:t>“Patients with indolent SM often experience debilitating symptoms, including unpredictable hypersensitivity reactions and anaphylaxis, despite available symptom-directed treatments, leading to reduced quality of life, social isolation and frequent utilization of the healthcare system,” said Cem Akin, M.D., Ph.D., Professor of Medicine at the University of Michigan and an investigator on the PIONEER trial. “The initial PIONEER data announced today are highly encouraging and show that low doses of avapritinib are well-tolerated and reduce elevated levels of tryptase in the blood. We believe this early indicator of mast cell response is predictive of reductions in clinical symptoms, which we hope to see confirmed with additional data from the PIONEER trial next year.”</w:t>
      </w:r>
    </w:p>
    <w:p>
      <w:pPr>
        <w:spacing w:after="0" w:line="363" w:lineRule="exact"/>
        <w:rPr>
          <w:sz w:val="20"/>
          <w:szCs w:val="20"/>
          <w:color w:val="auto"/>
        </w:rPr>
      </w:pPr>
    </w:p>
    <w:p>
      <w:pPr>
        <w:ind w:left="140" w:right="139"/>
        <w:spacing w:after="0" w:line="266" w:lineRule="auto"/>
        <w:rPr>
          <w:sz w:val="20"/>
          <w:szCs w:val="20"/>
          <w:color w:val="auto"/>
        </w:rPr>
      </w:pPr>
      <w:r>
        <w:rPr>
          <w:rFonts w:ascii="Times New Roman" w:cs="Times New Roman" w:eastAsia="Times New Roman" w:hAnsi="Times New Roman"/>
          <w:sz w:val="16"/>
          <w:szCs w:val="16"/>
          <w:color w:val="auto"/>
        </w:rPr>
        <w:t>“The PIONEER data in patients with indolent SM further highlight the potential of avapritinib, a highly potent inhibitor of D816V mutant KIT, to become a new standard of care across all subtypes of SM,” said Andy Boral, M.D., Ph.D., Chief Medical Officer at Blueprint Medicines. “Blueprint Medicines is committed to advancing a comprehensive clinical development program for avapritinib, with the goal of bringing a highly effective precision therapy to a broad population of patients with SM.”</w:t>
      </w:r>
    </w:p>
    <w:p>
      <w:pPr>
        <w:spacing w:after="0" w:line="161" w:lineRule="exact"/>
        <w:rPr>
          <w:sz w:val="20"/>
          <w:szCs w:val="20"/>
          <w:color w:val="auto"/>
        </w:rPr>
      </w:pPr>
    </w:p>
    <w:p>
      <w:pPr>
        <w:ind w:left="140" w:right="159"/>
        <w:spacing w:after="0" w:line="272" w:lineRule="auto"/>
        <w:rPr>
          <w:sz w:val="20"/>
          <w:szCs w:val="20"/>
          <w:color w:val="auto"/>
        </w:rPr>
      </w:pPr>
      <w:r>
        <w:rPr>
          <w:rFonts w:ascii="Times New Roman" w:cs="Times New Roman" w:eastAsia="Times New Roman" w:hAnsi="Times New Roman"/>
          <w:sz w:val="16"/>
          <w:szCs w:val="16"/>
          <w:color w:val="auto"/>
        </w:rPr>
        <w:t>Blueprint Medicines plans to report additional data from Part 1 of the PIONEER trial that will inform the selection of a recommended Part 2 dose (RP2D), including the change in patient-reported disease symptoms as measured by the Indolent SM Symptom Assessment Form (ISM-SAF), in the first quarter of 2020. The registration-enabling Part 2 of the PIONEER trial is anticipated to initiate patient screening in the first half of 2020.</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Highlights from the ASH Presentation of PIONEER Trial Data in Indolent SM</w:t>
      </w:r>
    </w:p>
    <w:p>
      <w:pPr>
        <w:spacing w:after="0" w:line="209" w:lineRule="exact"/>
        <w:rPr>
          <w:sz w:val="20"/>
          <w:szCs w:val="20"/>
          <w:color w:val="auto"/>
        </w:rPr>
      </w:pPr>
    </w:p>
    <w:p>
      <w:pPr>
        <w:jc w:val="both"/>
        <w:ind w:left="140" w:right="159"/>
        <w:spacing w:after="0" w:line="263" w:lineRule="auto"/>
        <w:rPr>
          <w:sz w:val="20"/>
          <w:szCs w:val="20"/>
          <w:color w:val="auto"/>
        </w:rPr>
      </w:pPr>
      <w:r>
        <w:rPr>
          <w:rFonts w:ascii="Times New Roman" w:cs="Times New Roman" w:eastAsia="Times New Roman" w:hAnsi="Times New Roman"/>
          <w:sz w:val="16"/>
          <w:szCs w:val="16"/>
          <w:color w:val="auto"/>
        </w:rPr>
        <w:t>The dose-finding Part 1 of the PIONEER trial was designed to test three doses of avapritinib (25 mg, 50 mg and 100 mg QD) versus placebo to determine a RP2D. Major eligibility criteria included adults with indolent SM confirmed by central pathology review and moderate to severe symptom burden, despite best available supportive care medications. Across four concurrent cohorts, 39 patients were enrolled, including 10 patients in each avapritinib dose cohort and nine patients in the placebo cohort. As of a data cutoff date of November 12, 2019, the enrolled population had a median time on study of 12 weeks (range: 1-30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425450</wp:posOffset>
            </wp:positionV>
            <wp:extent cx="555307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3075"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6"/>
          <w:szCs w:val="16"/>
          <w:i w:val="1"/>
          <w:iCs w:val="1"/>
          <w:color w:val="auto"/>
        </w:rPr>
        <w:t>Baseline Patient Characteristics</w:t>
      </w:r>
    </w:p>
    <w:p>
      <w:pPr>
        <w:spacing w:after="0" w:line="209" w:lineRule="exact"/>
        <w:rPr>
          <w:sz w:val="20"/>
          <w:szCs w:val="20"/>
          <w:color w:val="auto"/>
        </w:rPr>
      </w:pPr>
    </w:p>
    <w:p>
      <w:pPr>
        <w:ind w:left="140" w:right="179"/>
        <w:spacing w:after="0" w:line="272" w:lineRule="auto"/>
        <w:rPr>
          <w:sz w:val="20"/>
          <w:szCs w:val="20"/>
          <w:color w:val="auto"/>
        </w:rPr>
      </w:pPr>
      <w:r>
        <w:rPr>
          <w:rFonts w:ascii="Times New Roman" w:cs="Times New Roman" w:eastAsia="Times New Roman" w:hAnsi="Times New Roman"/>
          <w:sz w:val="16"/>
          <w:szCs w:val="16"/>
          <w:color w:val="auto"/>
        </w:rPr>
        <w:t>At baseline, all patients had symptomatic disease despite best available therapy. Median ISM-SAF total symptom score (TSS) was 52 [range: 19-100 (total possible range: 0-110)]. Patients were taking a median of three medications (range: 1-7) to treat their disease. Mean serum tryptase was 84 micrograms per liter.</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Clinical Activity Data</w:t>
      </w:r>
    </w:p>
    <w:p>
      <w:pPr>
        <w:spacing w:after="0" w:line="209" w:lineRule="exact"/>
        <w:rPr>
          <w:sz w:val="20"/>
          <w:szCs w:val="20"/>
          <w:color w:val="auto"/>
        </w:rPr>
      </w:pPr>
    </w:p>
    <w:p>
      <w:pPr>
        <w:ind w:left="140" w:right="259"/>
        <w:spacing w:after="0" w:line="290" w:lineRule="auto"/>
        <w:rPr>
          <w:sz w:val="20"/>
          <w:szCs w:val="20"/>
          <w:color w:val="auto"/>
        </w:rPr>
      </w:pPr>
      <w:r>
        <w:rPr>
          <w:rFonts w:ascii="Times New Roman" w:cs="Times New Roman" w:eastAsia="Times New Roman" w:hAnsi="Times New Roman"/>
          <w:sz w:val="16"/>
          <w:szCs w:val="16"/>
          <w:color w:val="auto"/>
        </w:rPr>
        <w:t>Across all avapritinib dose cohorts, reductions in serum tryptase were robust, occurred rapidly and were sustained in patients treated up to 30 weeks. The placebo cohort showed no change in serum tryptase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100330</wp:posOffset>
            </wp:positionV>
            <wp:extent cx="5545455" cy="1233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5455" cy="123317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Mean Percent Change in Serum Tryptase</w:t>
      </w:r>
    </w:p>
    <w:p>
      <w:pPr>
        <w:spacing w:after="0" w:line="83" w:lineRule="exact"/>
        <w:rPr>
          <w:sz w:val="20"/>
          <w:szCs w:val="20"/>
          <w:color w:val="auto"/>
        </w:rPr>
      </w:pPr>
    </w:p>
    <w:tbl>
      <w:tblPr>
        <w:tblLayout w:type="fixed"/>
        <w:tblInd w:w="140" w:type="dxa"/>
        <w:tblCellMar>
          <w:top w:w="0" w:type="dxa"/>
          <w:left w:w="0" w:type="dxa"/>
          <w:bottom w:w="0" w:type="dxa"/>
          <w:right w:w="0" w:type="dxa"/>
        </w:tblCellMar>
      </w:tblPr>
      <w:tr>
        <w:trPr>
          <w:trHeight w:val="250"/>
        </w:trPr>
        <w:tc>
          <w:tcPr>
            <w:tcW w:w="250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Timepoint</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Avapritinib</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Avapritinib</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Avapritinib</w:t>
            </w:r>
          </w:p>
        </w:tc>
        <w:tc>
          <w:tcPr>
            <w:tcW w:w="15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Placebo</w:t>
            </w:r>
          </w:p>
        </w:tc>
        <w:tc>
          <w:tcPr>
            <w:tcW w:w="0" w:type="dxa"/>
            <w:vAlign w:val="bottom"/>
          </w:tcPr>
          <w:p>
            <w:pPr>
              <w:spacing w:after="0"/>
              <w:rPr>
                <w:sz w:val="1"/>
                <w:szCs w:val="1"/>
                <w:color w:val="auto"/>
              </w:rPr>
            </w:pPr>
          </w:p>
        </w:tc>
      </w:tr>
      <w:tr>
        <w:trPr>
          <w:trHeight w:val="115"/>
        </w:trPr>
        <w:tc>
          <w:tcPr>
            <w:tcW w:w="250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25 mg QD</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50 mg QD</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100 mg QD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50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0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Cycle 1, Day 8</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-37.72%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-54.08%</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-56.16%</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113"/>
        </w:trPr>
        <w:tc>
          <w:tcPr>
            <w:tcW w:w="25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(first post-baseline assessment)</w:t>
            </w: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50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0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Cycle 4, Day 1</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-48.24%</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-66.67%</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-61.83%</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113"/>
        </w:trPr>
        <w:tc>
          <w:tcPr>
            <w:tcW w:w="25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(12 weeks)</w:t>
            </w: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50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50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right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40" w:right="159"/>
        <w:spacing w:after="0" w:line="272" w:lineRule="auto"/>
        <w:rPr>
          <w:sz w:val="20"/>
          <w:szCs w:val="20"/>
          <w:color w:val="auto"/>
        </w:rPr>
      </w:pPr>
      <w:r>
        <w:rPr>
          <w:rFonts w:ascii="Times New Roman" w:cs="Times New Roman" w:eastAsia="Times New Roman" w:hAnsi="Times New Roman"/>
          <w:sz w:val="16"/>
          <w:szCs w:val="16"/>
          <w:color w:val="auto"/>
        </w:rPr>
        <w:t>Tryptase is an enzyme released by activated mast cells. Elevated tryptase in blood serum is a hallmark of SM and a component of the World Health Organization diagnostic criteria. Reduction in serum tryptase is a component of the IWG-MRT-ECNM response criteria (IWG criteria) for advanced SM.</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Safety Data</w:t>
      </w:r>
    </w:p>
    <w:p>
      <w:pPr>
        <w:spacing w:after="0" w:line="209" w:lineRule="exact"/>
        <w:rPr>
          <w:sz w:val="20"/>
          <w:szCs w:val="20"/>
          <w:color w:val="auto"/>
        </w:rPr>
      </w:pPr>
    </w:p>
    <w:p>
      <w:pPr>
        <w:ind w:left="140" w:right="279"/>
        <w:spacing w:after="0" w:line="263" w:lineRule="auto"/>
        <w:rPr>
          <w:sz w:val="20"/>
          <w:szCs w:val="20"/>
          <w:color w:val="auto"/>
        </w:rPr>
      </w:pPr>
      <w:r>
        <w:rPr>
          <w:rFonts w:ascii="Times New Roman" w:cs="Times New Roman" w:eastAsia="Times New Roman" w:hAnsi="Times New Roman"/>
          <w:sz w:val="16"/>
          <w:szCs w:val="16"/>
          <w:color w:val="auto"/>
        </w:rPr>
        <w:t>All doses of avapritinib tested were well-tolerated, and most reported AEs were Grade 1 or 2. There were no reported cases of intracranial bleeding, thrombocytopenia or anemia. Across all avapritinib cohorts, five patients (16.7 percent) had Grade 3 AEs, and no patients had serious AEs. In patients treated with placebo, two patients (22.2 percent) had Grade 3 AEs, and two patients (22.2 percent) had serious AEs. There was one Grade 3 cognitive effect reported in the 100 mg cohort. The event resolved following dose modification, and the patient remained on therapy as of the data cutoff date. No patients discontinued treatment due to an AE.</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Top-line EXPLORER Trial Data and NDA Submission Plan for Avapritinib in Advanced SM</w:t>
      </w:r>
    </w:p>
    <w:p>
      <w:pPr>
        <w:spacing w:after="0" w:line="209" w:lineRule="exact"/>
        <w:rPr>
          <w:sz w:val="20"/>
          <w:szCs w:val="20"/>
          <w:color w:val="auto"/>
        </w:rPr>
      </w:pPr>
    </w:p>
    <w:p>
      <w:pPr>
        <w:ind w:left="140" w:right="239"/>
        <w:spacing w:after="0" w:line="272" w:lineRule="auto"/>
        <w:rPr>
          <w:sz w:val="20"/>
          <w:szCs w:val="20"/>
          <w:color w:val="auto"/>
        </w:rPr>
      </w:pPr>
      <w:r>
        <w:rPr>
          <w:rFonts w:ascii="Times New Roman" w:cs="Times New Roman" w:eastAsia="Times New Roman" w:hAnsi="Times New Roman"/>
          <w:sz w:val="16"/>
          <w:szCs w:val="16"/>
          <w:color w:val="auto"/>
        </w:rPr>
        <w:t>Blueprint Medicines plans to submit a new drug application (NDA) to the U.S. Food and Drug Administration (FDA) for avapritinib for the treatment of patients with advanced SM in the first quarter of 2020. The planned NDA will include response data for approximately 55 patients and safety data for approximately 100 patients from the EXPLORER trial and the PATHFINDER trial.</w:t>
      </w:r>
    </w:p>
    <w:p>
      <w:pPr>
        <w:spacing w:after="0" w:line="156" w:lineRule="exact"/>
        <w:rPr>
          <w:sz w:val="20"/>
          <w:szCs w:val="20"/>
          <w:color w:val="auto"/>
        </w:rPr>
      </w:pPr>
    </w:p>
    <w:p>
      <w:pPr>
        <w:jc w:val="both"/>
        <w:ind w:left="140" w:right="159"/>
        <w:spacing w:after="0" w:line="290" w:lineRule="auto"/>
        <w:rPr>
          <w:sz w:val="20"/>
          <w:szCs w:val="20"/>
          <w:color w:val="auto"/>
        </w:rPr>
      </w:pPr>
      <w:r>
        <w:rPr>
          <w:rFonts w:ascii="Times New Roman" w:cs="Times New Roman" w:eastAsia="Times New Roman" w:hAnsi="Times New Roman"/>
          <w:sz w:val="16"/>
          <w:szCs w:val="16"/>
          <w:color w:val="auto"/>
        </w:rPr>
        <w:t>Blueprint Medicines today announced top-line results from the EXPLORER trial. The company plans to report top-line data from the PATHFINDER trial in the first quarter of 2020 and expects these data will be generally consistent with the top-line EXPLORER data.</w:t>
      </w:r>
    </w:p>
    <w:p>
      <w:pPr>
        <w:spacing w:after="0" w:line="142" w:lineRule="exact"/>
        <w:rPr>
          <w:sz w:val="20"/>
          <w:szCs w:val="20"/>
          <w:color w:val="auto"/>
        </w:rPr>
      </w:pPr>
    </w:p>
    <w:p>
      <w:pPr>
        <w:ind w:left="140" w:right="179"/>
        <w:spacing w:after="0" w:line="263" w:lineRule="auto"/>
        <w:rPr>
          <w:sz w:val="20"/>
          <w:szCs w:val="20"/>
          <w:color w:val="auto"/>
        </w:rPr>
      </w:pPr>
      <w:r>
        <w:rPr>
          <w:rFonts w:ascii="Times New Roman" w:cs="Times New Roman" w:eastAsia="Times New Roman" w:hAnsi="Times New Roman"/>
          <w:sz w:val="16"/>
          <w:szCs w:val="16"/>
          <w:color w:val="auto"/>
        </w:rPr>
        <w:t>As of a data cutoff of August 30, 2019, top-line efficacy data from the EXPLORER trial showed a centrally confirmed overall response rate (ORR) of 77 percent in 48 patients evaluable for response per the modified IWG criteria. ORR was defined as complete remission with full or partial recovery of peripheral blood counts, partial remission or clinical improvement. Median duration of response (DOR) and median overall survival were not reached. Median follow-up was 21 months, with patients receiving ongoing treatment up to approximately 3.5 years.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328295</wp:posOffset>
            </wp:positionV>
            <wp:extent cx="555307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3075" cy="2349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ind w:left="140" w:right="159"/>
        <w:spacing w:after="0" w:line="266" w:lineRule="auto"/>
        <w:rPr>
          <w:sz w:val="20"/>
          <w:szCs w:val="20"/>
          <w:color w:val="auto"/>
        </w:rPr>
      </w:pPr>
      <w:r>
        <w:rPr>
          <w:rFonts w:ascii="Times New Roman" w:cs="Times New Roman" w:eastAsia="Times New Roman" w:hAnsi="Times New Roman"/>
          <w:sz w:val="16"/>
          <w:szCs w:val="16"/>
          <w:color w:val="auto"/>
        </w:rPr>
        <w:t>The top-line safety results were generally consistent with previously reported data. In 80 patients evaluable for safety as of the data cutoff date, avapritinib was generally well-tolerated with most AEs reported by investigators as Grade 1 or 2. Across all grades, the most common treatment-emergent AEs reported by investigators were periorbital edema, anemia, diarrhea, fatigue, peripheral edema, nausea, thrombocytopenia, vomiting and cognitive effects. Only six patients discontinued due to treatment-related adverse events.</w:t>
      </w:r>
    </w:p>
    <w:p>
      <w:pPr>
        <w:spacing w:after="0" w:line="161" w:lineRule="exact"/>
        <w:rPr>
          <w:sz w:val="20"/>
          <w:szCs w:val="20"/>
          <w:color w:val="auto"/>
        </w:rPr>
      </w:pPr>
    </w:p>
    <w:p>
      <w:pPr>
        <w:ind w:left="140" w:right="239"/>
        <w:spacing w:after="0" w:line="266" w:lineRule="auto"/>
        <w:rPr>
          <w:sz w:val="20"/>
          <w:szCs w:val="20"/>
          <w:color w:val="auto"/>
        </w:rPr>
      </w:pPr>
      <w:r>
        <w:rPr>
          <w:rFonts w:ascii="Times New Roman" w:cs="Times New Roman" w:eastAsia="Times New Roman" w:hAnsi="Times New Roman"/>
          <w:sz w:val="16"/>
          <w:szCs w:val="16"/>
          <w:color w:val="auto"/>
        </w:rPr>
        <w:t>As of the data cutoff date, no new intracranial bleeding events had been observed in the EXPLORER trial since the company previously presented data at the 24</w:t>
      </w:r>
      <w:r>
        <w:rPr>
          <w:rFonts w:ascii="Times New Roman" w:cs="Times New Roman" w:eastAsia="Times New Roman" w:hAnsi="Times New Roman"/>
          <w:sz w:val="8"/>
          <w:szCs w:val="8"/>
          <w:color w:val="auto"/>
        </w:rPr>
        <w:t>th</w:t>
      </w:r>
      <w:r>
        <w:rPr>
          <w:rFonts w:ascii="Times New Roman" w:cs="Times New Roman" w:eastAsia="Times New Roman" w:hAnsi="Times New Roman"/>
          <w:sz w:val="16"/>
          <w:szCs w:val="16"/>
          <w:color w:val="auto"/>
        </w:rPr>
        <w:t xml:space="preserve"> Congress of the European Hematology Association. After the data cutoff date, one patient with SM and an associated hematologic neoplasm (SM-AHN) of myelodysplastic syndrome had a Grade 5 intracranial bleed. At the time of the bleeding event, the patient had severe thrombocytopenia and experienced a serious injury involving head trauma.</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Investor Event and Webcast Information</w:t>
      </w:r>
    </w:p>
    <w:p>
      <w:pPr>
        <w:spacing w:after="0" w:line="209" w:lineRule="exact"/>
        <w:rPr>
          <w:sz w:val="20"/>
          <w:szCs w:val="20"/>
          <w:color w:val="auto"/>
        </w:rPr>
      </w:pPr>
    </w:p>
    <w:p>
      <w:pPr>
        <w:ind w:left="140" w:right="139"/>
        <w:spacing w:after="0" w:line="266" w:lineRule="auto"/>
        <w:rPr>
          <w:sz w:val="20"/>
          <w:szCs w:val="20"/>
          <w:color w:val="auto"/>
        </w:rPr>
      </w:pPr>
      <w:r>
        <w:rPr>
          <w:rFonts w:ascii="Times New Roman" w:cs="Times New Roman" w:eastAsia="Times New Roman" w:hAnsi="Times New Roman"/>
          <w:sz w:val="16"/>
          <w:szCs w:val="16"/>
          <w:color w:val="auto"/>
        </w:rPr>
        <w:t xml:space="preserve">Blueprint Medicines will host an investor event on Sunday, December 8, 2019 beginning at 8:30 p.m. ET in Orlando to review initial data from the PIONEER trial. The event will be webcast live and can be accessed under "Events and Presentations" in the Investors &amp; Media section of Blueprint Medicines' website at </w:t>
      </w:r>
      <w:r>
        <w:rPr>
          <w:rFonts w:ascii="Times New Roman" w:cs="Times New Roman" w:eastAsia="Times New Roman" w:hAnsi="Times New Roman"/>
          <w:sz w:val="16"/>
          <w:szCs w:val="16"/>
          <w:u w:val="single" w:color="auto"/>
          <w:color w:val="0000EE"/>
        </w:rPr>
        <w:t>http://ir.blueprintmedicines.com</w:t>
      </w:r>
      <w:r>
        <w:rPr>
          <w:rFonts w:ascii="Times New Roman" w:cs="Times New Roman" w:eastAsia="Times New Roman" w:hAnsi="Times New Roman"/>
          <w:sz w:val="16"/>
          <w:szCs w:val="16"/>
          <w:color w:val="auto"/>
        </w:rPr>
        <w:t>. A replay of the webcast will be available approximately two hours after the event and will be available for 30 days following the event.</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About the Clinical Development Program for Avapritinib in SM</w:t>
      </w:r>
    </w:p>
    <w:p>
      <w:pPr>
        <w:spacing w:after="0" w:line="209" w:lineRule="exact"/>
        <w:rPr>
          <w:sz w:val="20"/>
          <w:szCs w:val="20"/>
          <w:color w:val="auto"/>
        </w:rPr>
      </w:pPr>
    </w:p>
    <w:p>
      <w:pPr>
        <w:ind w:left="140" w:right="279"/>
        <w:spacing w:after="0" w:line="272" w:lineRule="auto"/>
        <w:rPr>
          <w:sz w:val="20"/>
          <w:szCs w:val="20"/>
          <w:color w:val="auto"/>
        </w:rPr>
      </w:pPr>
      <w:r>
        <w:rPr>
          <w:rFonts w:ascii="Times New Roman" w:cs="Times New Roman" w:eastAsia="Times New Roman" w:hAnsi="Times New Roman"/>
          <w:sz w:val="16"/>
          <w:szCs w:val="16"/>
          <w:color w:val="auto"/>
        </w:rPr>
        <w:t>Blueprint Medicines is pursuing a broad clinical development program for avapritinib across advanced, indolent and smoldering forms of SM. Avapritinib is currently being evaluated in three ongoing, registration-enabling clinical trials for SM: the EXPLORER trial, the PATHFINDER trial and the PIONEER trial.</w:t>
      </w:r>
    </w:p>
    <w:p>
      <w:pPr>
        <w:spacing w:after="0" w:line="156" w:lineRule="exact"/>
        <w:rPr>
          <w:sz w:val="20"/>
          <w:szCs w:val="20"/>
          <w:color w:val="auto"/>
        </w:rPr>
      </w:pPr>
    </w:p>
    <w:p>
      <w:pPr>
        <w:ind w:left="140" w:right="299"/>
        <w:spacing w:after="0" w:line="272" w:lineRule="auto"/>
        <w:rPr>
          <w:sz w:val="20"/>
          <w:szCs w:val="20"/>
          <w:color w:val="auto"/>
        </w:rPr>
      </w:pPr>
      <w:r>
        <w:rPr>
          <w:rFonts w:ascii="Times New Roman" w:cs="Times New Roman" w:eastAsia="Times New Roman" w:hAnsi="Times New Roman"/>
          <w:sz w:val="16"/>
          <w:szCs w:val="16"/>
          <w:color w:val="auto"/>
        </w:rPr>
        <w:t>The EXPLORER trial is an open-label, single-arm trial designed to identify the RP2D and demonstrate proof-of-concept in patients with advanced SM. Key trial endpoints include ORR, DOR, quantitative measures of mast cell burden, patient-reported outcomes and safety. The EXPLORER trial has completed patient enrollment.</w:t>
      </w:r>
    </w:p>
    <w:p>
      <w:pPr>
        <w:spacing w:after="0" w:line="156" w:lineRule="exact"/>
        <w:rPr>
          <w:sz w:val="20"/>
          <w:szCs w:val="20"/>
          <w:color w:val="auto"/>
        </w:rPr>
      </w:pPr>
    </w:p>
    <w:p>
      <w:pPr>
        <w:jc w:val="both"/>
        <w:ind w:left="140" w:right="199"/>
        <w:spacing w:after="0" w:line="272" w:lineRule="auto"/>
        <w:rPr>
          <w:sz w:val="20"/>
          <w:szCs w:val="20"/>
          <w:color w:val="auto"/>
        </w:rPr>
      </w:pPr>
      <w:r>
        <w:rPr>
          <w:rFonts w:ascii="Times New Roman" w:cs="Times New Roman" w:eastAsia="Times New Roman" w:hAnsi="Times New Roman"/>
          <w:sz w:val="16"/>
          <w:szCs w:val="16"/>
          <w:color w:val="auto"/>
        </w:rPr>
        <w:t>The PATHFINDER trial is an open-label, single-arm registration-enabling trial designed to confirm the clinical activity of avapritinib in approximately 60 patients with advanced SM. Key trial endpoints include ORR, DOR, quantitative measures of mast cell burden, patient-reported outcomes and safety. Patient enrollment is ongoing at sites in the United States, Canada and European Union.</w:t>
      </w:r>
    </w:p>
    <w:p>
      <w:pPr>
        <w:spacing w:after="0" w:line="156" w:lineRule="exact"/>
        <w:rPr>
          <w:sz w:val="20"/>
          <w:szCs w:val="20"/>
          <w:color w:val="auto"/>
        </w:rPr>
      </w:pPr>
    </w:p>
    <w:p>
      <w:pPr>
        <w:ind w:left="140" w:right="259"/>
        <w:spacing w:after="0" w:line="261" w:lineRule="auto"/>
        <w:rPr>
          <w:sz w:val="20"/>
          <w:szCs w:val="20"/>
          <w:color w:val="auto"/>
        </w:rPr>
      </w:pPr>
      <w:r>
        <w:rPr>
          <w:rFonts w:ascii="Times New Roman" w:cs="Times New Roman" w:eastAsia="Times New Roman" w:hAnsi="Times New Roman"/>
          <w:sz w:val="16"/>
          <w:szCs w:val="16"/>
          <w:color w:val="auto"/>
        </w:rPr>
        <w:t>The PIONEER trial is a randomized, double-blind, placebo-controlled, registration-enabling trial in approximately 112 patients with indolent and smoldering SM. The trial includes three parts: dose-finding Part 1, registration-enabling Part 2 and long-term treatment Part 3. All patients who complete Parts 1 or 2 will have an opportunity to continue to receive treatment with avapritinib in Part 3. Key trial endpoints include the change in patient-reported disease symptoms as measured by the ISM-SAF TSS, quantitative measures of mast cell burden and safety. Part 1 has completed patient enrollment. Part 2 is anticipated to initiate patient screening in the first half of 2020 at sites in the United States, Canada and European Union.</w:t>
      </w:r>
    </w:p>
    <w:p>
      <w:pPr>
        <w:spacing w:after="0" w:line="167" w:lineRule="exact"/>
        <w:rPr>
          <w:sz w:val="20"/>
          <w:szCs w:val="20"/>
          <w:color w:val="auto"/>
        </w:rPr>
      </w:pPr>
    </w:p>
    <w:p>
      <w:pPr>
        <w:ind w:left="140" w:right="779"/>
        <w:spacing w:after="0" w:line="272" w:lineRule="auto"/>
        <w:rPr>
          <w:sz w:val="20"/>
          <w:szCs w:val="20"/>
          <w:color w:val="auto"/>
        </w:rPr>
      </w:pPr>
      <w:r>
        <w:rPr>
          <w:rFonts w:ascii="Times New Roman" w:cs="Times New Roman" w:eastAsia="Times New Roman" w:hAnsi="Times New Roman"/>
          <w:sz w:val="16"/>
          <w:szCs w:val="16"/>
          <w:color w:val="auto"/>
        </w:rPr>
        <w:t xml:space="preserve">SM patients and clinicians interested in ongoing or planned clinical trials can contact the Blueprint Medicines study director at </w:t>
      </w:r>
      <w:r>
        <w:rPr>
          <w:rFonts w:ascii="Times New Roman" w:cs="Times New Roman" w:eastAsia="Times New Roman" w:hAnsi="Times New Roman"/>
          <w:sz w:val="16"/>
          <w:szCs w:val="16"/>
          <w:u w:val="single" w:color="auto"/>
          <w:color w:val="0000EE"/>
        </w:rPr>
        <w:t>studydirector@blueprintmedicines.com</w:t>
      </w:r>
      <w:r>
        <w:rPr>
          <w:rFonts w:ascii="Times New Roman" w:cs="Times New Roman" w:eastAsia="Times New Roman" w:hAnsi="Times New Roman"/>
          <w:sz w:val="16"/>
          <w:szCs w:val="16"/>
          <w:color w:val="auto"/>
        </w:rPr>
        <w:t xml:space="preserve"> or 1-617-714-6707. Additional details are available at </w:t>
      </w:r>
      <w:r>
        <w:rPr>
          <w:rFonts w:ascii="Times New Roman" w:cs="Times New Roman" w:eastAsia="Times New Roman" w:hAnsi="Times New Roman"/>
          <w:sz w:val="16"/>
          <w:szCs w:val="16"/>
          <w:u w:val="single" w:color="auto"/>
          <w:color w:val="0000EE"/>
        </w:rPr>
        <w:t>www.pathfindertrial.com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www.pioneertrial.com</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0000EE"/>
        </w:rPr>
        <w:t>www.clinicaltrials.gov</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About SM</w:t>
      </w:r>
    </w:p>
    <w:p>
      <w:pPr>
        <w:spacing w:after="0" w:line="209" w:lineRule="exact"/>
        <w:rPr>
          <w:sz w:val="20"/>
          <w:szCs w:val="20"/>
          <w:color w:val="auto"/>
        </w:rPr>
      </w:pPr>
    </w:p>
    <w:p>
      <w:pPr>
        <w:ind w:left="140" w:right="219"/>
        <w:spacing w:after="0" w:line="266" w:lineRule="auto"/>
        <w:rPr>
          <w:sz w:val="20"/>
          <w:szCs w:val="20"/>
          <w:color w:val="auto"/>
        </w:rPr>
      </w:pPr>
      <w:r>
        <w:rPr>
          <w:rFonts w:ascii="Times New Roman" w:cs="Times New Roman" w:eastAsia="Times New Roman" w:hAnsi="Times New Roman"/>
          <w:sz w:val="16"/>
          <w:szCs w:val="16"/>
          <w:color w:val="auto"/>
        </w:rPr>
        <w:t>SM is one disease driven by the KIT D816V mutation. The majority of patients have indolent SM with symptoms that range from burdensome to life-threatening. A minority of patients have advanced SM, which encompasses a group of high-risk SM subtypes, including aggressive SM (ASM), SM-AHN and mast cell leukemia (MCL), which are associated with organ damage due to mast cell infiltration and poor overall survival. In nearly all SM patients, the KIT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328295</wp:posOffset>
            </wp:positionV>
            <wp:extent cx="555307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3075" cy="2349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6" w:name="page7"/>
    <w:bookmarkEnd w:id="6"/>
    <w:p>
      <w:pPr>
        <w:jc w:val="both"/>
        <w:ind w:left="140" w:right="339"/>
        <w:spacing w:after="0" w:line="272" w:lineRule="auto"/>
        <w:rPr>
          <w:sz w:val="20"/>
          <w:szCs w:val="20"/>
          <w:color w:val="auto"/>
        </w:rPr>
      </w:pPr>
      <w:r>
        <w:rPr>
          <w:rFonts w:ascii="Times New Roman" w:cs="Times New Roman" w:eastAsia="Times New Roman" w:hAnsi="Times New Roman"/>
          <w:sz w:val="16"/>
          <w:szCs w:val="16"/>
          <w:color w:val="auto"/>
        </w:rPr>
        <w:t>D816V mutation aberrantly activates mast cells. Aberrant mast cell activation and proliferation results in chronic, severe and often unpredictable symptoms, such as pruritus, flushing, headaches, bone pain, nausea, vomiting, diarrhea, anaphylaxis, abdominal pain and fatigue. Currently, there are no approved therapies that selectively inhibit D816V mutant KIT.</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About Avapritinib</w:t>
      </w:r>
    </w:p>
    <w:p>
      <w:pPr>
        <w:spacing w:after="0" w:line="209" w:lineRule="exact"/>
        <w:rPr>
          <w:sz w:val="20"/>
          <w:szCs w:val="20"/>
          <w:color w:val="auto"/>
        </w:rPr>
      </w:pPr>
    </w:p>
    <w:p>
      <w:pPr>
        <w:ind w:left="140" w:right="159"/>
        <w:spacing w:after="0" w:line="266" w:lineRule="auto"/>
        <w:rPr>
          <w:sz w:val="20"/>
          <w:szCs w:val="20"/>
          <w:color w:val="auto"/>
        </w:rPr>
      </w:pPr>
      <w:r>
        <w:rPr>
          <w:rFonts w:ascii="Times New Roman" w:cs="Times New Roman" w:eastAsia="Times New Roman" w:hAnsi="Times New Roman"/>
          <w:sz w:val="16"/>
          <w:szCs w:val="16"/>
          <w:color w:val="auto"/>
        </w:rPr>
        <w:t>Avapritinib is an investigational, oral precision therapy that selectively and potently inhibits KIT and PDGFRA mutant kinases. It is a type 1 inhibitor designed to target the active kinase conformation; all oncogenic kinases signal via this conformation. Avapritinib has demonstrated broad inhibition of KIT and PDGFRA mutations associated with gastrointestinal stromal tumors (GIST), including potent activity against activation loop mutations that are associated with resistance to currently approved therapies.</w:t>
      </w:r>
    </w:p>
    <w:p>
      <w:pPr>
        <w:spacing w:after="0" w:line="161" w:lineRule="exact"/>
        <w:rPr>
          <w:sz w:val="20"/>
          <w:szCs w:val="20"/>
          <w:color w:val="auto"/>
        </w:rPr>
      </w:pPr>
    </w:p>
    <w:p>
      <w:pPr>
        <w:ind w:left="140" w:right="239"/>
        <w:spacing w:after="0" w:line="266" w:lineRule="auto"/>
        <w:rPr>
          <w:sz w:val="20"/>
          <w:szCs w:val="20"/>
          <w:color w:val="auto"/>
        </w:rPr>
      </w:pPr>
      <w:r>
        <w:rPr>
          <w:rFonts w:ascii="Times New Roman" w:cs="Times New Roman" w:eastAsia="Times New Roman" w:hAnsi="Times New Roman"/>
          <w:sz w:val="16"/>
          <w:szCs w:val="16"/>
          <w:color w:val="auto"/>
        </w:rPr>
        <w:t>Blueprint Medicines is initially developing avapritinib for the treatment of advanced GIST, advanced SM, and indolent and smoldering SM. The FDA has granted Breakthrough Therapy Designation to avapritinib for two indications: one for the treatment of unresectable or metastatic GIST harboring the PDGFRA D842V mutation and one for the treatment of advanced SM, including the subtypes of aggressive SM, SM with an associated hematologic neoplasm and mast cell leukemia.</w:t>
      </w:r>
    </w:p>
    <w:p>
      <w:pPr>
        <w:spacing w:after="0" w:line="161" w:lineRule="exact"/>
        <w:rPr>
          <w:sz w:val="20"/>
          <w:szCs w:val="20"/>
          <w:color w:val="auto"/>
        </w:rPr>
      </w:pPr>
    </w:p>
    <w:p>
      <w:pPr>
        <w:jc w:val="both"/>
        <w:ind w:left="140" w:right="419"/>
        <w:spacing w:after="0" w:line="272" w:lineRule="auto"/>
        <w:rPr>
          <w:sz w:val="20"/>
          <w:szCs w:val="20"/>
          <w:color w:val="auto"/>
        </w:rPr>
      </w:pPr>
      <w:r>
        <w:rPr>
          <w:rFonts w:ascii="Times New Roman" w:cs="Times New Roman" w:eastAsia="Times New Roman" w:hAnsi="Times New Roman"/>
          <w:sz w:val="16"/>
          <w:szCs w:val="16"/>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About Blueprint Medicines</w:t>
      </w:r>
    </w:p>
    <w:p>
      <w:pPr>
        <w:spacing w:after="0" w:line="209" w:lineRule="exact"/>
        <w:rPr>
          <w:sz w:val="20"/>
          <w:szCs w:val="20"/>
          <w:color w:val="auto"/>
        </w:rPr>
      </w:pPr>
    </w:p>
    <w:p>
      <w:pPr>
        <w:ind w:left="140" w:right="219"/>
        <w:spacing w:after="0" w:line="261" w:lineRule="auto"/>
        <w:rPr>
          <w:sz w:val="20"/>
          <w:szCs w:val="20"/>
          <w:color w:val="auto"/>
        </w:rPr>
      </w:pPr>
      <w:r>
        <w:rPr>
          <w:rFonts w:ascii="Times New Roman" w:cs="Times New Roman" w:eastAsia="Times New Roman" w:hAnsi="Times New Roman"/>
          <w:sz w:val="16"/>
          <w:szCs w:val="16"/>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three investigational medicines in clinical development, along with multiple research programs. For more information, visit </w:t>
      </w:r>
      <w:r>
        <w:rPr>
          <w:rFonts w:ascii="Times New Roman" w:cs="Times New Roman" w:eastAsia="Times New Roman" w:hAnsi="Times New Roman"/>
          <w:sz w:val="16"/>
          <w:szCs w:val="16"/>
          <w:u w:val="single" w:color="auto"/>
          <w:color w:val="0000EE"/>
        </w:rPr>
        <w:t>www.BlueprintMedicines.com</w:t>
      </w:r>
      <w:r>
        <w:rPr>
          <w:rFonts w:ascii="Times New Roman" w:cs="Times New Roman" w:eastAsia="Times New Roman" w:hAnsi="Times New Roman"/>
          <w:sz w:val="16"/>
          <w:szCs w:val="16"/>
          <w:color w:val="auto"/>
        </w:rPr>
        <w:t xml:space="preserve"> and follow us on </w:t>
      </w:r>
      <w:r>
        <w:rPr>
          <w:rFonts w:ascii="Times New Roman" w:cs="Times New Roman" w:eastAsia="Times New Roman" w:hAnsi="Times New Roman"/>
          <w:sz w:val="16"/>
          <w:szCs w:val="16"/>
          <w:u w:val="single" w:color="auto"/>
          <w:color w:val="0000EE"/>
        </w:rPr>
        <w:t>Twitter</w:t>
      </w:r>
      <w:r>
        <w:rPr>
          <w:rFonts w:ascii="Times New Roman" w:cs="Times New Roman" w:eastAsia="Times New Roman" w:hAnsi="Times New Roman"/>
          <w:sz w:val="16"/>
          <w:szCs w:val="16"/>
          <w:color w:val="auto"/>
        </w:rPr>
        <w:t xml:space="preserve"> (@BlueprintMeds) and LinkedIn.</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09" w:lineRule="exact"/>
        <w:rPr>
          <w:sz w:val="20"/>
          <w:szCs w:val="20"/>
          <w:color w:val="auto"/>
        </w:rPr>
      </w:pPr>
    </w:p>
    <w:p>
      <w:pPr>
        <w:ind w:left="140" w:right="139"/>
        <w:spacing w:after="0" w:line="257"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its drug candidates, including the timing, design, implementation, enrollment, plans and announcement of results regarding Blueprint Medicines' ongoing and planned clinical trials for avapritinib and BLU-263; plans, timelines and expectations for additional data from Part 1 of the PIONEER trial and for initiating patient screening in Part 2 of the PIONEER trial; plans, timelines and expectations for top-line PATHFINDER trial data; plans, timelines and expectations for interactions with the FDA and other regulatory authorities; plans and timelines for submitting an NDA to the FDA for avapritinib for the treatment of advanced SM; expectations regarding the potential benefits of avapritinib treating patients with SM;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328295</wp:posOffset>
            </wp:positionV>
            <wp:extent cx="5553075"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3075" cy="2349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7" w:name="page8"/>
    <w:bookmarkEnd w:id="7"/>
    <w:p>
      <w:pPr>
        <w:ind w:left="140" w:right="139"/>
        <w:spacing w:after="0" w:line="257" w:lineRule="auto"/>
        <w:rPr>
          <w:sz w:val="20"/>
          <w:szCs w:val="20"/>
          <w:color w:val="auto"/>
        </w:rPr>
      </w:pPr>
      <w:r>
        <w:rPr>
          <w:rFonts w:ascii="Times New Roman" w:cs="Times New Roman" w:eastAsia="Times New Roman" w:hAnsi="Times New Roman"/>
          <w:sz w:val="16"/>
          <w:szCs w:val="16"/>
          <w:color w:val="auto"/>
        </w:rPr>
        <w:t>avapritinib, pralsetinib, fisogatinib and BLU-263, or licensed products, including BLU-782;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including its cancer immunotherapy collaboration with F. Hoffmann-La Roche Ltd and Hoffmann-La Roche Inc., its collaboration with CStone Pharmaceuticals and its license to Clementia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Kristin Hodous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Senior Manager, Investor Relations</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617-714-6674</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ir@blueprintmedicines.com</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Media Relations Contact</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Andrew Law</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Associate Director, Product Communications</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617-844-8205</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media@blueprintmedicines.com</w:t>
      </w: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328295</wp:posOffset>
            </wp:positionV>
            <wp:extent cx="555307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53075" cy="2349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8" w:name="page9"/>
    <w:bookmarkEnd w:id="8"/>
    <w:p>
      <w:pPr>
        <w:ind w:left="938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19050</wp:posOffset>
            </wp:positionV>
            <wp:extent cx="7003415" cy="4661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4661535"/>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9" w:name="page10"/>
    <w:bookmarkEnd w:id="9"/>
    <w:p>
      <w:pPr>
        <w:ind w:left="938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19050</wp:posOffset>
            </wp:positionV>
            <wp:extent cx="7003415" cy="4010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0" w:num="1">
            <w:col w:w="10240"/>
          </w:cols>
          <w:pgMar w:left="1440" w:top="121" w:right="2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344805</wp:posOffset>
            </wp:positionH>
            <wp:positionV relativeFrom="page">
              <wp:posOffset>4075430</wp:posOffset>
            </wp:positionV>
            <wp:extent cx="687197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1970" cy="23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003415" cy="4010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4010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2019-12-28T01:04:08Z</dcterms:created>
  <dcterms:modified xsi:type="dcterms:W3CDTF">2019-12-28T01:04:08Z</dcterms:modified>
</cp:coreProperties>
</file>