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Murray Christopher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CHIEF TECHNICAL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600</w:t>
            </w: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71.43</w:t>
            </w:r>
          </w:p>
        </w:tc>
        <w:tc>
          <w:tcPr>
            <w:tcW w:w="1200" w:type="dxa"/>
            <w:vAlign w:val="bottom"/>
            <w:tcBorders>
              <w:bottom w:val="single" w:sz="8" w:color="2C2C2C"/>
            </w:tcBorders>
            <w:gridSpan w:val="4"/>
          </w:tcPr>
          <w:p>
            <w:pPr>
              <w:ind w:left="340"/>
              <w:spacing w:after="0"/>
              <w:rPr>
                <w:sz w:val="20"/>
                <w:szCs w:val="20"/>
                <w:color w:val="auto"/>
              </w:rPr>
            </w:pPr>
            <w:r>
              <w:rPr>
                <w:rFonts w:ascii="Times New Roman" w:cs="Times New Roman" w:eastAsia="Times New Roman" w:hAnsi="Times New Roman"/>
                <w:sz w:val="17"/>
                <w:szCs w:val="17"/>
                <w:color w:val="0000FF"/>
              </w:rPr>
              <w:t>24,495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rPr>
              <w:t>1. Effected pursuant to a trading plan adopted on June 5, 2023 pursuant to Rule 10b5-1 under the Securities Exchange Act of 1934, as amended.</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1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12/06/2023</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Borders>
              <w:top w:val="single" w:sz="8" w:color="auto"/>
            </w:tcBorders>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2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Borders>
              <w:top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-2501265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2023-12-06T19:59:06Z</dcterms:created>
  <dcterms:modified xsi:type="dcterms:W3CDTF">2023-12-06T19:59:06Z</dcterms:modified>
</cp:coreProperties>
</file>