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FORM 8-K</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21, 2020</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Blueprint Medicines Corporation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697" w:right="239" w:bottom="1440" w:gutter="0" w:footer="0" w:header="0"/>
        </w:sectPr>
      </w:pPr>
    </w:p>
    <w:p>
      <w:pPr>
        <w:spacing w:after="0" w:line="232"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ind w:left="68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40" w:space="720"/>
            <w:col w:w="3480" w:space="720"/>
            <w:col w:w="2560"/>
          </w:cols>
          <w:pgMar w:left="240" w:top="697" w:right="23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697"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22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20" w:hanging="264"/>
        <w:spacing w:after="0"/>
        <w:tabs>
          <w:tab w:leader="none" w:pos="9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920" w:hanging="264"/>
        <w:spacing w:after="0"/>
        <w:tabs>
          <w:tab w:leader="none" w:pos="9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20" w:hanging="264"/>
        <w:spacing w:after="0"/>
        <w:tabs>
          <w:tab w:leader="none" w:pos="9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920" w:hanging="264"/>
        <w:spacing w:after="0"/>
        <w:tabs>
          <w:tab w:leader="none" w:pos="9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9240"/>
        <w:spacing w:after="0"/>
        <w:rPr>
          <w:sz w:val="20"/>
          <w:szCs w:val="20"/>
          <w:color w:val="auto"/>
        </w:rPr>
      </w:pPr>
      <w:r>
        <w:rPr>
          <w:rFonts w:ascii="Arial" w:cs="Arial" w:eastAsia="Arial" w:hAnsi="Arial"/>
          <w:sz w:val="17"/>
          <w:szCs w:val="17"/>
          <w:color w:val="auto"/>
        </w:rPr>
        <w:t>Emerging growth company o</w:t>
      </w:r>
    </w:p>
    <w:p>
      <w:pPr>
        <w:spacing w:after="0" w:line="237"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4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Trading symbol(s)</w:t>
            </w:r>
          </w:p>
        </w:tc>
        <w:tc>
          <w:tcPr>
            <w:tcW w:w="4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68"/>
        </w:trPr>
        <w:tc>
          <w:tcPr>
            <w:tcW w:w="4480" w:type="dxa"/>
            <w:vAlign w:val="bottom"/>
            <w:tcBorders>
              <w:left w:val="single" w:sz="8" w:color="auto"/>
              <w:bottom w:val="single" w:sz="8" w:color="auto"/>
              <w:right w:val="single" w:sz="8" w:color="auto"/>
            </w:tcBorders>
          </w:tcPr>
          <w:p>
            <w:pPr>
              <w:spacing w:after="0"/>
              <w:rPr>
                <w:sz w:val="5"/>
                <w:szCs w:val="5"/>
                <w:color w:val="auto"/>
              </w:rPr>
            </w:pPr>
          </w:p>
        </w:tc>
        <w:tc>
          <w:tcPr>
            <w:tcW w:w="2160" w:type="dxa"/>
            <w:vAlign w:val="bottom"/>
            <w:tcBorders>
              <w:bottom w:val="single" w:sz="8" w:color="auto"/>
              <w:right w:val="single" w:sz="8" w:color="auto"/>
            </w:tcBorders>
          </w:tcPr>
          <w:p>
            <w:pPr>
              <w:spacing w:after="0"/>
              <w:rPr>
                <w:sz w:val="5"/>
                <w:szCs w:val="5"/>
                <w:color w:val="auto"/>
              </w:rPr>
            </w:pPr>
          </w:p>
        </w:tc>
        <w:tc>
          <w:tcPr>
            <w:tcW w:w="4780" w:type="dxa"/>
            <w:vAlign w:val="bottom"/>
            <w:tcBorders>
              <w:bottom w:val="single" w:sz="8" w:color="auto"/>
              <w:right w:val="single" w:sz="8" w:color="auto"/>
            </w:tcBorders>
          </w:tcPr>
          <w:p>
            <w:pPr>
              <w:spacing w:after="0"/>
              <w:rPr>
                <w:sz w:val="5"/>
                <w:szCs w:val="5"/>
                <w:color w:val="auto"/>
              </w:rPr>
            </w:pPr>
          </w:p>
        </w:tc>
      </w:tr>
      <w:tr>
        <w:trPr>
          <w:trHeight w:val="237"/>
        </w:trPr>
        <w:tc>
          <w:tcPr>
            <w:tcW w:w="4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BPMC</w:t>
            </w:r>
          </w:p>
        </w:tc>
        <w:tc>
          <w:tcPr>
            <w:tcW w:w="4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r>
        <w:trPr>
          <w:trHeight w:val="68"/>
        </w:trPr>
        <w:tc>
          <w:tcPr>
            <w:tcW w:w="4480" w:type="dxa"/>
            <w:vAlign w:val="bottom"/>
            <w:tcBorders>
              <w:left w:val="single" w:sz="8" w:color="auto"/>
              <w:bottom w:val="single" w:sz="8" w:color="auto"/>
              <w:right w:val="single" w:sz="8" w:color="auto"/>
            </w:tcBorders>
          </w:tcPr>
          <w:p>
            <w:pPr>
              <w:spacing w:after="0"/>
              <w:rPr>
                <w:sz w:val="5"/>
                <w:szCs w:val="5"/>
                <w:color w:val="auto"/>
              </w:rPr>
            </w:pPr>
          </w:p>
        </w:tc>
        <w:tc>
          <w:tcPr>
            <w:tcW w:w="2160" w:type="dxa"/>
            <w:vAlign w:val="bottom"/>
            <w:tcBorders>
              <w:bottom w:val="single" w:sz="8" w:color="auto"/>
              <w:right w:val="single" w:sz="8" w:color="auto"/>
            </w:tcBorders>
          </w:tcPr>
          <w:p>
            <w:pPr>
              <w:spacing w:after="0"/>
              <w:rPr>
                <w:sz w:val="5"/>
                <w:szCs w:val="5"/>
                <w:color w:val="auto"/>
              </w:rPr>
            </w:pPr>
          </w:p>
        </w:tc>
        <w:tc>
          <w:tcPr>
            <w:tcW w:w="4780" w:type="dxa"/>
            <w:vAlign w:val="bottom"/>
            <w:tcBorders>
              <w:bottom w:val="single" w:sz="8" w:color="auto"/>
              <w:right w:val="single" w:sz="8" w:color="auto"/>
            </w:tcBorders>
          </w:tcPr>
          <w:p>
            <w:pPr>
              <w:spacing w:after="0"/>
              <w:rPr>
                <w:sz w:val="5"/>
                <w:szCs w:val="5"/>
                <w:color w:val="auto"/>
              </w:rPr>
            </w:pPr>
          </w:p>
        </w:tc>
      </w:tr>
      <w:tr>
        <w:trPr>
          <w:trHeight w:val="264"/>
        </w:trPr>
        <w:tc>
          <w:tcPr>
            <w:tcW w:w="448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spacing w:after="0"/>
              <w:rPr>
                <w:sz w:val="22"/>
                <w:szCs w:val="22"/>
                <w:color w:val="auto"/>
              </w:rPr>
            </w:pPr>
          </w:p>
        </w:tc>
        <w:tc>
          <w:tcPr>
            <w:tcW w:w="4780" w:type="dxa"/>
            <w:vAlign w:val="bottom"/>
            <w:tcBorders>
              <w:bottom w:val="single" w:sz="8" w:color="auto"/>
            </w:tcBorders>
          </w:tcPr>
          <w:p>
            <w:pPr>
              <w:spacing w:after="0"/>
              <w:rPr>
                <w:sz w:val="22"/>
                <w:szCs w:val="22"/>
                <w:color w:val="auto"/>
              </w:rPr>
            </w:pPr>
          </w:p>
        </w:tc>
      </w:tr>
      <w:tr>
        <w:trPr>
          <w:trHeight w:val="28"/>
        </w:trPr>
        <w:tc>
          <w:tcPr>
            <w:tcW w:w="44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459"/>
        </w:trPr>
        <w:tc>
          <w:tcPr>
            <w:tcW w:w="44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7"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Blueprint Medicines Corporation (the “Company”) is currently in the process of finalizing its financial results for the three months and year ended December 31, 2019. Based on preliminary unaudited information available to management as of the date hereof and subject to completion by management of the Company’s financial statements as of and for the quarter and the year ended December 31, 2019, the Company expects to have cash, cash equivalents and investments as of December 31, 2019 of approximately $548.0 million, as compared to $594.5 million at September 30, 2019. The Company’s independent registered public accountants have not audited, reviewed or performed any procedures with respect to such preliminary financial data and accordingly do not express an opinion or any other form of assurance with respect thereto. These results could change as a result of further review. Complete quarterly and annual results will be included in the Company’s Annual Report on Form 10-K for the year ended December 31, 2019.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The Company hereby supplements Item 1A (“Risk Factors”) of the Company’s Quarterly Report on Form 10-Q for the period ended September 30, 2019 with the following supplemental risk factors: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Being a Commercial Company</w:t>
      </w:r>
    </w:p>
    <w:p>
      <w:pPr>
        <w:spacing w:after="0" w:line="233" w:lineRule="exact"/>
        <w:rPr>
          <w:sz w:val="20"/>
          <w:szCs w:val="20"/>
          <w:color w:val="auto"/>
        </w:rPr>
      </w:pPr>
    </w:p>
    <w:p>
      <w:pPr>
        <w:ind w:right="880"/>
        <w:spacing w:after="0" w:line="210" w:lineRule="auto"/>
        <w:rPr>
          <w:sz w:val="20"/>
          <w:szCs w:val="20"/>
          <w:color w:val="auto"/>
        </w:rPr>
      </w:pPr>
      <w:r>
        <w:rPr>
          <w:rFonts w:ascii="Arial" w:cs="Arial" w:eastAsia="Arial" w:hAnsi="Arial"/>
          <w:sz w:val="18"/>
          <w:szCs w:val="18"/>
          <w:b w:val="1"/>
          <w:bCs w:val="1"/>
          <w:i w:val="1"/>
          <w:iCs w:val="1"/>
          <w:color w:val="auto"/>
        </w:rPr>
        <w:t>We have limited experience as a commercial company and the marketing and sale of AYVAKIT</w:t>
      </w:r>
      <w:r>
        <w:rPr>
          <w:rFonts w:ascii="Arial" w:cs="Arial" w:eastAsia="Arial" w:hAnsi="Arial"/>
          <w:sz w:val="30"/>
          <w:szCs w:val="30"/>
          <w:b w:val="1"/>
          <w:bCs w:val="1"/>
          <w:i w:val="1"/>
          <w:iCs w:val="1"/>
          <w:color w:val="auto"/>
          <w:vertAlign w:val="superscript"/>
        </w:rPr>
        <w:t>TM</w:t>
      </w:r>
      <w:r>
        <w:rPr>
          <w:rFonts w:ascii="Arial" w:cs="Arial" w:eastAsia="Arial" w:hAnsi="Arial"/>
          <w:sz w:val="18"/>
          <w:szCs w:val="18"/>
          <w:b w:val="1"/>
          <w:bCs w:val="1"/>
          <w:i w:val="1"/>
          <w:iCs w:val="1"/>
          <w:color w:val="auto"/>
        </w:rPr>
        <w:t xml:space="preserve"> (avapritinib) or any future products may be unsuccessful or less successful than anticipated.</w:t>
      </w:r>
    </w:p>
    <w:p>
      <w:pPr>
        <w:spacing w:after="0" w:line="20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January 2020, the U.S. Food and Drug Administration, or FDA, approved AYVAKIT for the treatment of adults with unresectable or metastatic gastrointestinal stromal tumors, or GIST, harboring a platelet-derived growth factor receptor alpha (PDGFRA) exon 18 mutation, including PDGFRA D842V mutations. While we have initiated the commercial launch of AYVAKIT in the U.S., we have limited experience as a commercial company and there is limited information about our ability to successfully overcome many of the risks and uncertainties encountered by companies commercializing products in the biopharmaceutical industry. Marketing applications for avapritinib for additional indications and for pralsetinib are currently under review or planned in the United States and Europe. To execute our business plan, in addition to successfully marketing and selling AYVAKIT, we will need to successfully:</w:t>
      </w:r>
    </w:p>
    <w:p>
      <w:pPr>
        <w:spacing w:after="0" w:line="165" w:lineRule="exact"/>
        <w:rPr>
          <w:sz w:val="20"/>
          <w:szCs w:val="20"/>
          <w:color w:val="auto"/>
        </w:rPr>
      </w:pPr>
    </w:p>
    <w:p>
      <w:pPr>
        <w:ind w:left="1300" w:right="240" w:hanging="320"/>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establish and maintain our relationships with healthcare providers who will be treating the patients who may receive our product and any future products;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obtain adequate pricing and reimbursement for AYVAKIT and any future products;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gain regulatory acceptance for the development and commercialization of the drug candidates in our pipeline;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 and maintain successful strategic alliances;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marketing approvals, and commercialization.</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If we are unsuccessful in accomplishing these objectives, we may not be able to successfully develop drug candidates, commercialize AYVAKIT or any future products, raise capital, expand our business or continue our operations.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commercial success of AYVAKIT, and of any future products, will depend upon the degree of market acceptance by physicians, patients, third-party payors and others in the medical community.</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commercial success of AYVAKIT and of any future products will depend in part on the medical community, patients, and third-party or governmental payors. AYVAKIT and any other products that we may bring to the market may not gain market acceptance by physicians, patients, third-party payors and others in the medical community. If these products do not achieve an adequate level of acceptance, we may not generate significant product revenue and may not become profitable. The degree of market acceptance of AYVAKIT and of any future products will depend on a number of factors,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 w:name="page3"/>
    <w:bookmarkEnd w:id="2"/>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efficacy and potential advantages over alternative treatments;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prevalence and severity of any side effects, including any limitations or warnings contained in a product’s approved labeling;</w:t>
      </w:r>
    </w:p>
    <w:p>
      <w:pPr>
        <w:spacing w:after="0" w:line="236" w:lineRule="exact"/>
        <w:rPr>
          <w:rFonts w:ascii="Arial" w:cs="Arial" w:eastAsia="Arial" w:hAnsi="Arial"/>
          <w:sz w:val="17"/>
          <w:szCs w:val="17"/>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length of time that patients who are prescribed our products remain on treatment;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of our product and any future products;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publicity concerning our product, any future products, or competing products and treatments;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sufficient third-party insurance coverage or reimbursement.</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Even if a potential product displays a favorable efficacy and safety profile in preclinical and clinical studies, market acceptance of the product will not be known until after it is launched. Our efforts to educate the medical community and third-party payors on the benefits of our products may require significant resources and may never be successful. Our efforts to educate the marketplace may require more resources than are required by the conventional technologies marketed by our competitors. Any of these factors may cause AYVAKIT, or any future products, to be unsuccessful or less successful than anticipated.</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i w:val="1"/>
          <w:iCs w:val="1"/>
          <w:color w:val="auto"/>
        </w:rPr>
        <w:t>Although we have established our initial commercial infrastructure, we are continuing to build out our commercial capabilities and have no prior sales or distribution experience and limited capabilities for marketing and market access. We expect to invest significant financial and management resources to establish these capabilities and infrastructure to support commercial operations for the sale of AYVAKIT. If we are unable to establish these additional commercial capabilities and infrastructure, we may be unable to generate sufficient revenue to sustain our business.</w:t>
      </w:r>
    </w:p>
    <w:p>
      <w:pPr>
        <w:spacing w:after="0" w:line="15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Although we have established our initial commercial infrastructure, we are continuing to build out our commercial capabilities and infrastructure and have no prior sales or distribution experience and limited capabilities for marketing and market access. To successfully commercialize AYVAKIT and any other products that may result from our development programs, we will need to develop these capabilities and further expand our infrastructure to support commercial operations in the U.S., Europe and other regions, either on our own or with others. We may be competing with many companies that currently have extensive and well-funded marketing and sales operations. Without a significant internal team or the support of a third party to perform these functions, including marketing and sales functions, we may be unable to compete successfully against these more established companies.</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cannot be sure that we will be able to recruit, hire and retain a sufficient number of sales representatives or that they will be effective at promoting our products. In addition, we will need to commit significant additional management and other resources to maintain and grow our sales organization. We may not be able to achieve the necessary development and growth in a cost-effective manner or realize a positive return on our investment. We will also have to compete with other companies to recruit, hire, train and retain sales and marketing personnel. Factors that may inhibit our efforts to commercialize our products include:</w:t>
      </w:r>
    </w:p>
    <w:p>
      <w:pPr>
        <w:spacing w:after="0" w:line="188"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sales and marketing personnel;</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or to persuade adequate numbers of physicians to prescribe AYVAKIT;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unforeseen costs and expenses associated with maintaining an independent sales and marketing organization.</w:t>
      </w:r>
    </w:p>
    <w:p>
      <w:pPr>
        <w:spacing w:after="0" w:line="225"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In the event that we are unable to effectively deploy our sales organization or distribution strategy on a timely and efficient basis, if at all, the commercialization of our drug candidates could be delayed which would negatively impact our ability to generate product revenues.</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reliance on single-source third-party suppliers could harm our ability to commercialize AYVAKIT or any other drug candidates that may be approved in the future.</w:t>
      </w:r>
    </w:p>
    <w:p>
      <w:pPr>
        <w:spacing w:after="0" w:line="170"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do not currently own or operate manufacturing facilities for the production of AYVAKIT or any other drug candidates that may be approved in the future. We rely on single-source third-party suppliers to manufacture and supply AYVAKIT and expect to initially rely on single-source third-party supplies for commercial manufacture and supply of pralsetinib, if approved, which may not be able to produce sufficient inventory to meet commercial demand in a timely manner, or at all. Our third-party suppliers may not be required to provide us with any guaranteed minimum production levels or have dedicated capacity for our products. As a result, there can be no assurances that we will be able to obtain sufficient quantities of AYVAKIT or any other drug candidates that may be approved in the future, which could have a material adverse effect on our business as a whole.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On January 21, 2020, the Company issued a press release announcing the commencement of an underwritten public offering of shares of its common stock. A copy of this press release is attached to this Current Report on Form 8-K as Exhibit 99.1 and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1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432"/>
        </w:trPr>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4"/>
                <w:szCs w:val="24"/>
                <w:color w:val="auto"/>
              </w:rPr>
            </w:pPr>
          </w:p>
        </w:tc>
        <w:tc>
          <w:tcPr>
            <w:tcW w:w="10000" w:type="dxa"/>
            <w:vAlign w:val="bottom"/>
            <w:gridSpan w:val="2"/>
          </w:tcPr>
          <w:p>
            <w:pPr>
              <w:ind w:left="456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1280" w:type="dxa"/>
            <w:vAlign w:val="bottom"/>
            <w:tcBorders>
              <w:top w:val="single" w:sz="8" w:color="auto"/>
            </w:tcBorders>
            <w:gridSpan w:val="2"/>
          </w:tcPr>
          <w:p>
            <w:pPr>
              <w:spacing w:after="0" w:line="170" w:lineRule="exact"/>
              <w:rPr>
                <w:rFonts w:ascii="Arial" w:cs="Arial" w:eastAsia="Arial" w:hAnsi="Arial"/>
                <w:sz w:val="18"/>
                <w:szCs w:val="18"/>
                <w:color w:val="0000EE"/>
              </w:rPr>
            </w:pPr>
            <w:hyperlink w:anchor="page6">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20" w:type="dxa"/>
            <w:vAlign w:val="bottom"/>
          </w:tcPr>
          <w:p>
            <w:pPr>
              <w:spacing w:after="0"/>
              <w:rPr>
                <w:sz w:val="14"/>
                <w:szCs w:val="14"/>
                <w:color w:val="auto"/>
              </w:rPr>
            </w:pPr>
          </w:p>
        </w:tc>
        <w:tc>
          <w:tcPr>
            <w:tcW w:w="10000" w:type="dxa"/>
            <w:vAlign w:val="bottom"/>
            <w:tcBorders>
              <w:top w:val="single" w:sz="8" w:color="auto"/>
            </w:tcBorders>
            <w:gridSpan w:val="2"/>
          </w:tcPr>
          <w:p>
            <w:pPr>
              <w:spacing w:after="0" w:line="170" w:lineRule="exact"/>
              <w:rPr>
                <w:rFonts w:ascii="Arial" w:cs="Arial" w:eastAsia="Arial" w:hAnsi="Arial"/>
                <w:sz w:val="18"/>
                <w:szCs w:val="18"/>
                <w:color w:val="0000EE"/>
              </w:rPr>
            </w:pPr>
            <w:hyperlink w:anchor="page6">
              <w:r>
                <w:rPr>
                  <w:rFonts w:ascii="Arial" w:cs="Arial" w:eastAsia="Arial" w:hAnsi="Arial"/>
                  <w:sz w:val="18"/>
                  <w:szCs w:val="18"/>
                  <w:color w:val="0000EE"/>
                </w:rPr>
                <w:t>Press release issued by Blueprint Medicines Corporation on January 21, 2020</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580" w:type="dxa"/>
            <w:vAlign w:val="bottom"/>
            <w:shd w:val="clear" w:color="auto" w:fill="0000EE"/>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237"/>
        </w:trPr>
        <w:tc>
          <w:tcPr>
            <w:tcW w:w="320" w:type="dxa"/>
            <w:vAlign w:val="bottom"/>
            <w:gridSpan w:val="2"/>
          </w:tcPr>
          <w:p>
            <w:pPr>
              <w:spacing w:after="0"/>
              <w:rPr>
                <w:sz w:val="20"/>
                <w:szCs w:val="20"/>
                <w:color w:val="auto"/>
              </w:rPr>
            </w:pPr>
            <w:r>
              <w:rPr>
                <w:rFonts w:ascii="Arial" w:cs="Arial" w:eastAsia="Arial" w:hAnsi="Arial"/>
                <w:sz w:val="18"/>
                <w:szCs w:val="18"/>
                <w:color w:val="auto"/>
                <w:w w:val="99"/>
              </w:rPr>
              <w:t>104</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702"/>
        </w:trPr>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700" w:type="dxa"/>
            <w:vAlign w:val="bottom"/>
            <w:gridSpan w:val="2"/>
          </w:tcPr>
          <w:p>
            <w:pPr>
              <w:ind w:left="2000"/>
              <w:spacing w:after="0"/>
              <w:rPr>
                <w:sz w:val="20"/>
                <w:szCs w:val="20"/>
                <w:color w:val="auto"/>
              </w:rPr>
            </w:pPr>
            <w:r>
              <w:rPr>
                <w:rFonts w:ascii="Arial" w:cs="Arial" w:eastAsia="Arial" w:hAnsi="Arial"/>
                <w:sz w:val="18"/>
                <w:szCs w:val="18"/>
                <w:b w:val="1"/>
                <w:bCs w:val="1"/>
                <w:color w:val="auto"/>
              </w:rPr>
              <w:t>BLUEPRINT MEDICINES CORPORATION</w:t>
            </w:r>
          </w:p>
        </w:tc>
      </w:tr>
      <w:tr>
        <w:trPr>
          <w:trHeight w:val="648"/>
        </w:trPr>
        <w:tc>
          <w:tcPr>
            <w:tcW w:w="3720" w:type="dxa"/>
            <w:vAlign w:val="bottom"/>
          </w:tcPr>
          <w:p>
            <w:pPr>
              <w:ind w:left="60"/>
              <w:spacing w:after="0"/>
              <w:rPr>
                <w:sz w:val="20"/>
                <w:szCs w:val="20"/>
                <w:color w:val="auto"/>
              </w:rPr>
            </w:pPr>
            <w:r>
              <w:rPr>
                <w:rFonts w:ascii="Arial" w:cs="Arial" w:eastAsia="Arial" w:hAnsi="Arial"/>
                <w:sz w:val="18"/>
                <w:szCs w:val="18"/>
                <w:color w:val="auto"/>
              </w:rPr>
              <w:t>Date: January 21, 2020</w:t>
            </w:r>
          </w:p>
        </w:tc>
        <w:tc>
          <w:tcPr>
            <w:tcW w:w="7700" w:type="dxa"/>
            <w:vAlign w:val="bottom"/>
            <w:gridSpan w:val="2"/>
          </w:tcPr>
          <w:p>
            <w:pPr>
              <w:ind w:left="2000"/>
              <w:spacing w:after="0"/>
              <w:rPr>
                <w:sz w:val="20"/>
                <w:szCs w:val="20"/>
                <w:color w:val="auto"/>
              </w:rPr>
            </w:pPr>
            <w:r>
              <w:rPr>
                <w:rFonts w:ascii="Arial" w:cs="Arial" w:eastAsia="Arial" w:hAnsi="Arial"/>
                <w:sz w:val="18"/>
                <w:szCs w:val="18"/>
                <w:color w:val="auto"/>
              </w:rPr>
              <w:t>By: /s/ Jeffrey W. Albers</w:t>
            </w:r>
          </w:p>
        </w:tc>
      </w:tr>
      <w:tr>
        <w:trPr>
          <w:trHeight w:val="195"/>
        </w:trPr>
        <w:tc>
          <w:tcPr>
            <w:tcW w:w="37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W. Albers</w:t>
            </w:r>
          </w:p>
        </w:tc>
      </w:tr>
      <w:tr>
        <w:trPr>
          <w:trHeight w:val="230"/>
        </w:trPr>
        <w:tc>
          <w:tcPr>
            <w:tcW w:w="37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75"/>
        </w:trPr>
        <w:tc>
          <w:tcPr>
            <w:tcW w:w="37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31"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Announces Proposed Public Offering of Shares of Common Stock</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CAMBRIDGE, Mass., January 21, 2020 — Blueprint Medicines Corporation (NASDAQ: BPMC), a precision therapy company focused on genomically defined cancers, rare diseases and cancer immunotherapy, today announced that it has commenced an underwritten public offering of $325,000,000 in shares of its common stock. In addition, Blueprint Medicines expects to grant the underwriters a 30-day option to purchase up to an additional $48,750,000 in shares of its common stock in connection with the public offering. All shares of common stock will be offered by Blueprint Medicines.</w:t>
      </w:r>
    </w:p>
    <w:p>
      <w:pPr>
        <w:spacing w:after="0" w:line="17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Blueprint Medicines expects to use the net proceeds of the offering to further build its global commercial infrastructure to support additional planned regulatory filings and commercial launches for AYVAKIT and pralsetinib, if approved, in the U.S. and Europe; to fund clinical trials for avapritinib in systemic mastocytosis (SM), including its ongoing registration-enabling Phase 2 PIONEER clinical trial for indolent and smoldering SM, as well as future indication expansion clinical trials; to fund clinical trials for pralsetinib in RET-driven cancers, including its Phase 3 AcceleRET Lung clinical trial for pralsetinib in first-line RET-altered NSCLC and its planned Phase 3 clinical trial for pralsetinib in first-line RET-mutant MTC, as well as future indication expansion clinical trials; to fund its planned Phase 1 trial for BLU-263 in healthy volunteers and future clinical trials for BLU-263 and other future drug candidates; to fund manufacturing costs for AYVAKIT and for ongoing and anticipated drug development efforts for its most advanced drug candidates; and the balance, if any, to fund additional discovery research efforts, its other ongoing and planned clinical trials, working capital requirements and other general corporate purposes.</w:t>
      </w:r>
    </w:p>
    <w:p>
      <w:pPr>
        <w:spacing w:after="0" w:line="197" w:lineRule="exact"/>
        <w:rPr>
          <w:sz w:val="20"/>
          <w:szCs w:val="20"/>
          <w:color w:val="auto"/>
        </w:rPr>
      </w:pPr>
    </w:p>
    <w:p>
      <w:pPr>
        <w:ind w:right="560"/>
        <w:spacing w:after="0" w:line="312" w:lineRule="auto"/>
        <w:rPr>
          <w:sz w:val="20"/>
          <w:szCs w:val="20"/>
          <w:color w:val="auto"/>
        </w:rPr>
      </w:pPr>
      <w:r>
        <w:rPr>
          <w:rFonts w:ascii="Arial" w:cs="Arial" w:eastAsia="Arial" w:hAnsi="Arial"/>
          <w:sz w:val="16"/>
          <w:szCs w:val="16"/>
          <w:color w:val="auto"/>
        </w:rPr>
        <w:t>Goldman Sachs &amp; Co. LLC and Cowen and Company, LLC are acting as joint book-running managers for the offering. Canaccord Genuity LLC, JMP Securities LLC, and Raymond James &amp; Associates, Inc. are acting as co-lead managers for the offering. The offering is subject to market and other conditions, and there can be no assurance as to whether or when the offering may be completed or as to the actual size or terms of the offering.</w:t>
      </w:r>
    </w:p>
    <w:p>
      <w:pPr>
        <w:spacing w:after="0" w:line="14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 registration statement on Form S-3 (File No. 333-216573) relating to these securities has been previously filed with the Securities and Exchange Commission (SEC) and has become effective. This press release shall not constitute an offer to sell or a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8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offering will be made only by means of a prospectus. A copy of the prospectus supplement relating to the offering will be filed with the SEC and may be obtained, when available, from Goldman Sachs &amp; Co. LLC by mail at Prospectus Department, 200 West Street, New York, NY 10282, by telephone at (866) 471-2526, by fax at (212) 902-9316, or by email at prospectus-ny@ny.email.gs.com, or from Cowen and Company, LLC, c/o Broadridge Financial Services, 1155 Long Island Avenue, Edgewood, NY 11717, Attention: Prospectus Department, or by telephone at (833) 297-2926.</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Blueprint Medicines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We have one precision therapy approved by the U.S. Food and Drug Administration and are currently advancing multiple investigational medicines in clinical development, along with a number of research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as amended, including, without limitation, statements regarding Blueprint Medicines’ anticipated public offering; future expectations, plans and prospects for Blueprint Medicines and the timing of these events;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uncertainties related to market conditions and the completion of the public offering on the anticipated terms or at all. These and other risks and uncertainties are described in greater detail in the section entitled “Risk Factors” in Blueprint Medicines’ Quarterly Report on Form 10-Q for the quarterly period ended September 30, 2019, as filed with the SEC on November 5, 2019, the prospectus supplement related to the public offering and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Blueprint Medicines explicitly disclaims any obligation to update any forward-looking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and 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Jim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617-844-8236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media@blueprintmedicines.com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Kristin Hodous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617-714-6674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60"/>
      </w:cols>
      <w:pgMar w:left="240" w:top="90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2020-01-21T15:13:24Z</dcterms:created>
  <dcterms:modified xsi:type="dcterms:W3CDTF">2020-01-21T15:13:24Z</dcterms:modified>
</cp:coreProperties>
</file>