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85"/>
        <w:spacing w:after="0"/>
        <w:tabs>
          <w:tab w:leader="none" w:pos="504" w:val="left"/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March 17, 2020 pursuant to Rule 10b5-1 under the Securities Exchange Act of 1934, as amended.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option was granted on February 10, 2015 and is fully vested as of the date hereof.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Ariel Hurley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-4439285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2020-10-09T15:07:54Z</dcterms:created>
  <dcterms:modified xsi:type="dcterms:W3CDTF">2020-10-09T15:07:54Z</dcterms:modified>
</cp:coreProperties>
</file>