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229870</wp:posOffset>
            </wp:positionV>
            <wp:extent cx="14662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3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160"/>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223520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9240"/>
          </w:cols>
          <w:pgMar w:left="1320" w:top="206" w:right="1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8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7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2920" w:space="720"/>
            <w:col w:w="2760" w:space="720"/>
            <w:col w:w="2120"/>
          </w:cols>
          <w:pgMar w:left="1320" w:top="206" w:right="1339" w:bottom="1440" w:gutter="0" w:footer="0" w:header="0"/>
          <w:type w:val="continuous"/>
        </w:sectPr>
      </w:pPr>
    </w:p>
    <w:p>
      <w:pPr>
        <w:spacing w:after="0" w:line="200" w:lineRule="exact"/>
        <w:rPr>
          <w:sz w:val="24"/>
          <w:szCs w:val="24"/>
          <w:color w:val="auto"/>
        </w:rPr>
      </w:pPr>
    </w:p>
    <w:p>
      <w:pPr>
        <w:spacing w:after="0" w:line="30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880" w:space="720"/>
            <w:col w:w="2640"/>
          </w:cols>
          <w:pgMar w:left="1320" w:top="206" w:right="1339" w:bottom="1440" w:gutter="0" w:footer="0" w:header="0"/>
          <w:type w:val="continuous"/>
        </w:sectPr>
      </w:pP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220980</wp:posOffset>
            </wp:positionV>
            <wp:extent cx="1466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440" w:hanging="801"/>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440" w:hanging="801"/>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280" w:right="60" w:hanging="641"/>
        <w:spacing w:after="0" w:line="249" w:lineRule="auto"/>
        <w:tabs>
          <w:tab w:leader="none" w:pos="1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ind w:left="1280" w:right="100" w:hanging="641"/>
        <w:spacing w:after="0" w:line="261" w:lineRule="auto"/>
        <w:tabs>
          <w:tab w:leader="none" w:pos="1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417195</wp:posOffset>
            </wp:positionV>
            <wp:extent cx="589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1530" cy="17145"/>
                    </a:xfrm>
                    <a:prstGeom prst="rect">
                      <a:avLst/>
                    </a:prstGeom>
                    <a:noFill/>
                  </pic:spPr>
                </pic:pic>
              </a:graphicData>
            </a:graphic>
          </wp:anchor>
        </w:drawing>
      </w:r>
    </w:p>
    <w:p>
      <w:pPr>
        <w:sectPr>
          <w:pgSz w:w="11900" w:h="16838" w:orient="portrait"/>
          <w:cols w:equalWidth="0" w:num="1">
            <w:col w:w="9240"/>
          </w:cols>
          <w:pgMar w:left="1320" w:top="206" w:right="13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December 7, 2016, Blueprint Medicines Corporation (the “Company”) entered into an underwriting agreement (the “Underwriting Agreement”) with Goldman, Sachs &amp; Co. and Morgan Stanley &amp; Co. LLC, as representatives of the underwriters named therein (collectively, the “Underwriters”), relating to an underwritten public offering (the “Offering”) of 5,000,000 shares of the Company’s common stock, $0.001 par value per share (the “Common Stock”), at a price to the public of $25.00 per share (the “Offering Price”). After deducting the underwriting discounts and commissions and estimated offering expenses, the Company expects to receive net proceeds from the Offering of approximately $116.9 million. The Company has also granted the Underwriters a 30-day option to purchase up to an additional 750,000 shares of Common Stock at the Offering Price less the underwriting discounts and commissions.</w:t>
      </w:r>
    </w:p>
    <w:p>
      <w:pPr>
        <w:spacing w:after="0" w:line="71"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The Offering was made pursuant to the Company’s effective shelf registration statement on Form S-3 (File No. 333-211266), including the prospectus dated July 25, 2016, as supplemented by a prospectus supplement dated December 7, 2016. The Offering is expected to close on December 13, 2016, subject to the satisfaction of customary closing conditions.</w:t>
      </w:r>
    </w:p>
    <w:p>
      <w:pPr>
        <w:spacing w:after="0" w:line="3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 copy of the Underwriting Agreement is attached as Exhibit 1.1 to this Current Report on Form 8-K and is incorporated herein by reference. The foregoing description of the Underwriting Agreement does not purport to be complete and is qualified in its entirety by reference to such exhibit.</w:t>
      </w:r>
    </w:p>
    <w:p>
      <w:pPr>
        <w:spacing w:after="0" w:line="7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copy of the legal opinion of Goodwin Procter LLP relating to the legality of the issuance and sale of the shares in the Offering is attached as Exhibit 5.1 to this Current Report on Form 8-K.</w:t>
      </w:r>
    </w:p>
    <w:p>
      <w:pPr>
        <w:spacing w:after="0" w:line="5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On December 6, 2016, the Company issued a press release announcing the Offering, and on December 7, 2016, the Company issued a press release announcing the pricing of the Offering. Copies of these press releases are attached to this Current Report on Form 8-K as Exhibits 99.1 and 99.2, respectively, and are each incorporated herein by reference.</w:t>
      </w:r>
    </w:p>
    <w:p>
      <w:pPr>
        <w:spacing w:after="0" w:line="3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See the Exhibit Index which immediately follows the signatures hereto,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60"/>
          </w:cols>
          <w:pgMar w:left="1320" w:top="121" w:right="1319" w:bottom="1440" w:gutter="0" w:footer="0" w:header="0"/>
        </w:sectPr>
      </w:pPr>
    </w:p>
    <w:bookmarkStart w:id="2" w:name="page3"/>
    <w:bookmarkEnd w:id="2"/>
    <w:p>
      <w:pPr>
        <w:jc w:val="center"/>
        <w:ind w:right="-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5640" w:type="dxa"/>
            <w:vAlign w:val="bottom"/>
            <w:gridSpan w:val="2"/>
          </w:tcPr>
          <w:p>
            <w:pPr>
              <w:ind w:left="1440"/>
              <w:spacing w:after="0"/>
              <w:rPr>
                <w:sz w:val="20"/>
                <w:szCs w:val="20"/>
                <w:color w:val="auto"/>
              </w:rPr>
            </w:pPr>
            <w:r>
              <w:rPr>
                <w:rFonts w:ascii="Arial" w:cs="Arial" w:eastAsia="Arial" w:hAnsi="Arial"/>
                <w:sz w:val="18"/>
                <w:szCs w:val="18"/>
                <w:b w:val="1"/>
                <w:bCs w:val="1"/>
                <w:color w:val="auto"/>
              </w:rPr>
              <w:t>BLUEPRINT MEDICINES CORPORATION</w:t>
            </w:r>
          </w:p>
        </w:tc>
      </w:tr>
      <w:tr>
        <w:trPr>
          <w:trHeight w:val="661"/>
        </w:trPr>
        <w:tc>
          <w:tcPr>
            <w:tcW w:w="3200" w:type="dxa"/>
            <w:vAlign w:val="bottom"/>
          </w:tcPr>
          <w:p>
            <w:pPr>
              <w:spacing w:after="0"/>
              <w:rPr>
                <w:sz w:val="20"/>
                <w:szCs w:val="20"/>
                <w:color w:val="auto"/>
              </w:rPr>
            </w:pPr>
            <w:r>
              <w:rPr>
                <w:rFonts w:ascii="Arial" w:cs="Arial" w:eastAsia="Arial" w:hAnsi="Arial"/>
                <w:sz w:val="18"/>
                <w:szCs w:val="18"/>
                <w:color w:val="auto"/>
              </w:rPr>
              <w:t>Date: December 8, 2016</w:t>
            </w:r>
          </w:p>
        </w:tc>
        <w:tc>
          <w:tcPr>
            <w:tcW w:w="5640" w:type="dxa"/>
            <w:vAlign w:val="bottom"/>
            <w:gridSpan w:val="2"/>
          </w:tcPr>
          <w:p>
            <w:pPr>
              <w:ind w:left="1440"/>
              <w:spacing w:after="0"/>
              <w:rPr>
                <w:sz w:val="20"/>
                <w:szCs w:val="20"/>
                <w:color w:val="auto"/>
              </w:rPr>
            </w:pPr>
            <w:r>
              <w:rPr>
                <w:rFonts w:ascii="Arial" w:cs="Arial" w:eastAsia="Arial" w:hAnsi="Arial"/>
                <w:sz w:val="18"/>
                <w:szCs w:val="18"/>
                <w:color w:val="auto"/>
              </w:rPr>
              <w:t>By: /s/ Jeffrey W.</w:t>
            </w:r>
          </w:p>
        </w:tc>
      </w:tr>
      <w:tr>
        <w:trPr>
          <w:trHeight w:val="230"/>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r>
      <w:tr>
        <w:trPr>
          <w:trHeight w:val="195"/>
        </w:trPr>
        <w:tc>
          <w:tcPr>
            <w:tcW w:w="3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139"/>
          </w:cols>
          <w:pgMar w:left="1320" w:top="12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tcPr>
          <w:p>
            <w:pPr>
              <w:ind w:left="2340"/>
              <w:spacing w:after="0"/>
              <w:rPr>
                <w:sz w:val="20"/>
                <w:szCs w:val="20"/>
                <w:color w:val="auto"/>
              </w:rPr>
            </w:pPr>
            <w:r>
              <w:rPr>
                <w:rFonts w:ascii="Arial" w:cs="Arial" w:eastAsia="Arial" w:hAnsi="Arial"/>
                <w:sz w:val="18"/>
                <w:szCs w:val="18"/>
                <w:b w:val="1"/>
                <w:bCs w:val="1"/>
                <w:color w:val="auto"/>
              </w:rPr>
              <w:t>EXHIBIT INDEX</w:t>
            </w:r>
          </w:p>
        </w:tc>
      </w:tr>
      <w:tr>
        <w:trPr>
          <w:trHeight w:val="446"/>
        </w:trPr>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768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13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1.1</w:t>
            </w:r>
          </w:p>
        </w:tc>
        <w:tc>
          <w:tcPr>
            <w:tcW w:w="280" w:type="dxa"/>
            <w:vAlign w:val="bottom"/>
          </w:tcPr>
          <w:p>
            <w:pPr>
              <w:spacing w:after="0"/>
              <w:rPr>
                <w:sz w:val="16"/>
                <w:szCs w:val="16"/>
                <w:color w:val="auto"/>
              </w:rPr>
            </w:pPr>
          </w:p>
        </w:tc>
        <w:tc>
          <w:tcPr>
            <w:tcW w:w="76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w w:val="93"/>
              </w:rPr>
              <w:t>Underwriting Agreement, dated as of December 7, 2016, among Blueprint Medicines Corporation and</w:t>
            </w:r>
          </w:p>
        </w:tc>
      </w:tr>
      <w:tr>
        <w:trPr>
          <w:trHeight w:val="216"/>
        </w:trPr>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w w:val="93"/>
              </w:rPr>
              <w:t>Goldman, Sachs &amp; Co. and Morgan Stanley &amp; Co. LLC, as representatives of the underwriters named</w:t>
            </w:r>
          </w:p>
        </w:tc>
      </w:tr>
      <w:tr>
        <w:trPr>
          <w:trHeight w:val="216"/>
        </w:trPr>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therein</w:t>
            </w:r>
          </w:p>
        </w:tc>
      </w:tr>
      <w:tr>
        <w:trPr>
          <w:trHeight w:val="216"/>
        </w:trPr>
        <w:tc>
          <w:tcPr>
            <w:tcW w:w="1320" w:type="dxa"/>
            <w:vAlign w:val="bottom"/>
          </w:tcPr>
          <w:p>
            <w:pPr>
              <w:ind w:left="100"/>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Opinion of Goodwin Procter LLP</w:t>
            </w:r>
          </w:p>
        </w:tc>
      </w:tr>
      <w:tr>
        <w:trPr>
          <w:trHeight w:val="216"/>
        </w:trPr>
        <w:tc>
          <w:tcPr>
            <w:tcW w:w="1320" w:type="dxa"/>
            <w:vAlign w:val="bottom"/>
          </w:tcPr>
          <w:p>
            <w:pPr>
              <w:ind w:left="100"/>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Consent of Goodwin Procter LLP (included in Exhibit 5.1)</w:t>
            </w:r>
          </w:p>
        </w:tc>
      </w:tr>
      <w:tr>
        <w:trPr>
          <w:trHeight w:val="216"/>
        </w:trPr>
        <w:tc>
          <w:tcPr>
            <w:tcW w:w="1320" w:type="dxa"/>
            <w:vAlign w:val="bottom"/>
          </w:tcPr>
          <w:p>
            <w:pPr>
              <w:ind w:left="10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Press release issued by Blueprint Medicines Corporation on December 6, 2016</w:t>
            </w:r>
          </w:p>
        </w:tc>
      </w:tr>
      <w:tr>
        <w:trPr>
          <w:trHeight w:val="230"/>
        </w:trPr>
        <w:tc>
          <w:tcPr>
            <w:tcW w:w="1320" w:type="dxa"/>
            <w:vAlign w:val="bottom"/>
          </w:tcPr>
          <w:p>
            <w:pPr>
              <w:ind w:left="100"/>
              <w:spacing w:after="0"/>
              <w:rPr>
                <w:sz w:val="20"/>
                <w:szCs w:val="20"/>
                <w:color w:val="auto"/>
              </w:rPr>
            </w:pPr>
            <w:r>
              <w:rPr>
                <w:rFonts w:ascii="Arial" w:cs="Arial" w:eastAsia="Arial" w:hAnsi="Arial"/>
                <w:sz w:val="18"/>
                <w:szCs w:val="18"/>
                <w:color w:val="auto"/>
              </w:rPr>
              <w:t>99.2</w:t>
            </w:r>
          </w:p>
        </w:tc>
        <w:tc>
          <w:tcPr>
            <w:tcW w:w="280" w:type="dxa"/>
            <w:vAlign w:val="bottom"/>
          </w:tcPr>
          <w:p>
            <w:pPr>
              <w:spacing w:after="0"/>
              <w:rPr>
                <w:sz w:val="20"/>
                <w:szCs w:val="20"/>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Press release issued by Blueprint Medicines Corporation on December 7, 2016</w:t>
            </w:r>
          </w:p>
        </w:tc>
      </w:tr>
      <w:tr>
        <w:trPr>
          <w:trHeight w:val="932"/>
        </w:trPr>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tcPr>
          <w:p>
            <w:pPr>
              <w:ind w:left="2980"/>
              <w:spacing w:after="0"/>
              <w:rPr>
                <w:sz w:val="20"/>
                <w:szCs w:val="20"/>
                <w:color w:val="auto"/>
              </w:rPr>
            </w:pPr>
            <w:r>
              <w:rPr>
                <w:rFonts w:ascii="Arial" w:cs="Arial" w:eastAsia="Arial" w:hAnsi="Arial"/>
                <w:sz w:val="18"/>
                <w:szCs w:val="18"/>
                <w:color w:val="auto"/>
              </w:rPr>
              <w:t>4</w:t>
            </w:r>
          </w:p>
        </w:tc>
      </w:tr>
      <w:tr>
        <w:trPr>
          <w:trHeight w:val="129"/>
        </w:trPr>
        <w:tc>
          <w:tcPr>
            <w:tcW w:w="1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80" w:type="dxa"/>
            <w:vAlign w:val="bottom"/>
            <w:tcBorders>
              <w:bottom w:val="single" w:sz="8" w:color="auto"/>
            </w:tcBorders>
          </w:tcPr>
          <w:p>
            <w:pPr>
              <w:spacing w:after="0"/>
              <w:rPr>
                <w:sz w:val="11"/>
                <w:szCs w:val="11"/>
                <w:color w:val="auto"/>
              </w:rPr>
            </w:pPr>
          </w:p>
        </w:tc>
      </w:tr>
    </w:tbl>
    <w:p>
      <w:pPr>
        <w:sectPr>
          <w:pgSz w:w="11900" w:h="16838" w:orient="portrait"/>
          <w:cols w:equalWidth="0" w:num="1">
            <w:col w:w="9280"/>
          </w:cols>
          <w:pgMar w:left="1320" w:top="121" w:right="1299" w:bottom="1440" w:gutter="0" w:footer="0" w:header="0"/>
        </w:sectPr>
      </w:pPr>
    </w:p>
    <w:bookmarkStart w:id="4" w:name="page5"/>
    <w:bookmarkEnd w:id="4"/>
    <w:p>
      <w:pPr>
        <w:jc w:val="right"/>
        <w:ind w:right="219"/>
        <w:spacing w:after="0"/>
        <w:rPr>
          <w:sz w:val="20"/>
          <w:szCs w:val="20"/>
          <w:color w:val="auto"/>
        </w:rPr>
      </w:pPr>
      <w:r>
        <w:rPr>
          <w:rFonts w:ascii="Arial" w:cs="Arial" w:eastAsia="Arial" w:hAnsi="Arial"/>
          <w:sz w:val="18"/>
          <w:szCs w:val="18"/>
          <w:b w:val="1"/>
          <w:bCs w:val="1"/>
          <w:color w:val="auto"/>
        </w:rPr>
        <w:t>Exhibit 1.1</w:t>
      </w:r>
    </w:p>
    <w:p>
      <w:pPr>
        <w:spacing w:after="0" w:line="248" w:lineRule="exact"/>
        <w:rPr>
          <w:sz w:val="20"/>
          <w:szCs w:val="20"/>
          <w:color w:val="auto"/>
        </w:rPr>
      </w:pPr>
    </w:p>
    <w:p>
      <w:pPr>
        <w:jc w:val="right"/>
        <w:ind w:right="219"/>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18"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Blueprint Medicines Corporation</w:t>
      </w:r>
    </w:p>
    <w:p>
      <w:pPr>
        <w:spacing w:after="0" w:line="206"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auto"/>
        </w:rPr>
        <w:t>Common Stock, $0.001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2887980</wp:posOffset>
            </wp:positionH>
            <wp:positionV relativeFrom="paragraph">
              <wp:posOffset>237490</wp:posOffset>
            </wp:positionV>
            <wp:extent cx="317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3460"/>
        <w:spacing w:after="0"/>
        <w:rPr>
          <w:sz w:val="20"/>
          <w:szCs w:val="20"/>
          <w:color w:val="auto"/>
        </w:rPr>
      </w:pPr>
      <w:r>
        <w:rPr>
          <w:rFonts w:ascii="Arial" w:cs="Arial" w:eastAsia="Arial" w:hAnsi="Arial"/>
          <w:sz w:val="22"/>
          <w:szCs w:val="22"/>
          <w:b w:val="1"/>
          <w:bCs w:val="1"/>
          <w:i w:val="1"/>
          <w:iCs w:val="1"/>
          <w:u w:val="single" w:color="auto"/>
          <w:color w:val="auto"/>
        </w:rPr>
        <w:t>Underwriting Agreement</w:t>
      </w:r>
    </w:p>
    <w:p>
      <w:pPr>
        <w:spacing w:after="0" w:line="232" w:lineRule="exact"/>
        <w:rPr>
          <w:sz w:val="20"/>
          <w:szCs w:val="20"/>
          <w:color w:val="auto"/>
        </w:rPr>
      </w:pPr>
    </w:p>
    <w:p>
      <w:pPr>
        <w:ind w:left="6960"/>
        <w:spacing w:after="0"/>
        <w:rPr>
          <w:sz w:val="20"/>
          <w:szCs w:val="20"/>
          <w:color w:val="auto"/>
        </w:rPr>
      </w:pPr>
      <w:r>
        <w:rPr>
          <w:rFonts w:ascii="Arial" w:cs="Arial" w:eastAsia="Arial" w:hAnsi="Arial"/>
          <w:sz w:val="22"/>
          <w:szCs w:val="22"/>
          <w:color w:val="auto"/>
        </w:rPr>
        <w:t>December 7, 2016</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Goldman, Sachs &amp; Co.,</w:t>
      </w:r>
    </w:p>
    <w:p>
      <w:pPr>
        <w:ind w:left="660"/>
        <w:spacing w:after="0" w:line="230" w:lineRule="auto"/>
        <w:rPr>
          <w:sz w:val="20"/>
          <w:szCs w:val="20"/>
          <w:color w:val="auto"/>
        </w:rPr>
      </w:pPr>
      <w:r>
        <w:rPr>
          <w:rFonts w:ascii="Arial" w:cs="Arial" w:eastAsia="Arial" w:hAnsi="Arial"/>
          <w:sz w:val="22"/>
          <w:szCs w:val="22"/>
          <w:color w:val="auto"/>
        </w:rPr>
        <w:t>Morgan Stanley &amp; Co. LLC</w:t>
      </w:r>
    </w:p>
    <w:p>
      <w:pPr>
        <w:ind w:left="820"/>
        <w:spacing w:after="0" w:line="231" w:lineRule="auto"/>
        <w:rPr>
          <w:sz w:val="20"/>
          <w:szCs w:val="20"/>
          <w:color w:val="auto"/>
        </w:rPr>
      </w:pPr>
      <w:r>
        <w:rPr>
          <w:rFonts w:ascii="Arial" w:cs="Arial" w:eastAsia="Arial" w:hAnsi="Arial"/>
          <w:sz w:val="22"/>
          <w:szCs w:val="22"/>
          <w:color w:val="auto"/>
        </w:rPr>
        <w:t>As representatives of the several Underwriters</w:t>
      </w:r>
    </w:p>
    <w:p>
      <w:pPr>
        <w:ind w:left="980"/>
        <w:spacing w:after="0"/>
        <w:rPr>
          <w:sz w:val="20"/>
          <w:szCs w:val="20"/>
          <w:color w:val="auto"/>
        </w:rPr>
      </w:pPr>
      <w:r>
        <w:rPr>
          <w:rFonts w:ascii="Arial" w:cs="Arial" w:eastAsia="Arial" w:hAnsi="Arial"/>
          <w:sz w:val="22"/>
          <w:szCs w:val="22"/>
          <w:color w:val="auto"/>
        </w:rPr>
        <w:t>named in Schedule I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Goldman, Sachs &amp; Co.</w:t>
      </w:r>
    </w:p>
    <w:p>
      <w:pPr>
        <w:ind w:left="660"/>
        <w:spacing w:after="0" w:line="230" w:lineRule="auto"/>
        <w:rPr>
          <w:sz w:val="20"/>
          <w:szCs w:val="20"/>
          <w:color w:val="auto"/>
        </w:rPr>
      </w:pPr>
      <w:r>
        <w:rPr>
          <w:rFonts w:ascii="Arial" w:cs="Arial" w:eastAsia="Arial" w:hAnsi="Arial"/>
          <w:sz w:val="22"/>
          <w:szCs w:val="22"/>
          <w:color w:val="auto"/>
        </w:rPr>
        <w:t>200 West Street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New York 10282-2198</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Morgan Stanley &amp; Co. LLC</w:t>
      </w:r>
    </w:p>
    <w:p>
      <w:pPr>
        <w:ind w:left="660"/>
        <w:spacing w:after="0" w:line="230" w:lineRule="auto"/>
        <w:rPr>
          <w:sz w:val="20"/>
          <w:szCs w:val="20"/>
          <w:color w:val="auto"/>
        </w:rPr>
      </w:pPr>
      <w:r>
        <w:rPr>
          <w:rFonts w:ascii="Arial" w:cs="Arial" w:eastAsia="Arial" w:hAnsi="Arial"/>
          <w:sz w:val="22"/>
          <w:szCs w:val="22"/>
          <w:color w:val="auto"/>
        </w:rPr>
        <w:t>1585 Broadway</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New York 10036</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Ladies and Gentlemen:</w:t>
      </w:r>
    </w:p>
    <w:p>
      <w:pPr>
        <w:spacing w:after="0" w:line="98" w:lineRule="exact"/>
        <w:rPr>
          <w:sz w:val="20"/>
          <w:szCs w:val="20"/>
          <w:color w:val="auto"/>
        </w:rPr>
      </w:pPr>
    </w:p>
    <w:p>
      <w:pPr>
        <w:jc w:val="both"/>
        <w:ind w:left="660" w:right="219" w:firstLine="648"/>
        <w:spacing w:after="0" w:line="232" w:lineRule="auto"/>
        <w:rPr>
          <w:sz w:val="20"/>
          <w:szCs w:val="20"/>
          <w:color w:val="auto"/>
        </w:rPr>
      </w:pPr>
      <w:r>
        <w:rPr>
          <w:rFonts w:ascii="Arial" w:cs="Arial" w:eastAsia="Arial" w:hAnsi="Arial"/>
          <w:sz w:val="22"/>
          <w:szCs w:val="22"/>
          <w:color w:val="auto"/>
        </w:rPr>
        <w:t>Blueprint Medicines Corporation, a Delaware corporation (the “Company”), proposes, subject to the terms and conditions stated herein, to issue and sell to the Underwriters named in Schedule I hereto (the “Underwriters”), for whom you are acting as representatives (the “Representatives”), an aggregate of 5,000,000 shares (the “Firm Shares”) and, at the election of the Underwriters, up to 750,000 additional shares (the “Optional Shares”) of Common Stock, par value $0.001 per share (“Stock”), of the Company (the Firm Shares and the Optional Shares that the Underwriters elect to purchase pursuant to Section 2 hereof being collectively called the “Shares”).</w:t>
      </w:r>
    </w:p>
    <w:p>
      <w:pPr>
        <w:spacing w:after="0" w:line="203" w:lineRule="exact"/>
        <w:rPr>
          <w:sz w:val="20"/>
          <w:szCs w:val="20"/>
          <w:color w:val="auto"/>
        </w:rPr>
      </w:pPr>
    </w:p>
    <w:p>
      <w:pPr>
        <w:ind w:left="660" w:right="219" w:firstLine="642"/>
        <w:spacing w:after="0" w:line="238" w:lineRule="auto"/>
        <w:tabs>
          <w:tab w:leader="none" w:pos="1663"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 represents and warrants to, and agrees with, each of the Underwriters that:</w:t>
      </w:r>
    </w:p>
    <w:p>
      <w:pPr>
        <w:spacing w:after="0" w:line="93" w:lineRule="exact"/>
        <w:rPr>
          <w:sz w:val="20"/>
          <w:szCs w:val="20"/>
          <w:color w:val="auto"/>
        </w:rPr>
      </w:pPr>
    </w:p>
    <w:p>
      <w:pPr>
        <w:jc w:val="both"/>
        <w:ind w:left="660" w:right="219" w:firstLine="642"/>
        <w:spacing w:after="0" w:line="234" w:lineRule="auto"/>
        <w:tabs>
          <w:tab w:leader="none" w:pos="2091" w:val="left"/>
        </w:tabs>
        <w:numPr>
          <w:ilvl w:val="0"/>
          <w:numId w:val="3"/>
        </w:numPr>
        <w:rPr>
          <w:rFonts w:ascii="Arial" w:cs="Arial" w:eastAsia="Arial" w:hAnsi="Arial"/>
          <w:sz w:val="22"/>
          <w:szCs w:val="22"/>
          <w:color w:val="auto"/>
        </w:rPr>
      </w:pPr>
      <w:r>
        <w:rPr>
          <w:rFonts w:ascii="Arial" w:cs="Arial" w:eastAsia="Arial" w:hAnsi="Arial"/>
          <w:sz w:val="22"/>
          <w:szCs w:val="22"/>
          <w:color w:val="auto"/>
        </w:rPr>
        <w:t>A registration statement on Form S-3 (File No. 333-211266), as amended (the “Initial Registration Statement”), in respect of the Shares has been filed with the Securities and Exchange Commission (the “Commission”) not earlier than three years prior to the date hereof; the Initial Registration Statement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1127125</wp:posOffset>
            </wp:positionV>
            <wp:extent cx="517144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jc w:val="both"/>
        <w:ind w:left="660" w:right="219"/>
        <w:spacing w:after="0" w:line="244" w:lineRule="exact"/>
        <w:rPr>
          <w:sz w:val="20"/>
          <w:szCs w:val="20"/>
          <w:color w:val="auto"/>
        </w:rPr>
      </w:pPr>
      <w:r>
        <w:rPr>
          <w:rFonts w:ascii="Arial" w:cs="Arial" w:eastAsia="Arial" w:hAnsi="Arial"/>
          <w:sz w:val="21"/>
          <w:szCs w:val="21"/>
          <w:color w:val="auto"/>
        </w:rPr>
        <w:t>post</w:t>
      </w:r>
      <w:r>
        <w:rPr>
          <w:rFonts w:ascii="MS PGothic" w:cs="MS PGothic" w:eastAsia="MS PGothic" w:hAnsi="MS PGothic"/>
          <w:sz w:val="21"/>
          <w:szCs w:val="21"/>
          <w:color w:val="auto"/>
        </w:rPr>
        <w:t>‑</w:t>
      </w:r>
      <w:r>
        <w:rPr>
          <w:rFonts w:ascii="Arial" w:cs="Arial" w:eastAsia="Arial" w:hAnsi="Arial"/>
          <w:sz w:val="21"/>
          <w:szCs w:val="21"/>
          <w:color w:val="auto"/>
        </w:rPr>
        <w:t>effective amendment thereto, each in the form heretofore delivered to you for each of the other Underwriters, and, excluding exhibits to the Initial Registration Statement, but including all documents incorporated by reference in the prospectus included therein,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or any document incorporated by reference therein has heretofore been filed, or transmitted for filing, with the Commission (other than prospectuses filed pursuant to Rule 424(b) of the rules and regulations of the Commission under the Act, each in the form heretofore delivered to the Representatives); and no stop order suspending the effectiveness of the Initial Registration Statement, any post-effective amendment thereto or any part thereof or the Rule 462(b) Registration Statement, if any, has been issued and no proceeding for that purpose has been initiated or threatened by the Commission (the base prospectus filed as part of the Initial Registration Statement, in the form in which it has most recently been filed with the Commission on or prior to the date of this Agreement relating to the Shares, is hereinafter called the “Basic Prospectus”; any preliminary prospectus (including any preliminary prospectus supplement) relating to the Shares filed with the Commission pursuant to Rule 424(b) under the Act is hereinafter called a “Preliminary Prospectus”; the various parts of the Initial Registration Statement and the Rule 462(b) Registration Statement, if any, including all exhibits thereto and including any prospectus supplement relating to the Shares that is filed with the Commission and deemed by virtue of Rule 430B under the Act to be part of the Initial Registration Statement, each as amended at the time such part of the Initial Registration Statement became effective or such part of the Rule 462(b) Registration Statement, if any, became or hereafter becomes effective, are hereinafter collectively called the “Registration Statement”; the Basic Prospectus, as amended and supplemented, immediately prior to the Applicable Time (as defined in Section 1(c) hereof), is hereinafter called the “Pricing Prospectus”; the form of the final prospectus relating to the Shares filed with Commission pursuant to Rule 424(b) under the Act in accordance with Section 5(a) hereof is hereinafter called the “Prospectus”; any reference herein to the Basic Prospectus, the Pricing Prospectus, any Preliminary Prospectus or the Prospectus shall be deemed to refer to and include the documents incorporated by reference therein pursuant to Item 12 of Form S-3, as of the date of such prospectus; any reference to any amendment or supplement to the Basic Prospectus, any Preliminary Prospectus or the Prospectus shall be deemed to refer to and include any post-effective amendment to the Registration Statement, any prospectus supplement relating to the Shares filed with the Commission pursuant to Rule 424(b) under the Act, and any documents filed under the Securities Exchange Act of 1934, as amended (the “Exchange Act”), and incorporated therein, in each case after the date of the Basic Prospectus, such Preliminary Prospectus or the Prospectus, as the case may be; any reference to any amendment to the</w:t>
      </w:r>
    </w:p>
    <w:p>
      <w:pPr>
        <w:spacing w:after="0" w:line="200" w:lineRule="exact"/>
        <w:rPr>
          <w:sz w:val="20"/>
          <w:szCs w:val="20"/>
          <w:color w:val="auto"/>
        </w:rPr>
      </w:pPr>
    </w:p>
    <w:p>
      <w:pPr>
        <w:spacing w:after="0" w:line="242"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 w:name="page7"/>
    <w:bookmarkEnd w:id="6"/>
    <w:p>
      <w:pPr>
        <w:jc w:val="both"/>
        <w:ind w:left="660" w:right="219"/>
        <w:spacing w:after="0" w:line="232" w:lineRule="auto"/>
        <w:rPr>
          <w:sz w:val="20"/>
          <w:szCs w:val="20"/>
          <w:color w:val="auto"/>
        </w:rPr>
      </w:pPr>
      <w:r>
        <w:rPr>
          <w:rFonts w:ascii="Arial" w:cs="Arial" w:eastAsia="Arial" w:hAnsi="Arial"/>
          <w:sz w:val="22"/>
          <w:szCs w:val="22"/>
          <w:color w:val="auto"/>
        </w:rPr>
        <w:t>Registration Statement shall be deemed to refer to and include any annual report of the Company filed pursuant to Section 13(a) or 15(d) of the Exchange Act after the effective date of the Registration Statement that is incorporated by reference in the Registration Statement; and any “issuer free writing prospectus” as defined in Rule 433 under the Act relating to the Shares is hereinafter called an “Issuer Free Writing Prospectus”; any oral or written communication with potential investors undertaken in reliance on Section 5(d) of the Act is hereinafter called a “Section 5(d) Communication”; and any Section 5(d) Communication that is a written communication within the meaning of Rule 405 under the Act is hereinafter called a “Section 5(d) Writing”);</w:t>
      </w:r>
    </w:p>
    <w:p>
      <w:pPr>
        <w:spacing w:after="0" w:line="93" w:lineRule="exact"/>
        <w:rPr>
          <w:sz w:val="20"/>
          <w:szCs w:val="20"/>
          <w:color w:val="auto"/>
        </w:rPr>
      </w:pPr>
    </w:p>
    <w:p>
      <w:pPr>
        <w:jc w:val="both"/>
        <w:ind w:left="660" w:right="219" w:firstLine="642"/>
        <w:spacing w:after="0" w:line="232" w:lineRule="auto"/>
        <w:tabs>
          <w:tab w:leader="none" w:pos="2153"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No order preventing or suspending the use of any Preliminary Prospectus or any Issuer Free Writing Prospectus has been issued by the Commission, and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this representation and warranty shall not apply to any statements or omissions made in reliance upon and in conformity with information furnished in writing to the Company by an Underwriter through a Representative expressly for use therein;</w:t>
      </w:r>
    </w:p>
    <w:p>
      <w:pPr>
        <w:spacing w:after="0" w:line="92" w:lineRule="exact"/>
        <w:rPr>
          <w:rFonts w:ascii="Arial" w:cs="Arial" w:eastAsia="Arial" w:hAnsi="Arial"/>
          <w:sz w:val="22"/>
          <w:szCs w:val="22"/>
          <w:color w:val="auto"/>
        </w:rPr>
      </w:pPr>
    </w:p>
    <w:p>
      <w:pPr>
        <w:jc w:val="both"/>
        <w:ind w:left="660" w:right="219" w:firstLine="642"/>
        <w:spacing w:after="0" w:line="231" w:lineRule="auto"/>
        <w:tabs>
          <w:tab w:leader="none" w:pos="1966"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For the purposes of this Agreement, the “Applicable Time” is 5:30 pm (Eastern time) on the date of this Agreement. The Pricing Prospectus, as supplemented by those Issuer Free Writing Prospectuses and other documents and information listed on Schedule II(c) hereto, taken together (collectively, the “Pricing Disclosure Package”),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listed on Schedule II(a) hereto does not conflict with the information contained in the Registration Statement, the Pricing Prospectus or the Prospectus and each such Issuer Free Writing Prospectus and each Section 5(d) Writing listed on Schedule II(b) hereto, each as supplemented by and taken together with the Pricing Disclosure Package as of the Applicable Time, did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this representation and warranty shall not apply to statements or omissions made in the Pricing Disclosure Package, any Issuer Free Writing Prospectus or any Section 5(d) Writing in reliance upon and in conformity with information furnished in writing to the Company by an Underwriter through a Representative expressly for use therein;</w:t>
      </w:r>
    </w:p>
    <w:p>
      <w:pPr>
        <w:spacing w:after="0" w:line="100" w:lineRule="exact"/>
        <w:rPr>
          <w:rFonts w:ascii="Arial" w:cs="Arial" w:eastAsia="Arial" w:hAnsi="Arial"/>
          <w:sz w:val="22"/>
          <w:szCs w:val="22"/>
          <w:color w:val="auto"/>
        </w:rPr>
      </w:pPr>
    </w:p>
    <w:p>
      <w:pPr>
        <w:ind w:left="660" w:right="219" w:firstLine="642"/>
        <w:spacing w:after="0" w:line="238" w:lineRule="auto"/>
        <w:tabs>
          <w:tab w:leader="none" w:pos="1888"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documents incorporated by reference in the Pricing Prospectus and Prospectus, when they became effective or were filed with the Commission, as</w:t>
      </w:r>
    </w:p>
    <w:p>
      <w:pPr>
        <w:spacing w:after="0" w:line="20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 w:name="page8"/>
    <w:bookmarkEnd w:id="7"/>
    <w:p>
      <w:pPr>
        <w:jc w:val="both"/>
        <w:ind w:left="660" w:right="219"/>
        <w:spacing w:after="0" w:line="231" w:lineRule="auto"/>
        <w:rPr>
          <w:sz w:val="20"/>
          <w:szCs w:val="20"/>
          <w:color w:val="auto"/>
        </w:rPr>
      </w:pPr>
      <w:r>
        <w:rPr>
          <w:rFonts w:ascii="Arial" w:cs="Arial" w:eastAsia="Arial" w:hAnsi="Arial"/>
          <w:sz w:val="22"/>
          <w:szCs w:val="22"/>
          <w:color w:val="auto"/>
        </w:rPr>
        <w:t>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through a Representative expressly for use therein; and no such documents were filed with the Commission since the Commission’s close of business on the business day immediately prior to the date of this Agreement and prior to the execution of this Agreement, except as set forth on Schedule II(b) hereto;</w:t>
      </w:r>
    </w:p>
    <w:p>
      <w:pPr>
        <w:spacing w:after="0" w:line="100" w:lineRule="exact"/>
        <w:rPr>
          <w:sz w:val="20"/>
          <w:szCs w:val="20"/>
          <w:color w:val="auto"/>
        </w:rPr>
      </w:pPr>
    </w:p>
    <w:p>
      <w:pPr>
        <w:jc w:val="both"/>
        <w:ind w:left="660" w:right="219" w:firstLine="642"/>
        <w:spacing w:after="0" w:line="233" w:lineRule="auto"/>
        <w:tabs>
          <w:tab w:leader="none" w:pos="1828" w:val="left"/>
        </w:tabs>
        <w:numPr>
          <w:ilvl w:val="0"/>
          <w:numId w:val="5"/>
        </w:numPr>
        <w:rPr>
          <w:rFonts w:ascii="Arial" w:cs="Arial" w:eastAsia="Arial" w:hAnsi="Arial"/>
          <w:sz w:val="22"/>
          <w:szCs w:val="22"/>
          <w:color w:val="auto"/>
        </w:rPr>
      </w:pPr>
      <w:r>
        <w:rPr>
          <w:rFonts w:ascii="Arial" w:cs="Arial" w:eastAsia="Arial" w:hAnsi="Arial"/>
          <w:sz w:val="22"/>
          <w:szCs w:val="22"/>
          <w:color w:val="auto"/>
        </w:rPr>
        <w:t>From the time of the initial filing of a registration statement relating to the Shares with the Commission (or, if earlier, the first date on which a Section 5(d) Communication was made) through the date hereof, the Company has been and is an “emerging growth company” as defined in Section 2(a)(19) of the Act (an “Emerging Growth Company”);</w:t>
      </w:r>
    </w:p>
    <w:p>
      <w:pPr>
        <w:spacing w:after="0" w:line="95" w:lineRule="exact"/>
        <w:rPr>
          <w:rFonts w:ascii="Arial" w:cs="Arial" w:eastAsia="Arial" w:hAnsi="Arial"/>
          <w:sz w:val="22"/>
          <w:szCs w:val="22"/>
          <w:color w:val="auto"/>
        </w:rPr>
      </w:pPr>
    </w:p>
    <w:p>
      <w:pPr>
        <w:jc w:val="both"/>
        <w:ind w:left="660" w:right="219" w:firstLine="642"/>
        <w:spacing w:after="0" w:line="231" w:lineRule="auto"/>
        <w:tabs>
          <w:tab w:leader="none" w:pos="1969"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and as of the applicable filing date as to the Prospectus and any amendment or supplement thereto,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through a Representative expressly for use therein;</w:t>
      </w:r>
    </w:p>
    <w:p>
      <w:pPr>
        <w:spacing w:after="0" w:line="103" w:lineRule="exact"/>
        <w:rPr>
          <w:rFonts w:ascii="Arial" w:cs="Arial" w:eastAsia="Arial" w:hAnsi="Arial"/>
          <w:sz w:val="22"/>
          <w:szCs w:val="22"/>
          <w:color w:val="auto"/>
        </w:rPr>
      </w:pPr>
    </w:p>
    <w:p>
      <w:pPr>
        <w:jc w:val="both"/>
        <w:ind w:left="660" w:right="219" w:firstLine="642"/>
        <w:spacing w:after="0" w:line="232" w:lineRule="auto"/>
        <w:tabs>
          <w:tab w:leader="none" w:pos="1849" w:val="left"/>
        </w:tabs>
        <w:numPr>
          <w:ilvl w:val="0"/>
          <w:numId w:val="5"/>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sustained since the date of the latest audited financial statements included or incorporated by reference in the Pricing Prospectus any material loss or material interference with its business from fire, explosion, flood or other calamity, whether or not covered by insurance, or from any labor dispute or court or governmental action, order or decree, otherwise than as set forth or contemplated in the Registration Statement and the Pricing Prospectus; and, since the respective dates as of which information</w:t>
      </w:r>
    </w:p>
    <w:p>
      <w:pPr>
        <w:spacing w:after="0" w:line="206"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 w:name="page9"/>
    <w:bookmarkEnd w:id="8"/>
    <w:p>
      <w:pPr>
        <w:jc w:val="both"/>
        <w:ind w:left="660" w:right="219"/>
        <w:spacing w:after="0" w:line="244" w:lineRule="exact"/>
        <w:rPr>
          <w:sz w:val="20"/>
          <w:szCs w:val="20"/>
          <w:color w:val="auto"/>
        </w:rPr>
      </w:pPr>
      <w:r>
        <w:rPr>
          <w:rFonts w:ascii="Arial" w:cs="Arial" w:eastAsia="Arial" w:hAnsi="Arial"/>
          <w:sz w:val="22"/>
          <w:szCs w:val="22"/>
          <w:color w:val="auto"/>
        </w:rPr>
        <w:t>is given in the Registration Statement and the Pricing Prospectus, (i) there has not been any change in the capital stock (other than as a result of the exercise of stock options or the award of stock options or restricted stock in the ordinary course of business pursuant to the Company’s equity plans that are described or incorporated by reference in the Pricing Prospectus) or long</w:t>
      </w:r>
      <w:r>
        <w:rPr>
          <w:rFonts w:ascii="MS PGothic" w:cs="MS PGothic" w:eastAsia="MS PGothic" w:hAnsi="MS PGothic"/>
          <w:sz w:val="22"/>
          <w:szCs w:val="22"/>
          <w:color w:val="auto"/>
        </w:rPr>
        <w:t>‑</w:t>
      </w:r>
      <w:r>
        <w:rPr>
          <w:rFonts w:ascii="Arial" w:cs="Arial" w:eastAsia="Arial" w:hAnsi="Arial"/>
          <w:sz w:val="22"/>
          <w:szCs w:val="22"/>
          <w:color w:val="auto"/>
        </w:rPr>
        <w:t>term debt of the Company or any of its subsidiaries, (ii) neither the Company nor any of its subsidiaries has incurred any liability or obligation, direct or contingent, other than liabilities and obligations which were incurred in the ordinary course of business, (iii) neither the Company nor any of its subsidiaries has declared or paid any dividends on its capital stock, and (iv) there has not been any material adverse change, or any development involving a prospective material adverse change, in or affecting the general affairs, management, financial position, stockholders’ equity, results of operations or prospects of the Company and its subsidiaries, otherwise than as set forth or contemplated in the Pricing Prospectus;</w:t>
      </w:r>
    </w:p>
    <w:p>
      <w:pPr>
        <w:spacing w:after="0" w:line="102" w:lineRule="exact"/>
        <w:rPr>
          <w:sz w:val="20"/>
          <w:szCs w:val="20"/>
          <w:color w:val="auto"/>
        </w:rPr>
      </w:pPr>
    </w:p>
    <w:p>
      <w:pPr>
        <w:jc w:val="both"/>
        <w:ind w:left="660" w:right="219" w:firstLine="642"/>
        <w:spacing w:after="0" w:line="242" w:lineRule="auto"/>
        <w:tabs>
          <w:tab w:leader="none" w:pos="2113" w:val="left"/>
        </w:tabs>
        <w:numPr>
          <w:ilvl w:val="0"/>
          <w:numId w:val="6"/>
        </w:numPr>
        <w:rPr>
          <w:rFonts w:ascii="Arial" w:cs="Arial" w:eastAsia="Arial" w:hAnsi="Arial"/>
          <w:sz w:val="21"/>
          <w:szCs w:val="21"/>
          <w:color w:val="auto"/>
        </w:rPr>
      </w:pPr>
      <w:r>
        <w:rPr>
          <w:rFonts w:ascii="Arial" w:cs="Arial" w:eastAsia="Arial" w:hAnsi="Arial"/>
          <w:sz w:val="21"/>
          <w:szCs w:val="21"/>
          <w:color w:val="auto"/>
        </w:rPr>
        <w:t>Neither the Company nor any of its subsidiaries owns any real property. The Company and its subsidiaries have good and marketable title to all personal property owned by them, in each case free and clear of all liens, encumbrances and defects except such as are described in the Pricing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held, to the Company’s knowledge, under valid, subsisting and enforceable leases (subject to the effects of (i) bankruptcy, insolvency, fraudulent conveyance, fraudulent transfer, reorganization, moratorium or other similar laws relating to or affecting the rights or remedies of creditors generally; (ii) the application of general principles of equity (including, without limitation, concepts of materiality, reasonableness, good faith and fair dealing, regardless of whether enforcement is considered in proceedings at law or in equity); and (iii) applicable law and public policy with respect to rights to indemnity and contribution) with such exceptions as are not material and do not interfere with the use made and proposed to be made of such property and buildings by the Company and its subsidiaries;</w:t>
      </w:r>
    </w:p>
    <w:p>
      <w:pPr>
        <w:spacing w:after="0" w:line="101" w:lineRule="exact"/>
        <w:rPr>
          <w:rFonts w:ascii="Arial" w:cs="Arial" w:eastAsia="Arial" w:hAnsi="Arial"/>
          <w:sz w:val="21"/>
          <w:szCs w:val="21"/>
          <w:color w:val="auto"/>
        </w:rPr>
      </w:pPr>
    </w:p>
    <w:p>
      <w:pPr>
        <w:jc w:val="both"/>
        <w:ind w:left="660" w:right="219" w:firstLine="642"/>
        <w:spacing w:after="0" w:line="232" w:lineRule="auto"/>
        <w:tabs>
          <w:tab w:leader="none" w:pos="1866"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Company has been duly incorporated and is validly existing as a corporation in good standing under the laws of the State of Delaware, with power and authority (corporate and other) to own its properties and conduct its business as described in the Pricing Prospectus, and has been duly qualified as a foreign corporation for the transaction of business and is in good standing under the laws of each other jurisdiction in which it owns or leases properties or conducts any business so as to require such qualification, except where the failure to be so qualified or be in good standing in such jurisdictions would not, individually or in the aggregate, have a material adverse effect on the current or future financial position, stockholders’ equity, results of operations or prospects of the Company (a “Material Adverse Effect”); and each subsidiary of the Company has been duly incorporated</w:t>
      </w:r>
    </w:p>
    <w:p>
      <w:pPr>
        <w:spacing w:after="0" w:line="200"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 w:name="page10"/>
    <w:bookmarkEnd w:id="9"/>
    <w:p>
      <w:pPr>
        <w:ind w:left="660" w:right="219"/>
        <w:spacing w:after="0" w:line="238" w:lineRule="auto"/>
        <w:rPr>
          <w:sz w:val="20"/>
          <w:szCs w:val="20"/>
          <w:color w:val="auto"/>
        </w:rPr>
      </w:pPr>
      <w:r>
        <w:rPr>
          <w:rFonts w:ascii="Arial" w:cs="Arial" w:eastAsia="Arial" w:hAnsi="Arial"/>
          <w:sz w:val="22"/>
          <w:szCs w:val="22"/>
          <w:color w:val="auto"/>
        </w:rPr>
        <w:t>and is validly existing as a corporation in good standing under the laws of its jurisdiction of incorporation;</w:t>
      </w:r>
    </w:p>
    <w:p>
      <w:pPr>
        <w:spacing w:after="0" w:line="92" w:lineRule="exact"/>
        <w:rPr>
          <w:sz w:val="20"/>
          <w:szCs w:val="20"/>
          <w:color w:val="auto"/>
        </w:rPr>
      </w:pPr>
    </w:p>
    <w:p>
      <w:pPr>
        <w:jc w:val="both"/>
        <w:ind w:left="660" w:right="219" w:firstLine="642"/>
        <w:spacing w:after="0" w:line="232" w:lineRule="auto"/>
        <w:tabs>
          <w:tab w:leader="none" w:pos="1831"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Company has an authorized, issued and outstanding capitalization as set forth in the Pricing Prospectus and all of the issued shares of capital stock of the Company have been duly authorized and validly issued and are fully paid and non-assessable and conform to the description of the Stock contained in the Pricing Prospectus and Prospectus; and all of the issued shares of capital stock of each subsidiary of the Company have been duly authorized and validly issued and are fully paid and non-assessable and are owned directly by the Company, free and clear of all liens, encumbrances, equities or claims;</w:t>
      </w:r>
    </w:p>
    <w:p>
      <w:pPr>
        <w:spacing w:after="0" w:line="96" w:lineRule="exact"/>
        <w:rPr>
          <w:rFonts w:ascii="Arial" w:cs="Arial" w:eastAsia="Arial" w:hAnsi="Arial"/>
          <w:sz w:val="22"/>
          <w:szCs w:val="22"/>
          <w:color w:val="auto"/>
        </w:rPr>
      </w:pPr>
    </w:p>
    <w:p>
      <w:pPr>
        <w:jc w:val="both"/>
        <w:ind w:left="660" w:right="219" w:firstLine="642"/>
        <w:spacing w:after="0" w:line="245" w:lineRule="exact"/>
        <w:tabs>
          <w:tab w:leader="none" w:pos="1864" w:val="left"/>
        </w:tabs>
        <w:numPr>
          <w:ilvl w:val="0"/>
          <w:numId w:val="7"/>
        </w:numPr>
        <w:rPr>
          <w:rFonts w:ascii="Arial" w:cs="Arial" w:eastAsia="Arial" w:hAnsi="Arial"/>
          <w:sz w:val="21"/>
          <w:szCs w:val="21"/>
          <w:color w:val="auto"/>
        </w:rPr>
      </w:pPr>
      <w:r>
        <w:rPr>
          <w:rFonts w:ascii="Arial" w:cs="Arial" w:eastAsia="Arial" w:hAnsi="Arial"/>
          <w:sz w:val="21"/>
          <w:szCs w:val="21"/>
          <w:color w:val="auto"/>
        </w:rPr>
        <w:t>The Shares to be issued and sold by the Company to the Underwriters hereunder have been duly and validly authorized and, when issued and delivered against payment therefor as provided herein, will be duly and validly issued and fully paid and non</w:t>
      </w:r>
      <w:r>
        <w:rPr>
          <w:rFonts w:ascii="MS PGothic" w:cs="MS PGothic" w:eastAsia="MS PGothic" w:hAnsi="MS PGothic"/>
          <w:sz w:val="21"/>
          <w:szCs w:val="21"/>
          <w:color w:val="auto"/>
        </w:rPr>
        <w:t>‑</w:t>
      </w:r>
      <w:r>
        <w:rPr>
          <w:rFonts w:ascii="Arial" w:cs="Arial" w:eastAsia="Arial" w:hAnsi="Arial"/>
          <w:sz w:val="21"/>
          <w:szCs w:val="21"/>
          <w:color w:val="auto"/>
        </w:rPr>
        <w:t>assessable and will conform to the description of the Stock contained in the Prospectus and the issuance of the Shares is not subject to any preemptive, rights of first refusal or similar rights pursuant to the General Corporation Law of the State of Delaware or the Company’s Certificate of Incorporation or Bylaws or any agreement or other instrument to which the Company is a party, except for such rights that have been complied with or effectively waived prior to the date hereof;</w:t>
      </w:r>
    </w:p>
    <w:p>
      <w:pPr>
        <w:spacing w:after="0" w:line="95" w:lineRule="exact"/>
        <w:rPr>
          <w:rFonts w:ascii="Arial" w:cs="Arial" w:eastAsia="Arial" w:hAnsi="Arial"/>
          <w:sz w:val="21"/>
          <w:szCs w:val="21"/>
          <w:color w:val="auto"/>
        </w:rPr>
      </w:pPr>
    </w:p>
    <w:p>
      <w:pPr>
        <w:jc w:val="both"/>
        <w:ind w:left="660" w:right="219" w:firstLine="642"/>
        <w:spacing w:after="0" w:line="231" w:lineRule="auto"/>
        <w:tabs>
          <w:tab w:leader="none" w:pos="1821"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issue and sale of the Shares and the compliance by the Company with this Agreement and the consummation by the Company of the transactions herein contemplated will not conflict with or result in a breach or violation of any of the terms or provisions of, or constitute a default under, (i) any indenture, mortgage, lease,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the Company’s Certificate of Incorporation or Bylaws or (iii) any statute or any order, rule or regulation of any court or governmental agency or body having jurisdiction over the Company or any of its subsidiaries or any of their properties, except in the case of (i) and (iii) for such violations or defaults that would not, individually or in the aggregate, reasonably be expected to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the registration under the Act of the Shares, the approval by the Financial Industry Regulatory Authority (“FINRA”) of the underwriting terms, the approval of the listing of the Shares on the NASDAQ Global Select Market, and such consents, approvals, authorizations, registrations, orders or qualifications as may be required under state securities or Blue Sky laws in connection with the purchase and distribution of the Shares by the Underwriters;</w:t>
      </w:r>
    </w:p>
    <w:p>
      <w:pPr>
        <w:spacing w:after="0" w:line="208"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 w:name="page11"/>
    <w:bookmarkEnd w:id="10"/>
    <w:p>
      <w:pPr>
        <w:jc w:val="both"/>
        <w:ind w:left="660" w:right="219" w:firstLine="642"/>
        <w:spacing w:after="0" w:line="232" w:lineRule="auto"/>
        <w:tabs>
          <w:tab w:leader="none" w:pos="1949" w:val="left"/>
        </w:tabs>
        <w:numPr>
          <w:ilvl w:val="0"/>
          <w:numId w:val="8"/>
        </w:numPr>
        <w:rPr>
          <w:rFonts w:ascii="Arial" w:cs="Arial" w:eastAsia="Arial" w:hAnsi="Arial"/>
          <w:sz w:val="22"/>
          <w:szCs w:val="22"/>
          <w:color w:val="auto"/>
        </w:rPr>
      </w:pPr>
      <w:r>
        <w:rPr>
          <w:rFonts w:ascii="Arial" w:cs="Arial" w:eastAsia="Arial" w:hAnsi="Arial"/>
          <w:sz w:val="22"/>
          <w:szCs w:val="22"/>
          <w:color w:val="auto"/>
        </w:rPr>
        <w:t>Neither the Company nor any of its subsidiaries is (i) in violation of its respective Certificate of Incorporation or Bylaws, (ii)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 or (iii) in violation of any law or statute or any judgment, order, rule or regulation of any court or arbitrator or governmental or regulatory authority (collectively, the “Regulatory Authorities”), except in the case of (ii) and (iii) for such violations or defaults as would not, individually or in the aggregate, reasonably be expected to have a Material Adverse Effect;</w:t>
      </w:r>
    </w:p>
    <w:p>
      <w:pPr>
        <w:spacing w:after="0" w:line="93" w:lineRule="exact"/>
        <w:rPr>
          <w:rFonts w:ascii="Arial" w:cs="Arial" w:eastAsia="Arial" w:hAnsi="Arial"/>
          <w:sz w:val="22"/>
          <w:szCs w:val="22"/>
          <w:color w:val="auto"/>
        </w:rPr>
      </w:pPr>
    </w:p>
    <w:p>
      <w:pPr>
        <w:jc w:val="both"/>
        <w:ind w:left="660" w:right="219" w:firstLine="642"/>
        <w:spacing w:after="0" w:line="232" w:lineRule="auto"/>
        <w:tabs>
          <w:tab w:leader="none" w:pos="1894"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statements set forth in the Pricing Prospectus and the Prospectus under the caption “Description of Capital Stock” insofar as they purport to constitute a summary of the terms of the Stock and under the caption “Underwriting” insofar as they purport to describe the provisions of the laws and documents referred to therein are accurate, materially complete and fair, and the statements set forth in the Pricing Prospectus and the Prospectus under the caption “Material U.S. Federal Income Tax Considerations for Non-U.S. Holders” insofar as they purport to describe the provisions of the laws and documents referred to therein are accurate in all material respects;</w:t>
      </w:r>
    </w:p>
    <w:p>
      <w:pPr>
        <w:spacing w:after="0" w:line="95" w:lineRule="exact"/>
        <w:rPr>
          <w:rFonts w:ascii="Arial" w:cs="Arial" w:eastAsia="Arial" w:hAnsi="Arial"/>
          <w:sz w:val="22"/>
          <w:szCs w:val="22"/>
          <w:color w:val="auto"/>
        </w:rPr>
      </w:pPr>
    </w:p>
    <w:p>
      <w:pPr>
        <w:jc w:val="both"/>
        <w:ind w:left="660" w:right="219" w:firstLine="642"/>
        <w:spacing w:after="0" w:line="232" w:lineRule="auto"/>
        <w:tabs>
          <w:tab w:leader="none" w:pos="1892" w:val="left"/>
        </w:tabs>
        <w:numPr>
          <w:ilvl w:val="0"/>
          <w:numId w:val="8"/>
        </w:numPr>
        <w:rPr>
          <w:rFonts w:ascii="Arial" w:cs="Arial" w:eastAsia="Arial" w:hAnsi="Arial"/>
          <w:sz w:val="22"/>
          <w:szCs w:val="22"/>
          <w:color w:val="auto"/>
        </w:rPr>
      </w:pPr>
      <w:r>
        <w:rPr>
          <w:rFonts w:ascii="Arial" w:cs="Arial" w:eastAsia="Arial" w:hAnsi="Arial"/>
          <w:sz w:val="22"/>
          <w:szCs w:val="22"/>
          <w:color w:val="auto"/>
        </w:rPr>
        <w:t>Other than as set forth in the Pricing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reasonably be expected to have a Material Adverse Effect; and, to the best of the Company’s knowledge, no such proceedings are threatened or contemplated by Regulatory Authorities or threatened by others;</w:t>
      </w:r>
    </w:p>
    <w:p>
      <w:pPr>
        <w:spacing w:after="0" w:line="97" w:lineRule="exact"/>
        <w:rPr>
          <w:rFonts w:ascii="Arial" w:cs="Arial" w:eastAsia="Arial" w:hAnsi="Arial"/>
          <w:sz w:val="22"/>
          <w:szCs w:val="22"/>
          <w:color w:val="auto"/>
        </w:rPr>
      </w:pPr>
    </w:p>
    <w:p>
      <w:pPr>
        <w:jc w:val="both"/>
        <w:ind w:left="660" w:right="219" w:firstLine="642"/>
        <w:spacing w:after="0" w:line="247" w:lineRule="auto"/>
        <w:tabs>
          <w:tab w:leader="none" w:pos="1815" w:val="left"/>
        </w:tabs>
        <w:numPr>
          <w:ilvl w:val="0"/>
          <w:numId w:val="8"/>
        </w:numPr>
        <w:rPr>
          <w:rFonts w:ascii="Arial" w:cs="Arial" w:eastAsia="Arial" w:hAnsi="Arial"/>
          <w:sz w:val="21"/>
          <w:szCs w:val="21"/>
          <w:color w:val="auto"/>
        </w:rPr>
      </w:pPr>
      <w:r>
        <w:rPr>
          <w:rFonts w:ascii="Arial" w:cs="Arial" w:eastAsia="Arial" w:hAnsi="Arial"/>
          <w:sz w:val="21"/>
          <w:szCs w:val="21"/>
          <w:color w:val="auto"/>
        </w:rPr>
        <w:t>The Company is not and, after giving effect to the offering and sale of the Shares and the application of the proceeds thereof as described in the Pricing Disclosure Package, will not be an “investment company”, as such term is defined in the Investment Company Act of 1940, as amended (the “Investment Company Act”);</w:t>
      </w:r>
    </w:p>
    <w:p>
      <w:pPr>
        <w:spacing w:after="0" w:line="86" w:lineRule="exact"/>
        <w:rPr>
          <w:rFonts w:ascii="Arial" w:cs="Arial" w:eastAsia="Arial" w:hAnsi="Arial"/>
          <w:sz w:val="21"/>
          <w:szCs w:val="21"/>
          <w:color w:val="auto"/>
        </w:rPr>
      </w:pPr>
    </w:p>
    <w:p>
      <w:pPr>
        <w:jc w:val="both"/>
        <w:ind w:left="660" w:right="219" w:firstLine="642"/>
        <w:spacing w:after="0" w:line="235" w:lineRule="auto"/>
        <w:tabs>
          <w:tab w:leader="none" w:pos="1869" w:val="left"/>
        </w:tabs>
        <w:numPr>
          <w:ilvl w:val="0"/>
          <w:numId w:val="8"/>
        </w:numPr>
        <w:rPr>
          <w:rFonts w:ascii="Arial" w:cs="Arial" w:eastAsia="Arial" w:hAnsi="Arial"/>
          <w:sz w:val="22"/>
          <w:szCs w:val="22"/>
          <w:color w:val="auto"/>
        </w:rPr>
      </w:pPr>
      <w:r>
        <w:rPr>
          <w:rFonts w:ascii="Arial" w:cs="Arial" w:eastAsia="Arial" w:hAnsi="Arial"/>
          <w:sz w:val="22"/>
          <w:szCs w:val="22"/>
          <w:color w:val="auto"/>
        </w:rPr>
        <w:t>At the time of filing the Initial Registration Statement the Company was not and, as of the date hereof is not an “ineligible issuer,” as defined under Rule 405 under the Act;</w:t>
      </w:r>
    </w:p>
    <w:p>
      <w:pPr>
        <w:spacing w:after="0" w:line="94" w:lineRule="exact"/>
        <w:rPr>
          <w:rFonts w:ascii="Arial" w:cs="Arial" w:eastAsia="Arial" w:hAnsi="Arial"/>
          <w:sz w:val="22"/>
          <w:szCs w:val="22"/>
          <w:color w:val="auto"/>
        </w:rPr>
      </w:pPr>
    </w:p>
    <w:p>
      <w:pPr>
        <w:jc w:val="both"/>
        <w:ind w:left="660" w:right="219" w:firstLine="642"/>
        <w:spacing w:after="0" w:line="235" w:lineRule="auto"/>
        <w:tabs>
          <w:tab w:leader="none" w:pos="1793" w:val="left"/>
        </w:tabs>
        <w:numPr>
          <w:ilvl w:val="0"/>
          <w:numId w:val="8"/>
        </w:numPr>
        <w:rPr>
          <w:rFonts w:ascii="Arial" w:cs="Arial" w:eastAsia="Arial" w:hAnsi="Arial"/>
          <w:sz w:val="22"/>
          <w:szCs w:val="22"/>
          <w:color w:val="auto"/>
        </w:rPr>
      </w:pPr>
      <w:r>
        <w:rPr>
          <w:rFonts w:ascii="Arial" w:cs="Arial" w:eastAsia="Arial" w:hAnsi="Arial"/>
          <w:sz w:val="22"/>
          <w:szCs w:val="22"/>
          <w:color w:val="auto"/>
        </w:rPr>
        <w:t>Ernst &amp; Young LLP, who have certified certain financial statements of the Company, is an independent registered public accountant as required by the Act and the rules and regulations of the Commission thereunder;</w:t>
      </w:r>
    </w:p>
    <w:p>
      <w:pPr>
        <w:spacing w:after="0" w:line="94" w:lineRule="exact"/>
        <w:rPr>
          <w:rFonts w:ascii="Arial" w:cs="Arial" w:eastAsia="Arial" w:hAnsi="Arial"/>
          <w:sz w:val="22"/>
          <w:szCs w:val="22"/>
          <w:color w:val="auto"/>
        </w:rPr>
      </w:pPr>
    </w:p>
    <w:p>
      <w:pPr>
        <w:jc w:val="both"/>
        <w:ind w:left="660" w:right="219" w:firstLine="642"/>
        <w:spacing w:after="0" w:line="234" w:lineRule="auto"/>
        <w:tabs>
          <w:tab w:leader="none" w:pos="2008"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Company maintains a system of internal control over financial reporting (as such term is defined in Rule 13a-15(f) under the Exchange Act) that complies with the requirements of the Exchange Act applicable to the Company and has been designed by the Company’s principal executive officer and principal</w:t>
      </w:r>
    </w:p>
    <w:p>
      <w:pPr>
        <w:spacing w:after="0" w:line="202"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 w:name="page12"/>
    <w:bookmarkEnd w:id="11"/>
    <w:p>
      <w:pPr>
        <w:jc w:val="both"/>
        <w:ind w:left="660" w:right="219"/>
        <w:spacing w:after="0" w:line="231" w:lineRule="auto"/>
        <w:rPr>
          <w:sz w:val="20"/>
          <w:szCs w:val="20"/>
          <w:color w:val="auto"/>
        </w:rPr>
      </w:pPr>
      <w:r>
        <w:rPr>
          <w:rFonts w:ascii="Arial" w:cs="Arial" w:eastAsia="Arial" w:hAnsi="Arial"/>
          <w:sz w:val="22"/>
          <w:szCs w:val="22"/>
          <w:color w:val="auto"/>
        </w:rPr>
        <w:t>financial officer, or under their supervision, to provide reasonable assurance regarding the reliability of financial reporting and the preparation of financial statements for external purposes in accordance with U.S. generally accepted accounting principles (“GAAP”). The Company’s internal accounting controls have been designed to provide reasonable assurance regarding the reliability of financial reporting and the preparation of financial statements for external purposes in accordance with GAAP. The Company’s internal accounting controls are sufficient to provide reasonable assurance that (i) transactions are executed in accordance with the general or specific authorizations of the Company’s management; (ii) transactions are recorded as necessary to permit preparation of financial statements in conformity with GAAP and to maintain asset accountability; (iii) access to assets is permitted only in accordance with the general or specific authorization of the Company’s management; (iv) the recorded accountability for assets is compared with the existing assets at reasonable intervals and appropriate action is taken with respect to any differences. The Company is not aware of any material weaknesses in its internal control over financial reporting;</w:t>
      </w:r>
    </w:p>
    <w:p>
      <w:pPr>
        <w:spacing w:after="0" w:line="101" w:lineRule="exact"/>
        <w:rPr>
          <w:sz w:val="20"/>
          <w:szCs w:val="20"/>
          <w:color w:val="auto"/>
        </w:rPr>
      </w:pPr>
    </w:p>
    <w:p>
      <w:pPr>
        <w:jc w:val="both"/>
        <w:ind w:left="660" w:right="219" w:firstLine="642"/>
        <w:spacing w:after="0" w:line="233" w:lineRule="auto"/>
        <w:tabs>
          <w:tab w:leader="none" w:pos="1934" w:val="left"/>
        </w:tabs>
        <w:numPr>
          <w:ilvl w:val="0"/>
          <w:numId w:val="9"/>
        </w:numPr>
        <w:rPr>
          <w:rFonts w:ascii="Arial" w:cs="Arial" w:eastAsia="Arial" w:hAnsi="Arial"/>
          <w:sz w:val="22"/>
          <w:szCs w:val="22"/>
          <w:color w:val="auto"/>
        </w:rPr>
      </w:pPr>
      <w:r>
        <w:rPr>
          <w:rFonts w:ascii="Arial" w:cs="Arial" w:eastAsia="Arial" w:hAnsi="Arial"/>
          <w:sz w:val="22"/>
          <w:szCs w:val="22"/>
          <w:color w:val="auto"/>
        </w:rPr>
        <w:t>Since the date of the latest audited financial statements included or incorporated by reference in the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95" w:lineRule="exact"/>
        <w:rPr>
          <w:rFonts w:ascii="Arial" w:cs="Arial" w:eastAsia="Arial" w:hAnsi="Arial"/>
          <w:sz w:val="22"/>
          <w:szCs w:val="22"/>
          <w:color w:val="auto"/>
        </w:rPr>
      </w:pPr>
    </w:p>
    <w:p>
      <w:pPr>
        <w:jc w:val="both"/>
        <w:ind w:left="660" w:right="219" w:firstLine="642"/>
        <w:spacing w:after="0" w:line="232" w:lineRule="auto"/>
        <w:tabs>
          <w:tab w:leader="none" w:pos="193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Company maintains disclosure controls and procedures (as such term is defined in Rule 13a-15(e) under the Exchange Act) that are designed to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97" w:lineRule="exact"/>
        <w:rPr>
          <w:rFonts w:ascii="Arial" w:cs="Arial" w:eastAsia="Arial" w:hAnsi="Arial"/>
          <w:sz w:val="22"/>
          <w:szCs w:val="22"/>
          <w:color w:val="auto"/>
        </w:rPr>
      </w:pPr>
    </w:p>
    <w:p>
      <w:pPr>
        <w:jc w:val="both"/>
        <w:ind w:left="660" w:right="219" w:firstLine="642"/>
        <w:spacing w:after="0" w:line="233" w:lineRule="auto"/>
        <w:tabs>
          <w:tab w:leader="none" w:pos="1858"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w:t>
      </w:r>
    </w:p>
    <w:p>
      <w:pPr>
        <w:spacing w:after="0" w:line="95" w:lineRule="exact"/>
        <w:rPr>
          <w:rFonts w:ascii="Arial" w:cs="Arial" w:eastAsia="Arial" w:hAnsi="Arial"/>
          <w:sz w:val="22"/>
          <w:szCs w:val="22"/>
          <w:color w:val="auto"/>
        </w:rPr>
      </w:pPr>
    </w:p>
    <w:p>
      <w:pPr>
        <w:jc w:val="both"/>
        <w:ind w:left="660" w:right="219" w:firstLine="642"/>
        <w:spacing w:after="0" w:line="232" w:lineRule="auto"/>
        <w:tabs>
          <w:tab w:leader="none" w:pos="1956" w:val="left"/>
        </w:tabs>
        <w:numPr>
          <w:ilvl w:val="0"/>
          <w:numId w:val="9"/>
        </w:numPr>
        <w:rPr>
          <w:rFonts w:ascii="Arial" w:cs="Arial" w:eastAsia="Arial" w:hAnsi="Arial"/>
          <w:sz w:val="22"/>
          <w:szCs w:val="22"/>
          <w:color w:val="auto"/>
        </w:rPr>
      </w:pPr>
      <w:r>
        <w:rPr>
          <w:rFonts w:ascii="Arial" w:cs="Arial" w:eastAsia="Arial" w:hAnsi="Arial"/>
          <w:sz w:val="22"/>
          <w:szCs w:val="22"/>
          <w:color w:val="auto"/>
        </w:rPr>
        <w:t>Except as disclosed in the Pricing Prospectus, the Company owns or has valid, binding and enforceable licenses or other rights under the patents and patent applications, copyrights, trademarks, trademark registrations, service marks, service mark registrations, trade names, service names, know-how (including trade secrets and other unpatented and/or unpatentable proprietary or confidential information, systems or procedures) and other intellectual property (collectively, “Intellectual Property”) that is necessary for, or used in the conduct of, or the proposed conduct of, the business of the Company in the manner described in the Pricing Prospectus (collectively, the “Company Intellectual Property”). To the</w:t>
      </w:r>
    </w:p>
    <w:p>
      <w:pPr>
        <w:spacing w:after="0" w:line="203"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 w:name="page13"/>
    <w:bookmarkEnd w:id="12"/>
    <w:p>
      <w:pPr>
        <w:jc w:val="both"/>
        <w:ind w:left="660" w:right="219"/>
        <w:spacing w:after="0" w:line="241" w:lineRule="auto"/>
        <w:rPr>
          <w:sz w:val="20"/>
          <w:szCs w:val="20"/>
          <w:color w:val="auto"/>
        </w:rPr>
      </w:pPr>
      <w:r>
        <w:rPr>
          <w:rFonts w:ascii="Arial" w:cs="Arial" w:eastAsia="Arial" w:hAnsi="Arial"/>
          <w:sz w:val="21"/>
          <w:szCs w:val="21"/>
          <w:color w:val="auto"/>
        </w:rPr>
        <w:t>Company’s knowledge, none of the patents and patent applications contained in the Company Intellectual Property, are invalid or unenforceable, in whole or in part, and the Company is unaware of any facts that would form a reasonable basis for such a determination. None of the rights within the Company Intellectual Property, other than patents and patent applications, are invalid or unenforceable, in whole or in part, and the Company is unaware of any facts that would form a reasonable basis for such a determination. Except as disclosed in the Pricing Prospectus, the Company is not obligated to pay a material royalty, grant a license or provide other material consideration to any third party in connection with the Company Intellectual Property. There is no pending or, to the Company’s knowledge, threatened action, suit, proceeding or claim by a third party (i) challenging the Company’s rights in or to any Company Intellectual Property, including with respect to ownership and inventorship;</w:t>
      </w:r>
    </w:p>
    <w:p>
      <w:pPr>
        <w:spacing w:after="0" w:line="7" w:lineRule="exact"/>
        <w:rPr>
          <w:sz w:val="20"/>
          <w:szCs w:val="20"/>
          <w:color w:val="auto"/>
        </w:rPr>
      </w:pPr>
    </w:p>
    <w:p>
      <w:pPr>
        <w:jc w:val="both"/>
        <w:ind w:left="660" w:right="219" w:hanging="6"/>
        <w:spacing w:after="0" w:line="241" w:lineRule="auto"/>
        <w:tabs>
          <w:tab w:leader="none" w:pos="1028" w:val="left"/>
        </w:tabs>
        <w:numPr>
          <w:ilvl w:val="0"/>
          <w:numId w:val="10"/>
        </w:numPr>
        <w:rPr>
          <w:rFonts w:ascii="Arial" w:cs="Arial" w:eastAsia="Arial" w:hAnsi="Arial"/>
          <w:sz w:val="21"/>
          <w:szCs w:val="21"/>
          <w:color w:val="auto"/>
        </w:rPr>
      </w:pPr>
      <w:r>
        <w:rPr>
          <w:rFonts w:ascii="Arial" w:cs="Arial" w:eastAsia="Arial" w:hAnsi="Arial"/>
          <w:sz w:val="21"/>
          <w:szCs w:val="21"/>
          <w:color w:val="auto"/>
        </w:rPr>
        <w:t>challenging the validity, enforceability or scope of any Company Intellectual Property; or (iii) asserting that the Company has infringed, misappropriated or otherwise violated, or would, upon the commercialization of any products described in the Pricing Prospectus as under development, infringe, misappropriate or otherwise violate, any Intellectual Property rights of others; and, in each of the foregoing cases, the Company (a) is unaware of any facts that would form a reasonable basis for any such action, suit, proceeding or claim and (b) has not received any written notice alleging any such claim or conflict. To the knowledge of the Company, (1) neither the commercial development nor the sale of any of the products, proposed products or processes of the Company, as described in the Pricing Prospectus, infringes, misappropriates or otherwise violates, or would, upon the commercialization of such products or proposed products, infringe, misappropriate or otherwise violate, any Intellectual Property rights of any third party;</w:t>
      </w:r>
    </w:p>
    <w:p>
      <w:pPr>
        <w:spacing w:after="0" w:line="7" w:lineRule="exact"/>
        <w:rPr>
          <w:rFonts w:ascii="Arial" w:cs="Arial" w:eastAsia="Arial" w:hAnsi="Arial"/>
          <w:sz w:val="21"/>
          <w:szCs w:val="21"/>
          <w:color w:val="auto"/>
        </w:rPr>
      </w:pPr>
    </w:p>
    <w:p>
      <w:pPr>
        <w:jc w:val="both"/>
        <w:ind w:left="660" w:right="219"/>
        <w:spacing w:after="0" w:line="230" w:lineRule="auto"/>
        <w:rPr>
          <w:rFonts w:ascii="Arial" w:cs="Arial" w:eastAsia="Arial" w:hAnsi="Arial"/>
          <w:sz w:val="21"/>
          <w:szCs w:val="21"/>
          <w:color w:val="auto"/>
        </w:rPr>
      </w:pPr>
      <w:r>
        <w:rPr>
          <w:rFonts w:ascii="Arial" w:cs="Arial" w:eastAsia="Arial" w:hAnsi="Arial"/>
          <w:sz w:val="22"/>
          <w:szCs w:val="22"/>
          <w:color w:val="auto"/>
        </w:rPr>
        <w:t>(2) the Company believes it can acquire, on reasonable terms, any licenses under third-party Intellectual Property that may be necessary for or used in its business, as currently conducted or as proposed to be conducted, as described in the Pricing Prospectus; (3) no third party has any ownership right in or to any Company Intellectual Property that is owned by the Company, other than any co-owner of a patent or patent application within the Company Intellectual Property who is listed on the records of the U.S. Patent and Trademark Office (the “USPTO”) as co-owner of such patent or named in such patent application; (4) no third party has any ownership right in or to any Company Intellectual Property, in any field of use, other than the respective licensor to the Company of such Company Intellectual Property;</w:t>
      </w:r>
    </w:p>
    <w:p>
      <w:pPr>
        <w:spacing w:after="0" w:line="6" w:lineRule="exact"/>
        <w:rPr>
          <w:rFonts w:ascii="Arial" w:cs="Arial" w:eastAsia="Arial" w:hAnsi="Arial"/>
          <w:sz w:val="21"/>
          <w:szCs w:val="21"/>
          <w:color w:val="auto"/>
        </w:rPr>
      </w:pPr>
    </w:p>
    <w:p>
      <w:pPr>
        <w:jc w:val="both"/>
        <w:ind w:left="660" w:right="219"/>
        <w:spacing w:after="0" w:line="241" w:lineRule="auto"/>
        <w:rPr>
          <w:rFonts w:ascii="Arial" w:cs="Arial" w:eastAsia="Arial" w:hAnsi="Arial"/>
          <w:sz w:val="21"/>
          <w:szCs w:val="21"/>
          <w:color w:val="auto"/>
        </w:rPr>
      </w:pPr>
      <w:r>
        <w:rPr>
          <w:rFonts w:ascii="Arial" w:cs="Arial" w:eastAsia="Arial" w:hAnsi="Arial"/>
          <w:sz w:val="21"/>
          <w:szCs w:val="21"/>
          <w:color w:val="auto"/>
        </w:rPr>
        <w:t>(5) no employee of the Company is in or has ever been in violation, in any material respect, of any term of any employment contract, patent disclosure agreement, invention assignment agreement, non-competition agreement, non-solicitation agreement, nondisclosure agreement or other restrictive covenant to or with a former employer where the basis of such violation relates to such employee’s employment, or to actions undertaken by the employee while employed, with the Company; and</w:t>
      </w:r>
    </w:p>
    <w:p>
      <w:pPr>
        <w:spacing w:after="0" w:line="3" w:lineRule="exact"/>
        <w:rPr>
          <w:rFonts w:ascii="Arial" w:cs="Arial" w:eastAsia="Arial" w:hAnsi="Arial"/>
          <w:sz w:val="21"/>
          <w:szCs w:val="21"/>
          <w:color w:val="auto"/>
        </w:rPr>
      </w:pPr>
    </w:p>
    <w:p>
      <w:pPr>
        <w:jc w:val="both"/>
        <w:ind w:left="660" w:right="219"/>
        <w:spacing w:after="0" w:line="235" w:lineRule="auto"/>
        <w:rPr>
          <w:rFonts w:ascii="Arial" w:cs="Arial" w:eastAsia="Arial" w:hAnsi="Arial"/>
          <w:sz w:val="21"/>
          <w:szCs w:val="21"/>
          <w:color w:val="auto"/>
        </w:rPr>
      </w:pPr>
      <w:r>
        <w:rPr>
          <w:rFonts w:ascii="Arial" w:cs="Arial" w:eastAsia="Arial" w:hAnsi="Arial"/>
          <w:sz w:val="22"/>
          <w:szCs w:val="22"/>
          <w:color w:val="auto"/>
        </w:rPr>
        <w:t>(6) each current and former employee and consultant of the Company (A) has executed an inventions assignment and confidentiality agreement with the Company, on or about the respective date of hire,</w:t>
      </w:r>
    </w:p>
    <w:p>
      <w:pPr>
        <w:spacing w:after="0" w:line="202"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 w:name="page14"/>
    <w:bookmarkEnd w:id="13"/>
    <w:p>
      <w:pPr>
        <w:jc w:val="both"/>
        <w:ind w:left="660" w:right="219"/>
        <w:spacing w:after="0" w:line="233" w:lineRule="auto"/>
        <w:rPr>
          <w:sz w:val="20"/>
          <w:szCs w:val="20"/>
          <w:color w:val="auto"/>
        </w:rPr>
      </w:pPr>
      <w:r>
        <w:rPr>
          <w:rFonts w:ascii="Arial" w:cs="Arial" w:eastAsia="Arial" w:hAnsi="Arial"/>
          <w:sz w:val="22"/>
          <w:szCs w:val="22"/>
          <w:color w:val="auto"/>
        </w:rPr>
        <w:t>in substantially the form made available to the Underwriter and its counsel; and (B) has assigned or agreed to assign to the Company any and all Intellectual Property rights he or she may possess or may have possessed that are related to the Company’s business, as currently conducted and as proposed to be conducted, as described in the Pricing Prospectus;</w:t>
      </w:r>
    </w:p>
    <w:p>
      <w:pPr>
        <w:spacing w:after="0" w:line="95" w:lineRule="exact"/>
        <w:rPr>
          <w:sz w:val="20"/>
          <w:szCs w:val="20"/>
          <w:color w:val="auto"/>
        </w:rPr>
      </w:pPr>
    </w:p>
    <w:p>
      <w:pPr>
        <w:jc w:val="both"/>
        <w:ind w:left="660" w:right="219" w:firstLine="642"/>
        <w:spacing w:after="0" w:line="243" w:lineRule="auto"/>
        <w:tabs>
          <w:tab w:leader="none" w:pos="1799" w:val="left"/>
        </w:tabs>
        <w:numPr>
          <w:ilvl w:val="0"/>
          <w:numId w:val="11"/>
        </w:numPr>
        <w:rPr>
          <w:rFonts w:ascii="Arial" w:cs="Arial" w:eastAsia="Arial" w:hAnsi="Arial"/>
          <w:sz w:val="21"/>
          <w:szCs w:val="21"/>
          <w:color w:val="auto"/>
        </w:rPr>
      </w:pPr>
      <w:r>
        <w:rPr>
          <w:rFonts w:ascii="Arial" w:cs="Arial" w:eastAsia="Arial" w:hAnsi="Arial"/>
          <w:sz w:val="21"/>
          <w:szCs w:val="21"/>
          <w:color w:val="auto"/>
        </w:rPr>
        <w:t>All patents and patent applications owned by or licensed to the Company or under which the Company has rights have, to the knowledge of the Company, been duly and properly filed and maintained; to the knowledge of the Company, the parties prosecuting such applications have complied with their duty of candor and disclosure to the USPTO in connection with such applications; and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w:t>
      </w:r>
    </w:p>
    <w:p>
      <w:pPr>
        <w:spacing w:after="0" w:line="95" w:lineRule="exact"/>
        <w:rPr>
          <w:rFonts w:ascii="Arial" w:cs="Arial" w:eastAsia="Arial" w:hAnsi="Arial"/>
          <w:sz w:val="21"/>
          <w:szCs w:val="21"/>
          <w:color w:val="auto"/>
        </w:rPr>
      </w:pPr>
    </w:p>
    <w:p>
      <w:pPr>
        <w:jc w:val="both"/>
        <w:ind w:left="660" w:right="219" w:firstLine="642"/>
        <w:spacing w:after="0" w:line="231" w:lineRule="auto"/>
        <w:tabs>
          <w:tab w:leader="none" w:pos="1895"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preclinical studies and clinical trials conducted by, on behalf of or sponsored by the Company were and, if still pending are being, conducted in all material respects in accordance with the experimental protocols or clinical trial protocols established for each study or trial and with all applicable local, state and federal laws, rules and regulations, including, without limitation, the Federal Food, Drug, and Cosmetic Act and its applicable implementing regulations at 21 C.F.R. Parts 50, 54, 56, 58, 312, and 812 or the exercise by the U.S. Food and Drug Administration (“FDA”) of enforcement discretion thereto, as applicable, except where the failure to so conduct would not, individually or in the aggregate, reasonably be expected to have a Material Adverse Effect; the descriptions of the results of such studies and trials contained in any Pricing Prospectus or Prospectus did not include any untrue statement of a material fact or omit to state any material fact necessary in order to make the statements therein, in the light of the circumstances under which they were made, not misleading; except to the extent disclosed in the Pricing Prospectus or Prospectus, the Company is not aware of any studies or trials, the results of which are inconsistent with or otherwise call into question the study or trial results described or referred to in the Pricing Prospectus or Prospectus; and neither the FDA nor any applicable foreign Regulatory Agency has commenced, or, to the knowledge of the Company, threatened to initiate, any action to place a hold order on, or otherwise terminate, delay or suspend, any proposed or ongoing preclinical study or clinical investigation conducted or proposed to be conducted by or on behalf of the Company;</w:t>
      </w:r>
    </w:p>
    <w:p>
      <w:pPr>
        <w:spacing w:after="0" w:line="99" w:lineRule="exact"/>
        <w:rPr>
          <w:rFonts w:ascii="Arial" w:cs="Arial" w:eastAsia="Arial" w:hAnsi="Arial"/>
          <w:sz w:val="22"/>
          <w:szCs w:val="22"/>
          <w:color w:val="auto"/>
        </w:rPr>
      </w:pPr>
    </w:p>
    <w:p>
      <w:pPr>
        <w:jc w:val="both"/>
        <w:ind w:left="660" w:right="219" w:firstLine="642"/>
        <w:spacing w:after="0" w:line="233" w:lineRule="auto"/>
        <w:tabs>
          <w:tab w:leader="none" w:pos="18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Company has operated and currently is in compliance in all respects with all applicable Health Care Laws (defined herein), including, without limitation, the rules and regulations of the FDA, the U.S. Department of Health and Human Services Office of Inspector General, the Centers for Medicare &amp; Medicaid Services, the Office for Civil Rights, the Department of Justice or any other governmental agency or body having jurisdiction over the Company or any of its</w:t>
      </w:r>
    </w:p>
    <w:p>
      <w:pPr>
        <w:spacing w:after="0" w:line="20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 w:name="page15"/>
    <w:bookmarkEnd w:id="14"/>
    <w:p>
      <w:pPr>
        <w:jc w:val="both"/>
        <w:ind w:left="660" w:right="219"/>
        <w:spacing w:after="0" w:line="242" w:lineRule="auto"/>
        <w:rPr>
          <w:sz w:val="20"/>
          <w:szCs w:val="20"/>
          <w:color w:val="auto"/>
        </w:rPr>
      </w:pPr>
      <w:r>
        <w:rPr>
          <w:rFonts w:ascii="Arial" w:cs="Arial" w:eastAsia="Arial" w:hAnsi="Arial"/>
          <w:sz w:val="21"/>
          <w:szCs w:val="21"/>
          <w:color w:val="auto"/>
        </w:rPr>
        <w:t>properties (collectively, “Regulatory Authorities”), and has not engaged in activities which are, as applicable, cause for false claims liability, civil penalties, or mandatory or permissive exclusion from Medicare, Medicaid, or any other state or federal health care program. For purposes of this Agreement, “Health Care Laws” shall mean the federal Anti-kickback Statute (42 U.S.C. § 1320a-7b(b)), the Physician Payments Sunshine Act (42 U.S.C. § 1320a-7h), the civil False Claims Act (31 U.S.C. §§ 3729 et seq.), the criminal False Claims Act (42 U.S.C. §§ 1320a-7b(a)), all criminal laws relating to health care fraud and abuse, including but not limited to 18 U.S.C. Sections 286 and 287, and the health care fraud criminal provisions under the Health Insurance Portability and Accountability Act of 1996 (42 U.S.C. § 1320d et seq.) (“HIPAA”), the exclusion laws (42 U.S.C. § 1320a-7), the civil monetary penalties law (42 U.S.C. § 1320a-7a), HIPAA, as amended by the Health Information Technology for Economic and Clinical Health Act (42 U.S.C. §§ 17921 et seq.), Medicare (Title XVIII of the Social Security Act), Medicaid (Title XIX of the Social Security Act), the Federal Food, Drug, and Cosmetic Act (21 U.S.C. §§ 301 et seq.), the regulations promulgated pursuant to such laws, and any similar federal, state and local laws and regulations. The Company has not received any FDA Form 483, notice of adverse finding, warning letter, untitled letter or other correspondence or notice from the FDA or any other Regulatory Authority alleging or asserting noncompliance with any Health Care Laws applicable to the Company. Additionally, the Company is not a party to nor has any ongoing reporting obligations pursuant to any corporate integrity agreements, deferred prosecution agreements, monitoring agreements, consent decrees, settlement orders, plans of correction or similar agreements with or imposed by any Regulatory Authority. Neither the Company, nor, to the knowledge of the Company, any of its respective employees, officers or directors has been excluded, suspended or debarred from participation in any U.S. federal health care program or human clinical research or, is subject to a governmental inquiry, investigation, proceeding, or other similar action that could reasonably be expected to result in debarment, suspension, or exclusion;</w:t>
      </w:r>
    </w:p>
    <w:p>
      <w:pPr>
        <w:spacing w:after="0" w:line="339" w:lineRule="exact"/>
        <w:rPr>
          <w:sz w:val="20"/>
          <w:szCs w:val="20"/>
          <w:color w:val="auto"/>
        </w:rPr>
      </w:pPr>
    </w:p>
    <w:p>
      <w:pPr>
        <w:jc w:val="both"/>
        <w:ind w:left="660" w:right="219" w:firstLine="642"/>
        <w:spacing w:after="0" w:line="231" w:lineRule="auto"/>
        <w:tabs>
          <w:tab w:leader="none" w:pos="2125"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Company possesses all material permits, licenses, approvals, clearances, exemptions, registrations, consents and other authorizations (collectively, “Permits”) issued by the appropriate Regulatory Authorities, including without limitation, all such Permits required by the FDA or any component thereof, necessary to conduct the businesses now operated by it, except where the failure to possess such Permit would not, individually or in the aggregate, reasonably be expected to have a Material Adverse Effect; the Company is in compliance with the terms and conditions of all such Permits, except where the failure to comply would not, individually or in the aggregate, reasonably be expected to have a Material Adverse Effect, and all of the Permits are valid and in full force and effect; the Company has not received notice of proceedings relating to the revocation or material modification of any such Permits and to the knowledge of the Company, no Regulatory Authority granting any such Permit has taken any action to limit, suspend or revoke the same in any material respect.</w:t>
      </w: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 w:name="page16"/>
    <w:bookmarkEnd w:id="15"/>
    <w:p>
      <w:pPr>
        <w:jc w:val="both"/>
        <w:ind w:left="660" w:right="219" w:firstLine="642"/>
        <w:spacing w:after="0" w:line="233" w:lineRule="auto"/>
        <w:tabs>
          <w:tab w:leader="none" w:pos="2082" w:val="left"/>
        </w:tabs>
        <w:numPr>
          <w:ilvl w:val="0"/>
          <w:numId w:val="13"/>
        </w:numPr>
        <w:rPr>
          <w:rFonts w:ascii="Arial" w:cs="Arial" w:eastAsia="Arial" w:hAnsi="Arial"/>
          <w:sz w:val="22"/>
          <w:szCs w:val="22"/>
          <w:color w:val="auto"/>
        </w:rPr>
      </w:pPr>
      <w:r>
        <w:rPr>
          <w:rFonts w:ascii="Arial" w:cs="Arial" w:eastAsia="Arial" w:hAnsi="Arial"/>
          <w:sz w:val="22"/>
          <w:szCs w:val="22"/>
          <w:color w:val="auto"/>
        </w:rPr>
        <w:t>Except as described in the Pricing Prospectus and the Prospectus, there are no contracts, agreements or understandings between the Company and any person granting such person the right to require the Company to file a registration statement under the Act with respect to any securities of the Company owned or to be owned by such person;</w:t>
      </w:r>
    </w:p>
    <w:p>
      <w:pPr>
        <w:spacing w:after="0" w:line="95" w:lineRule="exact"/>
        <w:rPr>
          <w:rFonts w:ascii="Arial" w:cs="Arial" w:eastAsia="Arial" w:hAnsi="Arial"/>
          <w:sz w:val="22"/>
          <w:szCs w:val="22"/>
          <w:color w:val="auto"/>
        </w:rPr>
      </w:pPr>
    </w:p>
    <w:p>
      <w:pPr>
        <w:jc w:val="both"/>
        <w:ind w:left="660" w:right="219" w:firstLine="642"/>
        <w:spacing w:after="0" w:line="231" w:lineRule="auto"/>
        <w:tabs>
          <w:tab w:leader="none" w:pos="1955" w:val="left"/>
        </w:tabs>
        <w:numPr>
          <w:ilvl w:val="0"/>
          <w:numId w:val="13"/>
        </w:numPr>
        <w:rPr>
          <w:rFonts w:ascii="Arial" w:cs="Arial" w:eastAsia="Arial" w:hAnsi="Arial"/>
          <w:sz w:val="22"/>
          <w:szCs w:val="22"/>
          <w:color w:val="auto"/>
        </w:rPr>
      </w:pPr>
      <w:r>
        <w:rPr>
          <w:rFonts w:ascii="Arial" w:cs="Arial" w:eastAsia="Arial" w:hAnsi="Arial"/>
          <w:sz w:val="22"/>
          <w:szCs w:val="22"/>
          <w:color w:val="auto"/>
        </w:rPr>
        <w:t>Except as described in the Pricing Prospectus and the Prospectus, the Company has timely filed all material federal, state, local and foreign income and franchise tax returns required to be filed through the date hereof, subject to permitted extensions, and has paid all material taxes due thereon and, if due and payable, any related or similar assessment, fine or penalty levied against the Company except as may be being contested in good faith and by appropriate proceedings. Except as described in the Pricing Disclosure Package, no material tax deficiency has been determined adversely to the Company, and the Company has not received written notice of any actual or proposed additional material tax assessment from a tax authority of any jurisdiction. The Company has made adequate charges, accruals and reserves in the applicable financial statements referred to in Section 1(ii) in respect of all federal, state, local and foreign taxes not yet due and payable in accordance with GAAP;</w:t>
      </w:r>
    </w:p>
    <w:p>
      <w:pPr>
        <w:spacing w:after="0" w:line="103" w:lineRule="exact"/>
        <w:rPr>
          <w:rFonts w:ascii="Arial" w:cs="Arial" w:eastAsia="Arial" w:hAnsi="Arial"/>
          <w:sz w:val="22"/>
          <w:szCs w:val="22"/>
          <w:color w:val="auto"/>
        </w:rPr>
      </w:pPr>
    </w:p>
    <w:p>
      <w:pPr>
        <w:jc w:val="both"/>
        <w:ind w:left="660" w:right="219" w:firstLine="642"/>
        <w:spacing w:after="0" w:line="232" w:lineRule="auto"/>
        <w:tabs>
          <w:tab w:leader="none" w:pos="1987" w:val="left"/>
        </w:tabs>
        <w:numPr>
          <w:ilvl w:val="0"/>
          <w:numId w:val="13"/>
        </w:numPr>
        <w:rPr>
          <w:rFonts w:ascii="Arial" w:cs="Arial" w:eastAsia="Arial" w:hAnsi="Arial"/>
          <w:sz w:val="22"/>
          <w:szCs w:val="22"/>
          <w:color w:val="auto"/>
        </w:rPr>
      </w:pPr>
      <w:r>
        <w:rPr>
          <w:rFonts w:ascii="Arial" w:cs="Arial" w:eastAsia="Arial" w:hAnsi="Arial"/>
          <w:sz w:val="22"/>
          <w:szCs w:val="22"/>
          <w:color w:val="auto"/>
        </w:rPr>
        <w:t>Neither the Company, any of its subsidiaries, nor, to the knowledge of the Company, any director, officer, agent, employee, affiliate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(iv) violated or is in violation of any provision of the Bribery Act 2010 of the United Kingdom; or (v) made any bribe, rebate, payoff, influence payment, kickback or other unlawful payment;</w:t>
      </w:r>
    </w:p>
    <w:p>
      <w:pPr>
        <w:spacing w:after="0" w:line="93" w:lineRule="exact"/>
        <w:rPr>
          <w:rFonts w:ascii="Arial" w:cs="Arial" w:eastAsia="Arial" w:hAnsi="Arial"/>
          <w:sz w:val="22"/>
          <w:szCs w:val="22"/>
          <w:color w:val="auto"/>
        </w:rPr>
      </w:pPr>
    </w:p>
    <w:p>
      <w:pPr>
        <w:jc w:val="both"/>
        <w:ind w:left="660" w:right="219" w:firstLine="642"/>
        <w:spacing w:after="0" w:line="232" w:lineRule="auto"/>
        <w:tabs>
          <w:tab w:leader="none" w:pos="195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operations of the Company and its subsidiaries are and have been conducted at all times in material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having jurisdiction over the Company and its subsidiaries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92" w:lineRule="exact"/>
        <w:rPr>
          <w:rFonts w:ascii="Arial" w:cs="Arial" w:eastAsia="Arial" w:hAnsi="Arial"/>
          <w:sz w:val="22"/>
          <w:szCs w:val="22"/>
          <w:color w:val="auto"/>
        </w:rPr>
      </w:pPr>
    </w:p>
    <w:p>
      <w:pPr>
        <w:jc w:val="both"/>
        <w:ind w:left="660" w:right="219" w:firstLine="642"/>
        <w:spacing w:after="0" w:line="250" w:lineRule="auto"/>
        <w:tabs>
          <w:tab w:leader="none" w:pos="1998" w:val="left"/>
        </w:tabs>
        <w:numPr>
          <w:ilvl w:val="0"/>
          <w:numId w:val="13"/>
        </w:numPr>
        <w:rPr>
          <w:rFonts w:ascii="Arial" w:cs="Arial" w:eastAsia="Arial" w:hAnsi="Arial"/>
          <w:sz w:val="21"/>
          <w:szCs w:val="21"/>
          <w:color w:val="auto"/>
        </w:rPr>
      </w:pPr>
      <w:r>
        <w:rPr>
          <w:rFonts w:ascii="Arial" w:cs="Arial" w:eastAsia="Arial" w:hAnsi="Arial"/>
          <w:sz w:val="21"/>
          <w:szCs w:val="21"/>
          <w:color w:val="auto"/>
        </w:rPr>
        <w:t>Neither the Company, its subsidiaries, nor, to the knowledge of the Company, any director, officer, agent, employee or affiliate of the Company or any of its subsidiaries is currently the subject or the target of any sanctions administered</w:t>
      </w:r>
    </w:p>
    <w:p>
      <w:pPr>
        <w:spacing w:after="0" w:line="19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 w:name="page17"/>
    <w:bookmarkEnd w:id="16"/>
    <w:p>
      <w:pPr>
        <w:jc w:val="both"/>
        <w:ind w:left="660" w:right="219"/>
        <w:spacing w:after="0" w:line="232" w:lineRule="auto"/>
        <w:rPr>
          <w:sz w:val="20"/>
          <w:szCs w:val="20"/>
          <w:color w:val="auto"/>
        </w:rPr>
      </w:pPr>
      <w:r>
        <w:rPr>
          <w:rFonts w:ascii="Arial" w:cs="Arial" w:eastAsia="Arial" w:hAnsi="Arial"/>
          <w:sz w:val="22"/>
          <w:szCs w:val="22"/>
          <w:color w:val="auto"/>
        </w:rPr>
        <w:t>or enforced by the U.S. Government, including, without limitation, the Office of Foreign Assets Control of the U.S. Department of the Treasury (“OFAC”), or other relevant sanctions authority (collectively, “Sanctions”), and the Company will not directly or indirectly use the proceeds of the offering of the Shares hereunder, or lend, contribute or otherwise make available such proceeds to any subsidiary, joint venture partner or other person or entity (i) to fund any activities of or business with any person, or in any country or territory, that, at the time of such funding, is the subject of Sanctions or (ii) in any other manner that will result in a violation by any person (including any person participating in the transaction, whether as underwriter, advisor, investor or otherwise) of Sanctions;</w:t>
      </w:r>
    </w:p>
    <w:p>
      <w:pPr>
        <w:spacing w:after="0" w:line="93" w:lineRule="exact"/>
        <w:rPr>
          <w:sz w:val="20"/>
          <w:szCs w:val="20"/>
          <w:color w:val="auto"/>
        </w:rPr>
      </w:pPr>
    </w:p>
    <w:p>
      <w:pPr>
        <w:jc w:val="both"/>
        <w:ind w:left="660" w:right="219" w:firstLine="642"/>
        <w:spacing w:after="0" w:line="232" w:lineRule="auto"/>
        <w:tabs>
          <w:tab w:leader="none" w:pos="2172"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Company and its subsidiaries have insurance covering their properties, operations, personnel and businesses, including business interruption insurance, which insurance insures against such risks and is in such amounts as are, in the Company’s reasonable judgment, commercially reasonable for the conduct of its and its subsidiaries business; and each of the Company and its subsidiaries has not (i) received written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from similar insurers as may be necessary to continue its business;</w:t>
      </w:r>
    </w:p>
    <w:p>
      <w:pPr>
        <w:spacing w:after="0" w:line="92" w:lineRule="exact"/>
        <w:rPr>
          <w:rFonts w:ascii="Arial" w:cs="Arial" w:eastAsia="Arial" w:hAnsi="Arial"/>
          <w:sz w:val="22"/>
          <w:szCs w:val="22"/>
          <w:color w:val="auto"/>
        </w:rPr>
      </w:pPr>
    </w:p>
    <w:p>
      <w:pPr>
        <w:jc w:val="both"/>
        <w:ind w:left="660" w:right="219" w:firstLine="642"/>
        <w:spacing w:after="0" w:line="242" w:lineRule="auto"/>
        <w:tabs>
          <w:tab w:leader="none" w:pos="2040"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The Company and its subsidiaries (i) are in compliance with all, and have not violated any, laws, regulations, ordinances, rules, orders, judgments, decrees, permits or other legal requirements of any Regulatory Authority, including without limitation any international, national, state, provincial, regional, or local authority, relating to the protection of human health or safety, the environment, or natural resources, or to hazardous or toxic substances or wastes, pollutants or contaminants (“Environmental Laws”) applicable to the Company or its subsidiaries, which compliance includes, without limitation, obtaining, maintaining and complying with all permits and authorizations and approvals required by Environmental Laws to conduct its business, and (ii) have not received written notice of any actual or alleged violation of Environmental Laws, or of any potential liability for or other obligation concerning the presence, disposal or release of hazardous or toxic substances or wastes, pollutants or contaminants, except in the case of (i) and (ii) where the failure to comply or the potential liability or obligation would not, individually or in the aggregate, reasonably be expected to have a Material Adverse Effect. Except as described in the Pricing Disclosure Package and the Prospectus, (A) there are no proceedings that are pending against the Company under Environmental Laws in which a Regulatory Authority is also a party and (B) the Company is not aware of any non-compliance with Environmental Laws, or liabilities under Environmental Laws, which would reasonably be expected to have a Material Adverse Effect;</w:t>
      </w:r>
    </w:p>
    <w:p>
      <w:pPr>
        <w:spacing w:after="0" w:line="208"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 w:name="page18"/>
    <w:bookmarkEnd w:id="17"/>
    <w:p>
      <w:pPr>
        <w:jc w:val="both"/>
        <w:ind w:left="660" w:right="219" w:firstLine="642"/>
        <w:spacing w:after="0" w:line="242" w:lineRule="auto"/>
        <w:tabs>
          <w:tab w:leader="none" w:pos="1922" w:val="left"/>
        </w:tabs>
        <w:numPr>
          <w:ilvl w:val="1"/>
          <w:numId w:val="15"/>
        </w:numPr>
        <w:rPr>
          <w:rFonts w:ascii="Arial" w:cs="Arial" w:eastAsia="Arial" w:hAnsi="Arial"/>
          <w:sz w:val="21"/>
          <w:szCs w:val="21"/>
          <w:color w:val="auto"/>
        </w:rPr>
      </w:pPr>
      <w:r>
        <w:rPr>
          <w:rFonts w:ascii="Arial" w:cs="Arial" w:eastAsia="Arial" w:hAnsi="Arial"/>
          <w:sz w:val="21"/>
          <w:szCs w:val="21"/>
          <w:color w:val="auto"/>
        </w:rPr>
        <w:t>The financial statements included or incorporated by reference in the Registration Statement, the Pricing Disclosure Package and the Prospectus, together with the related schedules and notes, present fairly in all material respects the financial position of the Company and its subsidiaries as of the dates indicated, and for the periods indicated therein, subject in the case of unaudited financial statements to normal year-end audit adjustments; said financial statements have been prepared in conformity with GAAP applied on a consistent basis throughout the periods involved, except as otherwise stated in the Registration Statement, the Pricing Disclosure Package and the Prospectus. The supporting schedules, if any, present fairly in all material respects in accordance with GAAP the information required to be stated therein. The selected financial data and the summary financial information included in the Registration Statement, the Pricing Disclosure Package and the Prospectus present fairly in all material respects the information shown therein and have been compiled on a basis consistent with that of the financial statements included or incorporated by reference therein. Except as included therein, no historical or pro forma financial statements or supporting schedules are required to be included in the Registration Statement, the Pricing Disclosure Package or the Prospectus under the Act or the rules and regulations promulgated thereunder;</w:t>
      </w:r>
    </w:p>
    <w:p>
      <w:pPr>
        <w:spacing w:after="0" w:line="100" w:lineRule="exact"/>
        <w:rPr>
          <w:rFonts w:ascii="Arial" w:cs="Arial" w:eastAsia="Arial" w:hAnsi="Arial"/>
          <w:sz w:val="21"/>
          <w:szCs w:val="21"/>
          <w:color w:val="auto"/>
        </w:rPr>
      </w:pPr>
    </w:p>
    <w:p>
      <w:pPr>
        <w:jc w:val="both"/>
        <w:ind w:left="660" w:right="219" w:firstLine="642"/>
        <w:spacing w:after="0" w:line="235" w:lineRule="auto"/>
        <w:tabs>
          <w:tab w:leader="none" w:pos="1828" w:val="left"/>
        </w:tabs>
        <w:numPr>
          <w:ilvl w:val="1"/>
          <w:numId w:val="15"/>
        </w:numPr>
        <w:rPr>
          <w:rFonts w:ascii="Arial" w:cs="Arial" w:eastAsia="Arial" w:hAnsi="Arial"/>
          <w:sz w:val="22"/>
          <w:szCs w:val="22"/>
          <w:color w:val="auto"/>
        </w:rPr>
      </w:pPr>
      <w:r>
        <w:rPr>
          <w:rFonts w:ascii="Arial" w:cs="Arial" w:eastAsia="Arial" w:hAnsi="Arial"/>
          <w:sz w:val="22"/>
          <w:szCs w:val="22"/>
          <w:color w:val="auto"/>
        </w:rPr>
        <w:t>There are no debt securities or preferred stock of, or guaranteed by, the Company that are rated by a “nationally recognized statistical rating organization,” as such term is defined in Section 3(a)(62) of the Exchange Act;</w:t>
      </w:r>
    </w:p>
    <w:p>
      <w:pPr>
        <w:spacing w:after="0" w:line="94" w:lineRule="exact"/>
        <w:rPr>
          <w:rFonts w:ascii="Arial" w:cs="Arial" w:eastAsia="Arial" w:hAnsi="Arial"/>
          <w:sz w:val="22"/>
          <w:szCs w:val="22"/>
          <w:color w:val="auto"/>
        </w:rPr>
      </w:pPr>
    </w:p>
    <w:p>
      <w:pPr>
        <w:jc w:val="both"/>
        <w:ind w:left="660" w:right="219" w:firstLine="642"/>
        <w:spacing w:after="0" w:line="241" w:lineRule="auto"/>
        <w:tabs>
          <w:tab w:leader="none" w:pos="2032" w:val="left"/>
        </w:tabs>
        <w:numPr>
          <w:ilvl w:val="1"/>
          <w:numId w:val="15"/>
        </w:numPr>
        <w:rPr>
          <w:rFonts w:ascii="Arial" w:cs="Arial" w:eastAsia="Arial" w:hAnsi="Arial"/>
          <w:sz w:val="21"/>
          <w:szCs w:val="21"/>
          <w:color w:val="auto"/>
        </w:rPr>
      </w:pPr>
      <w:r>
        <w:rPr>
          <w:rFonts w:ascii="Arial" w:cs="Arial" w:eastAsia="Arial" w:hAnsi="Arial"/>
          <w:sz w:val="21"/>
          <w:szCs w:val="21"/>
          <w:color w:val="auto"/>
        </w:rPr>
        <w:t>Except as would not, individually or in the aggregate, reasonably be expected to result in a material liability to the Company or any of its subsidiaries, (i) each “employee benefit plan” within the meaning of the Employee Retirement Income Security Act of 1974, as amended (“ERISA”), whether or not subject to ERISA, for which the Company or any member of its “Controlled Group” (defined as any organization which is a member of a controlled group of corporations within the meaning of Section 414 of the Internal Revenue Code of 1986, as amended (the “Code”)) would have any liability (each a “Plan”) has been maintained in compliance with its terms and with the requirements of all applicable statutes, rules and regulations including ERISA and the Code; (ii) neither the Company nor any member of its Controlled Group has incurred, or reasonably expects to incur, any liability under Title IV of ERISA in respect of a Plan (including a “multiemployer plan,” within the meaning of Section 4001(c)(3) of ERISA); (iii) each Plan that is intended to be qualified under Section 401(a) of the Code is so qualified and nothing has occurred, whether by action or by failure to act, which would cause the loss of such qualification; (iv) there is no pending audit or investigation by the Internal Revenue Service, the U.S. Department of Labor, the Pension Benefit Guaranty Corporation or any other governmental agency with respect to any Plan that could reasonably be expected to result in material liability to the Company or any of its subsidiaries; and</w:t>
      </w:r>
    </w:p>
    <w:p>
      <w:pPr>
        <w:spacing w:after="0" w:line="11" w:lineRule="exact"/>
        <w:rPr>
          <w:rFonts w:ascii="Arial" w:cs="Arial" w:eastAsia="Arial" w:hAnsi="Arial"/>
          <w:sz w:val="21"/>
          <w:szCs w:val="21"/>
          <w:color w:val="auto"/>
        </w:rPr>
      </w:pPr>
    </w:p>
    <w:p>
      <w:pPr>
        <w:ind w:left="660" w:right="219" w:hanging="6"/>
        <w:spacing w:after="0" w:line="238" w:lineRule="auto"/>
        <w:tabs>
          <w:tab w:leader="none" w:pos="1022"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Company and its subsidiaries have not incurred any liability for any prohibited transaction, the failure of any Plan to meet the minimum</w:t>
      </w:r>
    </w:p>
    <w:p>
      <w:pPr>
        <w:spacing w:after="0" w:line="20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 w:name="page19"/>
    <w:bookmarkEnd w:id="18"/>
    <w:p>
      <w:pPr>
        <w:ind w:left="660" w:right="219"/>
        <w:spacing w:after="0" w:line="238" w:lineRule="auto"/>
        <w:rPr>
          <w:sz w:val="20"/>
          <w:szCs w:val="20"/>
          <w:color w:val="auto"/>
        </w:rPr>
      </w:pPr>
      <w:r>
        <w:rPr>
          <w:rFonts w:ascii="Arial" w:cs="Arial" w:eastAsia="Arial" w:hAnsi="Arial"/>
          <w:sz w:val="22"/>
          <w:szCs w:val="22"/>
          <w:color w:val="auto"/>
        </w:rPr>
        <w:t>funding standards required by law, including by ERISA or the Code, or any complete or partial withdrawal liability with respect to any Plan;</w:t>
      </w:r>
    </w:p>
    <w:p>
      <w:pPr>
        <w:spacing w:after="0" w:line="335" w:lineRule="exact"/>
        <w:rPr>
          <w:sz w:val="20"/>
          <w:szCs w:val="20"/>
          <w:color w:val="auto"/>
        </w:rPr>
      </w:pPr>
    </w:p>
    <w:p>
      <w:pPr>
        <w:jc w:val="both"/>
        <w:ind w:left="660" w:right="219" w:firstLine="642"/>
        <w:spacing w:after="0" w:line="233" w:lineRule="auto"/>
        <w:tabs>
          <w:tab w:leader="none" w:pos="1856"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There are no existing or, to the knowledge of the Company, threatened labor disputes with employees of the Company, and the Company is not aware of any existing or threatened labor disturbance by the employees of any of its principal suppliers, manufacturers, customers or contractors that, individually or in the aggregate, could reasonably be expected to result in a material liability to the Company;</w:t>
      </w:r>
    </w:p>
    <w:p>
      <w:pPr>
        <w:spacing w:after="0" w:line="336" w:lineRule="exact"/>
        <w:rPr>
          <w:rFonts w:ascii="Arial" w:cs="Arial" w:eastAsia="Arial" w:hAnsi="Arial"/>
          <w:sz w:val="22"/>
          <w:szCs w:val="22"/>
          <w:color w:val="auto"/>
        </w:rPr>
      </w:pPr>
    </w:p>
    <w:p>
      <w:pPr>
        <w:jc w:val="both"/>
        <w:ind w:left="660" w:right="219" w:firstLine="642"/>
        <w:spacing w:after="0" w:line="234" w:lineRule="auto"/>
        <w:tabs>
          <w:tab w:leader="none" w:pos="2129"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interactive data in the eXtensible Business Reporting Language included or incorporated by reference in the Registration Statement fairly presents the information called for in all material respects and has been prepared in accordance with the Commission’s rules and guidelines applicable thereto; and</w:t>
      </w:r>
    </w:p>
    <w:p>
      <w:pPr>
        <w:spacing w:after="0" w:line="336" w:lineRule="exact"/>
        <w:rPr>
          <w:rFonts w:ascii="Arial" w:cs="Arial" w:eastAsia="Arial" w:hAnsi="Arial"/>
          <w:sz w:val="22"/>
          <w:szCs w:val="22"/>
          <w:color w:val="auto"/>
        </w:rPr>
      </w:pPr>
    </w:p>
    <w:p>
      <w:pPr>
        <w:jc w:val="both"/>
        <w:ind w:left="660" w:right="219" w:firstLine="642"/>
        <w:spacing w:after="0" w:line="247" w:lineRule="auto"/>
        <w:tabs>
          <w:tab w:leader="none" w:pos="2302"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There are no relationships, direct or indirect, or related-party transactions involving the Company or any other person required to be described in the Registration Statement, Pricing Prospectus and the Prospectus which have not been described in such documents and the Pricing Disclosure Package as required.</w:t>
      </w:r>
    </w:p>
    <w:p>
      <w:pPr>
        <w:spacing w:after="0" w:line="86" w:lineRule="exact"/>
        <w:rPr>
          <w:sz w:val="20"/>
          <w:szCs w:val="20"/>
          <w:color w:val="auto"/>
        </w:rPr>
      </w:pPr>
    </w:p>
    <w:p>
      <w:pPr>
        <w:jc w:val="both"/>
        <w:ind w:left="660" w:right="219" w:firstLine="642"/>
        <w:spacing w:after="0" w:line="242" w:lineRule="auto"/>
        <w:tabs>
          <w:tab w:leader="none" w:pos="1855" w:val="left"/>
        </w:tabs>
        <w:numPr>
          <w:ilvl w:val="0"/>
          <w:numId w:val="18"/>
        </w:numPr>
        <w:rPr>
          <w:rFonts w:ascii="Arial" w:cs="Arial" w:eastAsia="Arial" w:hAnsi="Arial"/>
          <w:sz w:val="21"/>
          <w:szCs w:val="21"/>
          <w:color w:val="auto"/>
        </w:rPr>
      </w:pPr>
      <w:r>
        <w:rPr>
          <w:rFonts w:ascii="Arial" w:cs="Arial" w:eastAsia="Arial" w:hAnsi="Arial"/>
          <w:sz w:val="21"/>
          <w:szCs w:val="21"/>
          <w:color w:val="auto"/>
        </w:rPr>
        <w:t>Subject to the terms and conditions herein set forth, (a) the Company agrees to issue and sell to each of the Underwriters, and each of the Underwriters agrees, severally and not jointly, to purchase from the Company, at a purchase price per share of $23.50,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02" w:lineRule="exact"/>
        <w:rPr>
          <w:sz w:val="20"/>
          <w:szCs w:val="20"/>
          <w:color w:val="auto"/>
        </w:rPr>
      </w:pPr>
    </w:p>
    <w:p>
      <w:pPr>
        <w:jc w:val="both"/>
        <w:ind w:left="660" w:right="219" w:firstLine="648"/>
        <w:spacing w:after="0" w:line="246" w:lineRule="auto"/>
        <w:rPr>
          <w:sz w:val="20"/>
          <w:szCs w:val="20"/>
          <w:color w:val="auto"/>
        </w:rPr>
      </w:pPr>
      <w:r>
        <w:rPr>
          <w:rFonts w:ascii="Arial" w:cs="Arial" w:eastAsia="Arial" w:hAnsi="Arial"/>
          <w:sz w:val="21"/>
          <w:szCs w:val="21"/>
          <w:color w:val="auto"/>
        </w:rPr>
        <w:t xml:space="preserve">The Company hereby grants to the Underwriters the right to purchase at their election up to 750,000 Optional Shares, at the purchase price per share set forth in the paragraph above, for the sole purpose of covering sales of shares in excess of the number of Firm Shares,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purchase price per Optional Share shall be reduced by an amount per share equal to any dividends or distributions</w:t>
      </w:r>
    </w:p>
    <w:p>
      <w:pPr>
        <w:spacing w:after="0" w:line="194"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 w:name="page20"/>
    <w:bookmarkEnd w:id="19"/>
    <w:p>
      <w:pPr>
        <w:jc w:val="both"/>
        <w:ind w:left="660" w:right="219"/>
        <w:spacing w:after="0" w:line="232" w:lineRule="auto"/>
        <w:rPr>
          <w:sz w:val="20"/>
          <w:szCs w:val="20"/>
          <w:color w:val="auto"/>
        </w:rPr>
      </w:pPr>
      <w:r>
        <w:rPr>
          <w:rFonts w:ascii="Arial" w:cs="Arial" w:eastAsia="Arial" w:hAnsi="Arial"/>
          <w:sz w:val="22"/>
          <w:szCs w:val="22"/>
          <w:color w:val="auto"/>
        </w:rPr>
        <w:t>declared by the Company and payable on the Firm Shares but not payable on the Optional Shares. Any such election to purchase Optional Shares may be exercised only by written notice from you to the Company, given within a period of 30 calendar days after the date of this Agreement, setting forth the aggregate number of Optional Shares to be purchased and the date on which such Optional Shares are to be delivered, as determined by the Representatives but in no event earlier than the First Time of Delivery (as defined in Section 4 hereof) or, unless you and the Company otherwise agree in writing, earlier than two or later than ten business days after the date of such notice.</w:t>
      </w:r>
    </w:p>
    <w:p>
      <w:pPr>
        <w:spacing w:after="0" w:line="95" w:lineRule="exact"/>
        <w:rPr>
          <w:sz w:val="20"/>
          <w:szCs w:val="20"/>
          <w:color w:val="auto"/>
        </w:rPr>
      </w:pPr>
    </w:p>
    <w:p>
      <w:pPr>
        <w:jc w:val="both"/>
        <w:ind w:left="660" w:right="219" w:firstLine="642"/>
        <w:spacing w:after="0" w:line="235" w:lineRule="auto"/>
        <w:tabs>
          <w:tab w:leader="none" w:pos="1874" w:val="left"/>
        </w:tabs>
        <w:numPr>
          <w:ilvl w:val="0"/>
          <w:numId w:val="19"/>
        </w:numPr>
        <w:rPr>
          <w:rFonts w:ascii="Arial" w:cs="Arial" w:eastAsia="Arial" w:hAnsi="Arial"/>
          <w:sz w:val="22"/>
          <w:szCs w:val="22"/>
          <w:color w:val="auto"/>
        </w:rPr>
      </w:pPr>
      <w:r>
        <w:rPr>
          <w:rFonts w:ascii="Arial" w:cs="Arial" w:eastAsia="Arial" w:hAnsi="Arial"/>
          <w:sz w:val="22"/>
          <w:szCs w:val="22"/>
          <w:color w:val="auto"/>
        </w:rPr>
        <w:t>Upon the authorization by you of the release of the Firm Shares, the several Underwriters propose to offer the Firm Shares for sale upon the terms and conditions set forth in the Prospectus.</w:t>
      </w:r>
    </w:p>
    <w:p>
      <w:pPr>
        <w:spacing w:after="0" w:line="94" w:lineRule="exact"/>
        <w:rPr>
          <w:rFonts w:ascii="Arial" w:cs="Arial" w:eastAsia="Arial" w:hAnsi="Arial"/>
          <w:sz w:val="22"/>
          <w:szCs w:val="22"/>
          <w:color w:val="auto"/>
        </w:rPr>
      </w:pPr>
    </w:p>
    <w:p>
      <w:pPr>
        <w:jc w:val="both"/>
        <w:ind w:left="660" w:right="219" w:firstLine="642"/>
        <w:spacing w:after="0" w:line="231" w:lineRule="auto"/>
        <w:tabs>
          <w:tab w:leader="none" w:pos="1929" w:val="left"/>
        </w:tabs>
        <w:numPr>
          <w:ilvl w:val="0"/>
          <w:numId w:val="19"/>
        </w:numPr>
        <w:rPr>
          <w:rFonts w:ascii="Arial" w:cs="Arial" w:eastAsia="Arial" w:hAnsi="Arial"/>
          <w:sz w:val="22"/>
          <w:szCs w:val="22"/>
          <w:color w:val="auto"/>
        </w:rPr>
      </w:pPr>
      <w:r>
        <w:rPr>
          <w:rFonts w:ascii="Arial" w:cs="Arial" w:eastAsia="Arial" w:hAnsi="Arial"/>
          <w:sz w:val="22"/>
          <w:szCs w:val="22"/>
          <w:color w:val="auto"/>
        </w:rPr>
        <w:t>(a) The Shares to be purchased by each Underwriter hereunder, in electronic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forty-eight hours in advance. The time and date of such delivery and payment shall be, with respect to the Firm Shares, 9:30 a.m., New York City time, on December 13, 2016 or such other time and date as the Representatives and the Company may agree upon in writing, and, with respect to the Optional Shares, 9:30 a.m., New York City time, on the date specified by the Representatives in each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spacing w:after="0" w:line="100" w:lineRule="exact"/>
        <w:rPr>
          <w:sz w:val="20"/>
          <w:szCs w:val="20"/>
          <w:color w:val="auto"/>
        </w:rPr>
      </w:pPr>
    </w:p>
    <w:p>
      <w:pPr>
        <w:jc w:val="both"/>
        <w:ind w:left="660" w:right="219" w:firstLine="642"/>
        <w:spacing w:after="0" w:line="243" w:lineRule="auto"/>
        <w:tabs>
          <w:tab w:leader="none" w:pos="1846"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documents to be delivered at each Time of Delivery by or on behalf of the parties hereto pursuant to Section 8 hereof, including the cross receipt for the Shares and any additional documents requested by the Underwriters pursuant to Section 8(j) hereof, will be delivered at the offices of Latham &amp; Watkins LLP, 200 Clarendon Street, Boston, MA 02116 (the “Closing Location”), and the Shares will be delivered at the office of DTC or its designated location, all at such Time of Delivery. A meeting will be held at the Closing Location or via teleconference at 4:00 p.m., New York City time, on the New York Business Day preceding such Time of Delivery, at which meeting the final drafts of the documents to be delivered pursuant to the preceding sentence will be available for review by the parties hereto. For the purposes of this Section 4, “New York Business Day” shall mean each</w:t>
      </w:r>
    </w:p>
    <w:p>
      <w:pPr>
        <w:spacing w:after="0" w:line="20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 w:name="page21"/>
    <w:bookmarkEnd w:id="20"/>
    <w:p>
      <w:pPr>
        <w:jc w:val="both"/>
        <w:ind w:left="660" w:right="219"/>
        <w:spacing w:after="0" w:line="235" w:lineRule="auto"/>
        <w:rPr>
          <w:sz w:val="20"/>
          <w:szCs w:val="20"/>
          <w:color w:val="auto"/>
        </w:rPr>
      </w:pPr>
      <w:r>
        <w:rPr>
          <w:rFonts w:ascii="Arial" w:cs="Arial" w:eastAsia="Arial" w:hAnsi="Arial"/>
          <w:sz w:val="22"/>
          <w:szCs w:val="22"/>
          <w:color w:val="auto"/>
        </w:rPr>
        <w:t>Monday, Tuesday, Wednesday, Thursday and Friday which is not a day on which banking institutions in New York City are generally authorized or obligated by law or executive order to close.</w:t>
      </w:r>
    </w:p>
    <w:p>
      <w:pPr>
        <w:spacing w:after="0" w:line="94" w:lineRule="exact"/>
        <w:rPr>
          <w:sz w:val="20"/>
          <w:szCs w:val="20"/>
          <w:color w:val="auto"/>
        </w:rPr>
      </w:pPr>
    </w:p>
    <w:p>
      <w:pPr>
        <w:ind w:left="1720" w:hanging="418"/>
        <w:spacing w:after="0"/>
        <w:tabs>
          <w:tab w:leader="none" w:pos="17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Company agrees with each of the Underwriters:</w:t>
      </w:r>
    </w:p>
    <w:p>
      <w:pPr>
        <w:spacing w:after="0" w:line="98" w:lineRule="exact"/>
        <w:rPr>
          <w:sz w:val="20"/>
          <w:szCs w:val="20"/>
          <w:color w:val="auto"/>
        </w:rPr>
      </w:pPr>
    </w:p>
    <w:p>
      <w:pPr>
        <w:jc w:val="both"/>
        <w:ind w:left="660" w:right="219" w:firstLine="642"/>
        <w:spacing w:after="0" w:line="242" w:lineRule="auto"/>
        <w:tabs>
          <w:tab w:leader="none" w:pos="1901" w:val="left"/>
        </w:tabs>
        <w:numPr>
          <w:ilvl w:val="0"/>
          <w:numId w:val="22"/>
        </w:numPr>
        <w:rPr>
          <w:rFonts w:ascii="Arial" w:cs="Arial" w:eastAsia="Arial" w:hAnsi="Arial"/>
          <w:sz w:val="21"/>
          <w:szCs w:val="21"/>
          <w:color w:val="auto"/>
        </w:rPr>
      </w:pPr>
      <w:r>
        <w:rPr>
          <w:rFonts w:ascii="Arial" w:cs="Arial" w:eastAsia="Arial" w:hAnsi="Arial"/>
          <w:sz w:val="21"/>
          <w:szCs w:val="21"/>
          <w:color w:val="auto"/>
        </w:rPr>
        <w:t>To prepare the Prospectus in a form approved by you and to file such Prospectus pursuant to Rule 424(b) under the Act not later than the Commission's close of business on the second business day following the execution and delivery of this Agreement, or such earlier time as may be required under the Act; to make no further amendment or any supplement to the Registration Statement, the Basic Prospectus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within the time required for such rule;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Shares;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Shares or suspending any such qualification, to promptly use its best efforts to obtain the withdrawal of such order;</w:t>
      </w:r>
    </w:p>
    <w:p>
      <w:pPr>
        <w:spacing w:after="0" w:line="97" w:lineRule="exact"/>
        <w:rPr>
          <w:rFonts w:ascii="Arial" w:cs="Arial" w:eastAsia="Arial" w:hAnsi="Arial"/>
          <w:sz w:val="21"/>
          <w:szCs w:val="21"/>
          <w:color w:val="auto"/>
        </w:rPr>
      </w:pPr>
    </w:p>
    <w:p>
      <w:pPr>
        <w:jc w:val="both"/>
        <w:ind w:left="660" w:right="219" w:firstLine="642"/>
        <w:spacing w:after="0" w:line="232" w:lineRule="auto"/>
        <w:tabs>
          <w:tab w:leader="none" w:pos="1894" w:val="left"/>
        </w:tabs>
        <w:numPr>
          <w:ilvl w:val="0"/>
          <w:numId w:val="22"/>
        </w:numPr>
        <w:rPr>
          <w:rFonts w:ascii="Arial" w:cs="Arial" w:eastAsia="Arial" w:hAnsi="Arial"/>
          <w:sz w:val="22"/>
          <w:szCs w:val="22"/>
          <w:color w:val="auto"/>
        </w:rPr>
      </w:pPr>
      <w:r>
        <w:rPr>
          <w:rFonts w:ascii="Arial" w:cs="Arial" w:eastAsia="Arial" w:hAnsi="Arial"/>
          <w:sz w:val="22"/>
          <w:szCs w:val="22"/>
          <w:color w:val="auto"/>
        </w:rPr>
        <w:t>Promptly from time to time to take such action as you may reasonably request to qualify the Shares for offering and sale under the securities laws of such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or to file a general consent to service of process in any jurisdiction, or subject itself to taxation in any such jurisdiction in which it was not otherwise subject to taxation;</w:t>
      </w:r>
    </w:p>
    <w:p>
      <w:pPr>
        <w:spacing w:after="0" w:line="200" w:lineRule="exact"/>
        <w:rPr>
          <w:sz w:val="20"/>
          <w:szCs w:val="20"/>
          <w:color w:val="auto"/>
        </w:rPr>
      </w:pPr>
    </w:p>
    <w:p>
      <w:pPr>
        <w:spacing w:after="0" w:line="356"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 w:name="page22"/>
    <w:bookmarkEnd w:id="21"/>
    <w:p>
      <w:pPr>
        <w:jc w:val="both"/>
        <w:ind w:left="660" w:right="219" w:firstLine="642"/>
        <w:spacing w:after="0" w:line="242" w:lineRule="auto"/>
        <w:tabs>
          <w:tab w:leader="none" w:pos="1848" w:val="left"/>
        </w:tabs>
        <w:numPr>
          <w:ilvl w:val="0"/>
          <w:numId w:val="23"/>
        </w:numPr>
        <w:rPr>
          <w:rFonts w:ascii="Arial" w:cs="Arial" w:eastAsia="Arial" w:hAnsi="Arial"/>
          <w:sz w:val="21"/>
          <w:szCs w:val="21"/>
          <w:color w:val="auto"/>
        </w:rPr>
      </w:pPr>
      <w:r>
        <w:rPr>
          <w:rFonts w:ascii="Arial" w:cs="Arial" w:eastAsia="Arial" w:hAnsi="Arial"/>
          <w:sz w:val="21"/>
          <w:szCs w:val="21"/>
          <w:color w:val="auto"/>
        </w:rPr>
        <w:t>Prior to 10:00 a.m., New York City time, on the New York Business Day next succeeding the date of this Agreement (or such other time as may be agreed to by the Representatives and the Company)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you and upon your request to file such document and to prepare and furnish without charge to each Underwriter and to any dealer in securities (whose name and address the Underwriters shall furnish to the Company)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339" w:lineRule="exact"/>
        <w:rPr>
          <w:rFonts w:ascii="Arial" w:cs="Arial" w:eastAsia="Arial" w:hAnsi="Arial"/>
          <w:sz w:val="21"/>
          <w:szCs w:val="21"/>
          <w:color w:val="auto"/>
        </w:rPr>
      </w:pPr>
    </w:p>
    <w:p>
      <w:pPr>
        <w:jc w:val="both"/>
        <w:ind w:left="660" w:right="219" w:firstLine="642"/>
        <w:spacing w:after="0" w:line="232" w:lineRule="auto"/>
        <w:tabs>
          <w:tab w:leader="none" w:pos="1816" w:val="left"/>
        </w:tabs>
        <w:numPr>
          <w:ilvl w:val="0"/>
          <w:numId w:val="23"/>
        </w:numPr>
        <w:rPr>
          <w:rFonts w:ascii="Arial" w:cs="Arial" w:eastAsia="Arial" w:hAnsi="Arial"/>
          <w:sz w:val="22"/>
          <w:szCs w:val="22"/>
          <w:color w:val="auto"/>
        </w:rPr>
      </w:pPr>
      <w:r>
        <w:rPr>
          <w:rFonts w:ascii="Arial" w:cs="Arial" w:eastAsia="Arial" w:hAnsi="Arial"/>
          <w:sz w:val="22"/>
          <w:szCs w:val="22"/>
          <w:color w:val="auto"/>
        </w:rPr>
        <w:t>To make generally available to its security 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96" w:lineRule="exact"/>
        <w:rPr>
          <w:rFonts w:ascii="Arial" w:cs="Arial" w:eastAsia="Arial" w:hAnsi="Arial"/>
          <w:sz w:val="22"/>
          <w:szCs w:val="22"/>
          <w:color w:val="auto"/>
        </w:rPr>
      </w:pPr>
    </w:p>
    <w:p>
      <w:pPr>
        <w:jc w:val="both"/>
        <w:ind w:left="660" w:right="219" w:firstLine="642"/>
        <w:spacing w:after="0" w:line="233" w:lineRule="auto"/>
        <w:tabs>
          <w:tab w:leader="none" w:pos="1867" w:val="left"/>
        </w:tabs>
        <w:numPr>
          <w:ilvl w:val="0"/>
          <w:numId w:val="23"/>
        </w:numPr>
        <w:rPr>
          <w:rFonts w:ascii="Arial" w:cs="Arial" w:eastAsia="Arial" w:hAnsi="Arial"/>
          <w:sz w:val="22"/>
          <w:szCs w:val="22"/>
          <w:color w:val="auto"/>
        </w:rPr>
      </w:pPr>
      <w:r>
        <w:rPr>
          <w:rFonts w:ascii="Arial" w:cs="Arial" w:eastAsia="Arial" w:hAnsi="Arial"/>
          <w:sz w:val="22"/>
          <w:szCs w:val="22"/>
          <w:color w:val="auto"/>
        </w:rPr>
        <w:t>During the period beginning from the date hereof and continuing to and including the date 90 days after the date of the Prospectus (the “Lock-Up Period”), not to (i) offer, sell, contract to sell, pledge, grant any option to purchase, make any short sale or otherwise transfer or dispose of, directly or indirectly, or file with the Commission a registration statement under the Act relating to, any securities of the Company that are substantially similar to the Shares, including but not limited to</w:t>
      </w:r>
    </w:p>
    <w:p>
      <w:pPr>
        <w:spacing w:after="0" w:line="20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 w:name="page23"/>
    <w:bookmarkEnd w:id="22"/>
    <w:p>
      <w:pPr>
        <w:jc w:val="both"/>
        <w:ind w:left="660" w:right="219"/>
        <w:spacing w:after="0" w:line="242" w:lineRule="auto"/>
        <w:rPr>
          <w:sz w:val="20"/>
          <w:szCs w:val="20"/>
          <w:color w:val="auto"/>
        </w:rPr>
      </w:pPr>
      <w:r>
        <w:rPr>
          <w:rFonts w:ascii="Arial" w:cs="Arial" w:eastAsia="Arial" w:hAnsi="Arial"/>
          <w:sz w:val="21"/>
          <w:szCs w:val="21"/>
          <w:color w:val="auto"/>
        </w:rPr>
        <w:t>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Stock or any such other securities, whether any such transaction described in clause (i) or (ii) above is to be settled by delivery of Stock or such other securities, in cash or otherwise; provided, however, that the foregoing restrictions shall not apply to (A) the Shares to be sold hereunder, (B) any shares of Stock issued by the Company upon the exercise or settlement of options pursuant to the Company’s equity plans disclosed in the Pricing Prospectus, (C) the issuance by the Company of any shares of Stock or any security convertible into or exercisable for shares of Stock in connection with a transaction with an unaffiliated third party that includes a bona fide commercial relationship (including joint ventures, marketing or distribution arrangements, collaboration agreements or intellectual property license agreements), or (D) issuances of securities under the Company’s employee stock purchase plan disclosed in the Pricing Prospectus; provided that in the case of clause (C), the aggregate number of shares of Stock that the Company may sell or issue or agree to sell or issue pursuant to clause (C) shall not exceed 5% of the total number of shares of Stock issued and outstanding immediately following the completion of the transactions contemplated by this Agreement, and provided further, that in the case of clause (C) the Company shall (i) cause each recipient of such securities to execute and deliver to you, on or prior to the issuance of such securities, a lock-up agreement on substantially the same terms as the lock-up agreements referenced in Section 8(i) hereof for the remainder of the Company Lock-Up Period, and (ii) enter stop transfer instructions with the Company’s transfer agent and registrar on such securities, which the Company agrees it will not waive or amend without the prior written consent of each Representative.</w:t>
      </w:r>
    </w:p>
    <w:p>
      <w:pPr>
        <w:spacing w:after="0" w:line="340" w:lineRule="exact"/>
        <w:rPr>
          <w:sz w:val="20"/>
          <w:szCs w:val="20"/>
          <w:color w:val="auto"/>
        </w:rPr>
      </w:pPr>
    </w:p>
    <w:p>
      <w:pPr>
        <w:jc w:val="both"/>
        <w:ind w:left="660" w:right="219" w:firstLine="642"/>
        <w:spacing w:after="0" w:line="231" w:lineRule="auto"/>
        <w:tabs>
          <w:tab w:leader="none" w:pos="18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During a period of three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for such quarter in reasonable detail; provided that no reports, documents or other information needs to be furnished pursuant to this Section 5(f) to the extent they are available on EDGAR;</w:t>
      </w:r>
    </w:p>
    <w:p>
      <w:pPr>
        <w:spacing w:after="0" w:line="103" w:lineRule="exact"/>
        <w:rPr>
          <w:rFonts w:ascii="Arial" w:cs="Arial" w:eastAsia="Arial" w:hAnsi="Arial"/>
          <w:sz w:val="22"/>
          <w:szCs w:val="22"/>
          <w:color w:val="auto"/>
        </w:rPr>
      </w:pPr>
    </w:p>
    <w:p>
      <w:pPr>
        <w:jc w:val="both"/>
        <w:ind w:left="660" w:right="219" w:firstLine="642"/>
        <w:spacing w:after="0" w:line="250" w:lineRule="auto"/>
        <w:tabs>
          <w:tab w:leader="none" w:pos="1843" w:val="left"/>
        </w:tabs>
        <w:numPr>
          <w:ilvl w:val="0"/>
          <w:numId w:val="24"/>
        </w:numPr>
        <w:rPr>
          <w:rFonts w:ascii="Arial" w:cs="Arial" w:eastAsia="Arial" w:hAnsi="Arial"/>
          <w:sz w:val="21"/>
          <w:szCs w:val="21"/>
          <w:color w:val="auto"/>
        </w:rPr>
      </w:pPr>
      <w:r>
        <w:rPr>
          <w:rFonts w:ascii="Arial" w:cs="Arial" w:eastAsia="Arial" w:hAnsi="Arial"/>
          <w:sz w:val="21"/>
          <w:szCs w:val="21"/>
          <w:color w:val="auto"/>
        </w:rPr>
        <w:t>During a period of three years from the effective date of the Registration Statement, to furnish to you copies of all reports or other communications (financial or other) furnished to stockholders, and to deliver to you as soon as they are</w:t>
      </w:r>
    </w:p>
    <w:p>
      <w:pPr>
        <w:spacing w:after="0" w:line="19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 w:name="page24"/>
    <w:bookmarkEnd w:id="23"/>
    <w:p>
      <w:pPr>
        <w:jc w:val="both"/>
        <w:ind w:left="660" w:right="219"/>
        <w:spacing w:after="0" w:line="233" w:lineRule="auto"/>
        <w:rPr>
          <w:sz w:val="20"/>
          <w:szCs w:val="20"/>
          <w:color w:val="auto"/>
        </w:rPr>
      </w:pPr>
      <w:r>
        <w:rPr>
          <w:rFonts w:ascii="Arial" w:cs="Arial" w:eastAsia="Arial" w:hAnsi="Arial"/>
          <w:sz w:val="22"/>
          <w:szCs w:val="22"/>
          <w:color w:val="auto"/>
        </w:rPr>
        <w:t>available, copies of any reports and financial statements furnished to or filed with the Commission or any national securities exchange on which any class of securities of the Company is listed; provided that no reports, documents or other information needs to be furnished pursuant to this Section 5(g) to the extent they are available on EDGAR;</w:t>
      </w:r>
    </w:p>
    <w:p>
      <w:pPr>
        <w:spacing w:after="0" w:line="95" w:lineRule="exact"/>
        <w:rPr>
          <w:sz w:val="20"/>
          <w:szCs w:val="20"/>
          <w:color w:val="auto"/>
        </w:rPr>
      </w:pPr>
    </w:p>
    <w:p>
      <w:pPr>
        <w:jc w:val="both"/>
        <w:ind w:left="660" w:right="219" w:firstLine="642"/>
        <w:spacing w:after="0" w:line="235" w:lineRule="auto"/>
        <w:tabs>
          <w:tab w:leader="none" w:pos="1974" w:val="left"/>
        </w:tabs>
        <w:numPr>
          <w:ilvl w:val="0"/>
          <w:numId w:val="25"/>
        </w:numPr>
        <w:rPr>
          <w:rFonts w:ascii="Arial" w:cs="Arial" w:eastAsia="Arial" w:hAnsi="Arial"/>
          <w:sz w:val="22"/>
          <w:szCs w:val="22"/>
          <w:color w:val="auto"/>
        </w:rPr>
      </w:pPr>
      <w:r>
        <w:rPr>
          <w:rFonts w:ascii="Arial" w:cs="Arial" w:eastAsia="Arial" w:hAnsi="Arial"/>
          <w:sz w:val="22"/>
          <w:szCs w:val="22"/>
          <w:color w:val="auto"/>
        </w:rPr>
        <w:t>To use the net proceeds received by it from the sale of the Shares pursuant to this Agreement in the manner specified in the Pricing Prospectus under the caption “Use of Proceeds”;</w:t>
      </w:r>
    </w:p>
    <w:p>
      <w:pPr>
        <w:spacing w:after="0" w:line="94" w:lineRule="exact"/>
        <w:rPr>
          <w:rFonts w:ascii="Arial" w:cs="Arial" w:eastAsia="Arial" w:hAnsi="Arial"/>
          <w:sz w:val="22"/>
          <w:szCs w:val="22"/>
          <w:color w:val="auto"/>
        </w:rPr>
      </w:pPr>
    </w:p>
    <w:p>
      <w:pPr>
        <w:ind w:left="660" w:right="219" w:firstLine="642"/>
        <w:spacing w:after="0" w:line="238" w:lineRule="auto"/>
        <w:tabs>
          <w:tab w:leader="none" w:pos="1772" w:val="left"/>
        </w:tabs>
        <w:numPr>
          <w:ilvl w:val="0"/>
          <w:numId w:val="25"/>
        </w:numPr>
        <w:rPr>
          <w:rFonts w:ascii="Arial" w:cs="Arial" w:eastAsia="Arial" w:hAnsi="Arial"/>
          <w:sz w:val="22"/>
          <w:szCs w:val="22"/>
          <w:color w:val="auto"/>
        </w:rPr>
      </w:pPr>
      <w:r>
        <w:rPr>
          <w:rFonts w:ascii="Arial" w:cs="Arial" w:eastAsia="Arial" w:hAnsi="Arial"/>
          <w:sz w:val="22"/>
          <w:szCs w:val="22"/>
          <w:color w:val="auto"/>
        </w:rPr>
        <w:t>To use its best efforts to list, subject to notice of issuance, the Shares on The NASDAQ Global Select Market;</w:t>
      </w:r>
    </w:p>
    <w:p>
      <w:pPr>
        <w:spacing w:after="0" w:line="92" w:lineRule="exact"/>
        <w:rPr>
          <w:rFonts w:ascii="Arial" w:cs="Arial" w:eastAsia="Arial" w:hAnsi="Arial"/>
          <w:sz w:val="22"/>
          <w:szCs w:val="22"/>
          <w:color w:val="auto"/>
        </w:rPr>
      </w:pPr>
    </w:p>
    <w:p>
      <w:pPr>
        <w:ind w:left="660" w:right="219" w:firstLine="642"/>
        <w:spacing w:after="0" w:line="238" w:lineRule="auto"/>
        <w:tabs>
          <w:tab w:leader="none" w:pos="1753" w:val="left"/>
        </w:tabs>
        <w:numPr>
          <w:ilvl w:val="0"/>
          <w:numId w:val="25"/>
        </w:numPr>
        <w:rPr>
          <w:rFonts w:ascii="Arial" w:cs="Arial" w:eastAsia="Arial" w:hAnsi="Arial"/>
          <w:sz w:val="22"/>
          <w:szCs w:val="22"/>
          <w:color w:val="auto"/>
        </w:rPr>
      </w:pPr>
      <w:r>
        <w:rPr>
          <w:rFonts w:ascii="Arial" w:cs="Arial" w:eastAsia="Arial" w:hAnsi="Arial"/>
          <w:sz w:val="22"/>
          <w:szCs w:val="22"/>
          <w:color w:val="auto"/>
        </w:rPr>
        <w:t>To file with the Commission such information on Form 10-Q or Form 10-K as may be required by Rule 463 under the Act;</w:t>
      </w:r>
    </w:p>
    <w:p>
      <w:pPr>
        <w:spacing w:after="0" w:line="92" w:lineRule="exact"/>
        <w:rPr>
          <w:rFonts w:ascii="Arial" w:cs="Arial" w:eastAsia="Arial" w:hAnsi="Arial"/>
          <w:sz w:val="22"/>
          <w:szCs w:val="22"/>
          <w:color w:val="auto"/>
        </w:rPr>
      </w:pPr>
    </w:p>
    <w:p>
      <w:pPr>
        <w:jc w:val="both"/>
        <w:ind w:left="660" w:right="219" w:firstLine="642"/>
        <w:spacing w:after="0" w:line="233" w:lineRule="auto"/>
        <w:tabs>
          <w:tab w:leader="none" w:pos="1826" w:val="left"/>
        </w:tabs>
        <w:numPr>
          <w:ilvl w:val="0"/>
          <w:numId w:val="25"/>
        </w:numPr>
        <w:rPr>
          <w:rFonts w:ascii="Arial" w:cs="Arial" w:eastAsia="Arial" w:hAnsi="Arial"/>
          <w:sz w:val="22"/>
          <w:szCs w:val="22"/>
          <w:color w:val="auto"/>
        </w:rPr>
      </w:pPr>
      <w:r>
        <w:rPr>
          <w:rFonts w:ascii="Arial" w:cs="Arial" w:eastAsia="Arial" w:hAnsi="Arial"/>
          <w:sz w:val="22"/>
          <w:szCs w:val="22"/>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w:t>
      </w:r>
    </w:p>
    <w:p>
      <w:pPr>
        <w:spacing w:after="0" w:line="93" w:lineRule="exact"/>
        <w:rPr>
          <w:rFonts w:ascii="Arial" w:cs="Arial" w:eastAsia="Arial" w:hAnsi="Arial"/>
          <w:sz w:val="22"/>
          <w:szCs w:val="22"/>
          <w:color w:val="auto"/>
        </w:rPr>
      </w:pPr>
    </w:p>
    <w:p>
      <w:pPr>
        <w:jc w:val="both"/>
        <w:ind w:left="660" w:right="219" w:firstLine="642"/>
        <w:spacing w:after="0" w:line="233" w:lineRule="auto"/>
        <w:tabs>
          <w:tab w:leader="none" w:pos="1791" w:val="left"/>
        </w:tabs>
        <w:numPr>
          <w:ilvl w:val="0"/>
          <w:numId w:val="25"/>
        </w:numPr>
        <w:rPr>
          <w:rFonts w:ascii="Arial" w:cs="Arial" w:eastAsia="Arial" w:hAnsi="Arial"/>
          <w:sz w:val="22"/>
          <w:szCs w:val="22"/>
          <w:color w:val="auto"/>
        </w:rPr>
      </w:pPr>
      <w:r>
        <w:rPr>
          <w:rFonts w:ascii="Arial" w:cs="Arial" w:eastAsia="Arial" w:hAnsi="Arial"/>
          <w:sz w:val="22"/>
          <w:szCs w:val="22"/>
          <w:color w:val="auto"/>
        </w:rPr>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 and</w:t>
      </w:r>
    </w:p>
    <w:p>
      <w:pPr>
        <w:spacing w:after="0" w:line="93" w:lineRule="exact"/>
        <w:rPr>
          <w:rFonts w:ascii="Arial" w:cs="Arial" w:eastAsia="Arial" w:hAnsi="Arial"/>
          <w:sz w:val="22"/>
          <w:szCs w:val="22"/>
          <w:color w:val="auto"/>
        </w:rPr>
      </w:pPr>
    </w:p>
    <w:p>
      <w:pPr>
        <w:jc w:val="both"/>
        <w:ind w:left="660" w:right="219" w:firstLine="642"/>
        <w:spacing w:after="0" w:line="234" w:lineRule="auto"/>
        <w:tabs>
          <w:tab w:leader="none" w:pos="2067" w:val="left"/>
        </w:tabs>
        <w:numPr>
          <w:ilvl w:val="0"/>
          <w:numId w:val="25"/>
        </w:numPr>
        <w:rPr>
          <w:rFonts w:ascii="Arial" w:cs="Arial" w:eastAsia="Arial" w:hAnsi="Arial"/>
          <w:sz w:val="22"/>
          <w:szCs w:val="22"/>
          <w:color w:val="auto"/>
        </w:rPr>
      </w:pPr>
      <w:r>
        <w:rPr>
          <w:rFonts w:ascii="Arial" w:cs="Arial" w:eastAsia="Arial" w:hAnsi="Arial"/>
          <w:sz w:val="22"/>
          <w:szCs w:val="22"/>
          <w:color w:val="auto"/>
        </w:rPr>
        <w:t>To promptly notify you if the Company ceases to be an Emerging Growth Company at any time prior to the later of (i) completion of the distribution of the Shares within the meaning of the Act and (ii) completion of the 90-day restricted period referred to in Section 5(e)(1).</w:t>
      </w:r>
    </w:p>
    <w:p>
      <w:pPr>
        <w:spacing w:after="0" w:line="94" w:lineRule="exact"/>
        <w:rPr>
          <w:sz w:val="20"/>
          <w:szCs w:val="20"/>
          <w:color w:val="auto"/>
        </w:rPr>
      </w:pPr>
    </w:p>
    <w:p>
      <w:pPr>
        <w:jc w:val="both"/>
        <w:ind w:left="660" w:right="219" w:firstLine="642"/>
        <w:spacing w:after="0" w:line="244" w:lineRule="auto"/>
        <w:tabs>
          <w:tab w:leader="none" w:pos="1739" w:val="left"/>
        </w:tabs>
        <w:numPr>
          <w:ilvl w:val="0"/>
          <w:numId w:val="26"/>
        </w:numPr>
        <w:rPr>
          <w:rFonts w:ascii="Arial" w:cs="Arial" w:eastAsia="Arial" w:hAnsi="Arial"/>
          <w:sz w:val="21"/>
          <w:szCs w:val="21"/>
          <w:color w:val="auto"/>
        </w:rPr>
      </w:pPr>
      <w:r>
        <w:rPr>
          <w:rFonts w:ascii="Arial" w:cs="Arial" w:eastAsia="Arial" w:hAnsi="Arial"/>
          <w:sz w:val="21"/>
          <w:szCs w:val="21"/>
          <w:color w:val="auto"/>
        </w:rPr>
        <w:t>(a) 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any such free writing prospectus the use of which has been consented to by the Company and the Representatives is listed on Schedule II(a) or Schedule II(c) hereto;</w:t>
      </w:r>
    </w:p>
    <w:p>
      <w:pPr>
        <w:spacing w:after="0" w:line="89" w:lineRule="exact"/>
        <w:rPr>
          <w:sz w:val="20"/>
          <w:szCs w:val="20"/>
          <w:color w:val="auto"/>
        </w:rPr>
      </w:pPr>
    </w:p>
    <w:p>
      <w:pPr>
        <w:ind w:left="660" w:right="219" w:firstLine="642"/>
        <w:spacing w:after="0" w:line="238" w:lineRule="auto"/>
        <w:tabs>
          <w:tab w:leader="none" w:pos="19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Company represents and agrees that (i) it has not engaged in, or authorized any other person to engage in, any Section 5(d) Communications, other</w:t>
      </w:r>
    </w:p>
    <w:p>
      <w:pPr>
        <w:spacing w:after="0" w:line="20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 w:name="page25"/>
    <w:bookmarkEnd w:id="24"/>
    <w:p>
      <w:pPr>
        <w:jc w:val="both"/>
        <w:ind w:left="660" w:right="219"/>
        <w:spacing w:after="0" w:line="241" w:lineRule="auto"/>
        <w:rPr>
          <w:sz w:val="20"/>
          <w:szCs w:val="20"/>
          <w:color w:val="auto"/>
        </w:rPr>
      </w:pPr>
      <w:r>
        <w:rPr>
          <w:rFonts w:ascii="Arial" w:cs="Arial" w:eastAsia="Arial" w:hAnsi="Arial"/>
          <w:sz w:val="21"/>
          <w:szCs w:val="21"/>
          <w:color w:val="auto"/>
        </w:rPr>
        <w:t>than Section 5(d) Communications with the prior consent of the Representatives with entities that are qualified institutional buyers as defined in Rule 144A under the Act or institutions that are accredited investors as defined in Rule 501(a) under the Act; and</w:t>
      </w:r>
    </w:p>
    <w:p>
      <w:pPr>
        <w:spacing w:after="0" w:line="1" w:lineRule="exact"/>
        <w:rPr>
          <w:sz w:val="20"/>
          <w:szCs w:val="20"/>
          <w:color w:val="auto"/>
        </w:rPr>
      </w:pPr>
    </w:p>
    <w:p>
      <w:pPr>
        <w:jc w:val="both"/>
        <w:ind w:left="660" w:right="219" w:hanging="6"/>
        <w:spacing w:after="0" w:line="233" w:lineRule="auto"/>
        <w:tabs>
          <w:tab w:leader="none" w:pos="992" w:val="left"/>
        </w:tabs>
        <w:numPr>
          <w:ilvl w:val="0"/>
          <w:numId w:val="28"/>
        </w:numPr>
        <w:rPr>
          <w:rFonts w:ascii="Arial" w:cs="Arial" w:eastAsia="Arial" w:hAnsi="Arial"/>
          <w:sz w:val="22"/>
          <w:szCs w:val="22"/>
          <w:color w:val="auto"/>
        </w:rPr>
      </w:pPr>
      <w:r>
        <w:rPr>
          <w:rFonts w:ascii="Arial" w:cs="Arial" w:eastAsia="Arial" w:hAnsi="Arial"/>
          <w:sz w:val="22"/>
          <w:szCs w:val="22"/>
          <w:color w:val="auto"/>
        </w:rPr>
        <w:t>it has not distributed, or authorized any other person to distribute, any Section 5(d) Writings, other than those distributed with the prior consent of the Representatives that are listed on Schedule II(b) hereto; and the Company reconfirms that the Underwriters have been authorized to act on its behalf in engaging in Section 5(d) Communications;</w:t>
      </w:r>
    </w:p>
    <w:p>
      <w:pPr>
        <w:spacing w:after="0" w:line="203" w:lineRule="exact"/>
        <w:rPr>
          <w:rFonts w:ascii="Arial" w:cs="Arial" w:eastAsia="Arial" w:hAnsi="Arial"/>
          <w:sz w:val="22"/>
          <w:szCs w:val="22"/>
          <w:color w:val="auto"/>
        </w:rPr>
      </w:pPr>
    </w:p>
    <w:p>
      <w:pPr>
        <w:jc w:val="both"/>
        <w:ind w:left="660" w:right="219" w:firstLine="642"/>
        <w:spacing w:after="0" w:line="233" w:lineRule="auto"/>
        <w:tabs>
          <w:tab w:leader="none" w:pos="1916" w:val="left"/>
        </w:tabs>
        <w:numPr>
          <w:ilvl w:val="1"/>
          <w:numId w:val="28"/>
        </w:numPr>
        <w:rPr>
          <w:rFonts w:ascii="Arial" w:cs="Arial" w:eastAsia="Arial" w:hAnsi="Arial"/>
          <w:sz w:val="22"/>
          <w:szCs w:val="22"/>
          <w:color w:val="auto"/>
        </w:rPr>
      </w:pPr>
      <w:r>
        <w:rPr>
          <w:rFonts w:ascii="Arial" w:cs="Arial" w:eastAsia="Arial" w:hAnsi="Arial"/>
          <w:sz w:val="22"/>
          <w:szCs w:val="22"/>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201" w:lineRule="exact"/>
        <w:rPr>
          <w:rFonts w:ascii="Arial" w:cs="Arial" w:eastAsia="Arial" w:hAnsi="Arial"/>
          <w:sz w:val="22"/>
          <w:szCs w:val="22"/>
          <w:color w:val="auto"/>
        </w:rPr>
      </w:pPr>
    </w:p>
    <w:p>
      <w:pPr>
        <w:jc w:val="both"/>
        <w:ind w:left="660" w:right="219" w:firstLine="642"/>
        <w:spacing w:after="0" w:line="231" w:lineRule="auto"/>
        <w:tabs>
          <w:tab w:leader="none" w:pos="1859" w:val="left"/>
        </w:tabs>
        <w:numPr>
          <w:ilvl w:val="1"/>
          <w:numId w:val="28"/>
        </w:numPr>
        <w:rPr>
          <w:rFonts w:ascii="Arial" w:cs="Arial" w:eastAsia="Arial" w:hAnsi="Arial"/>
          <w:sz w:val="22"/>
          <w:szCs w:val="22"/>
          <w:color w:val="auto"/>
        </w:rPr>
      </w:pPr>
      <w:r>
        <w:rPr>
          <w:rFonts w:ascii="Arial" w:cs="Arial" w:eastAsia="Arial" w:hAnsi="Arial"/>
          <w:sz w:val="22"/>
          <w:szCs w:val="22"/>
          <w:color w:val="auto"/>
        </w:rPr>
        <w:t>The Company agrees that if at any time following issuance of an Issuer Free Writing Prospectus or any Section 5(d) Writing prepared or authorized by it any event occurred or occurs as a result of which such Issuer Free Writing Prospectus or Section 5(d) Writing prepared or authorized by it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Section 5(d) Writing prepared or authorized by it or other document which will correct such conflict, statement or omission; provided, however, that this covenant shall not apply to any statements or omissions in an Issuer Free Writing Prospectus or Section 5(d) Writing prepared or authorized by it made in reliance upon and in conformity with information furnished in writing to the Company by an Underwriter through the Representatives expressly for use therein.</w:t>
      </w:r>
    </w:p>
    <w:p>
      <w:pPr>
        <w:spacing w:after="0" w:line="210" w:lineRule="exact"/>
        <w:rPr>
          <w:sz w:val="20"/>
          <w:szCs w:val="20"/>
          <w:color w:val="auto"/>
        </w:rPr>
      </w:pPr>
    </w:p>
    <w:p>
      <w:pPr>
        <w:jc w:val="both"/>
        <w:ind w:left="660" w:right="219" w:firstLine="642"/>
        <w:spacing w:after="0" w:line="232" w:lineRule="auto"/>
        <w:tabs>
          <w:tab w:leader="none" w:pos="1808"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the Basic Prospectus, any Preliminary Prospectus, any Issuer Free Writing Prospectus and the Prospectus and amendments and supplements thereto and the mailing and delivering of copies thereof to the Underwriters and dealers; (ii) the cost of printing or producing any Agreement among Underwriters, this Agreement, any Blue Sky Memorandum, closing documents (including any compilations thereof) and any other documents in connection with the offering, purchase, sale and delivery of the</w:t>
      </w:r>
    </w:p>
    <w:p>
      <w:pPr>
        <w:spacing w:after="0" w:line="200"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 w:name="page26"/>
    <w:bookmarkEnd w:id="25"/>
    <w:p>
      <w:pPr>
        <w:jc w:val="both"/>
        <w:ind w:left="660" w:right="219"/>
        <w:spacing w:after="0" w:line="242" w:lineRule="auto"/>
        <w:rPr>
          <w:sz w:val="20"/>
          <w:szCs w:val="20"/>
          <w:color w:val="auto"/>
        </w:rPr>
      </w:pPr>
      <w:r>
        <w:rPr>
          <w:rFonts w:ascii="Arial" w:cs="Arial" w:eastAsia="Arial" w:hAnsi="Arial"/>
          <w:sz w:val="21"/>
          <w:szCs w:val="21"/>
          <w:color w:val="auto"/>
        </w:rPr>
        <w:t>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survey (iv) all fees and expenses in connection with listing the Shares on The NASDAQ Global Select Market; (v) the filing fees incident to, and the fees and disbursements of counsel for the Underwriters in connection with, any required review by FINRA of the terms of the sale of the Shares; (vi) the cost of preparing stock certificates; (vii) the cost and charges of any transfer agent or registrar; (viii) all costs and expenses of the Company related to investor presentations on any “road show” undertaken in connection with the marketing of the Shares, including without limitation, expenses associated with the production of road show slides and graphics, fees and expenses of any consultants engaged in connection with the road show presentations, travel and lodging expenses of the representatives and officers of the Company and any such consultants (not including the Underwriters and their representatives) (provided, however, that the Underwriters and the Company shall each pay 50% of the cost of any aircraft chartered in connection with any road show meetings); and (ix) all other costs and expenses incident to the performance of its obligations hereunder which are not otherwise specifically provided for in this Section; provided, however, that the amount payable by the Company pursuant to subsections (iii) and (v) and for the fees and disbursements of counsel to the Underwriters described in subsections (iii) and (v) of this Section 7 shall not exceed $50,000 in the aggregate. It is understood, however, that, except as provided in this Section, and Sections 9 and 12 hereof, the Underwriters will pay all of their own costs and expenses, including the fees of their counsel, stock transfer taxes on resale of any of the Shares by them, and any advertising expenses connected with any offers they may make.</w:t>
      </w:r>
    </w:p>
    <w:p>
      <w:pPr>
        <w:spacing w:after="0" w:line="179" w:lineRule="exact"/>
        <w:rPr>
          <w:sz w:val="20"/>
          <w:szCs w:val="20"/>
          <w:color w:val="auto"/>
        </w:rPr>
      </w:pPr>
    </w:p>
    <w:p>
      <w:pPr>
        <w:jc w:val="both"/>
        <w:ind w:left="660" w:right="219" w:firstLine="642"/>
        <w:spacing w:after="0" w:line="237" w:lineRule="auto"/>
        <w:tabs>
          <w:tab w:leader="none" w:pos="1821"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obligations of the Underwriters hereunder</w:t>
      </w:r>
      <w:r>
        <w:rPr>
          <w:rFonts w:ascii="Arial" w:cs="Arial" w:eastAsia="Arial" w:hAnsi="Arial"/>
          <w:sz w:val="22"/>
          <w:szCs w:val="22"/>
          <w:b w:val="1"/>
          <w:bCs w:val="1"/>
          <w:color w:val="auto"/>
        </w:rPr>
        <w:t>,</w:t>
      </w:r>
      <w:r>
        <w:rPr>
          <w:rFonts w:ascii="Arial" w:cs="Arial" w:eastAsia="Arial" w:hAnsi="Arial"/>
          <w:sz w:val="22"/>
          <w:szCs w:val="22"/>
          <w:color w:val="auto"/>
        </w:rPr>
        <w:t xml:space="preserve"> as to the Shares to be delivered at each Time of Delivery, shall be subject, in their discretion, to the condition that all representations and warranties and other statements of the Company herein are, at and as of such Time of Delivery, true and correct, the condition that the Company shall have performed all of its obligations hereunder theretofore to be performed, and the following additional conditions:</w:t>
      </w:r>
    </w:p>
    <w:p>
      <w:pPr>
        <w:spacing w:after="0" w:line="93" w:lineRule="exact"/>
        <w:rPr>
          <w:rFonts w:ascii="Arial" w:cs="Arial" w:eastAsia="Arial" w:hAnsi="Arial"/>
          <w:sz w:val="22"/>
          <w:szCs w:val="22"/>
          <w:color w:val="auto"/>
        </w:rPr>
      </w:pPr>
    </w:p>
    <w:p>
      <w:pPr>
        <w:jc w:val="both"/>
        <w:ind w:left="1300" w:right="219" w:firstLine="407"/>
        <w:spacing w:after="0" w:line="232" w:lineRule="auto"/>
        <w:tabs>
          <w:tab w:leader="none" w:pos="2235"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w:t>
      </w:r>
    </w:p>
    <w:p>
      <w:pPr>
        <w:spacing w:after="0" w:line="202"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 w:name="page27"/>
    <w:bookmarkEnd w:id="26"/>
    <w:p>
      <w:pPr>
        <w:jc w:val="both"/>
        <w:ind w:left="1300" w:right="219"/>
        <w:spacing w:after="0" w:line="233" w:lineRule="auto"/>
        <w:rPr>
          <w:sz w:val="20"/>
          <w:szCs w:val="20"/>
          <w:color w:val="auto"/>
        </w:rPr>
      </w:pPr>
      <w:r>
        <w:rPr>
          <w:rFonts w:ascii="Arial" w:cs="Arial" w:eastAsia="Arial" w:hAnsi="Arial"/>
          <w:sz w:val="22"/>
          <w:szCs w:val="22"/>
          <w:color w:val="auto"/>
        </w:rPr>
        <w:t>thereof shall have been issued and no proceeding for that purpose shall have been initiated or threatened by the Commission; no stop order suspending or preventing the use of the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93" w:lineRule="exact"/>
        <w:rPr>
          <w:sz w:val="20"/>
          <w:szCs w:val="20"/>
          <w:color w:val="auto"/>
        </w:rPr>
      </w:pPr>
    </w:p>
    <w:p>
      <w:pPr>
        <w:jc w:val="both"/>
        <w:ind w:left="1300" w:right="219" w:firstLine="407"/>
        <w:spacing w:after="0" w:line="232" w:lineRule="auto"/>
        <w:tabs>
          <w:tab w:leader="none" w:pos="2367" w:val="left"/>
        </w:tabs>
        <w:numPr>
          <w:ilvl w:val="0"/>
          <w:numId w:val="31"/>
        </w:numPr>
        <w:rPr>
          <w:rFonts w:ascii="Arial" w:cs="Arial" w:eastAsia="Arial" w:hAnsi="Arial"/>
          <w:sz w:val="22"/>
          <w:szCs w:val="22"/>
          <w:color w:val="auto"/>
        </w:rPr>
      </w:pPr>
      <w:r>
        <w:rPr>
          <w:rFonts w:ascii="Arial" w:cs="Arial" w:eastAsia="Arial" w:hAnsi="Arial"/>
          <w:sz w:val="22"/>
          <w:szCs w:val="22"/>
          <w:color w:val="auto"/>
        </w:rPr>
        <w:t>Latham &amp; Watkins LLP, counsel for the Underwriters, shall have furnished to you their written opinion (a form of such opinion is attached as Annex II(a) hereto), dated such Time of Delivery, in form and substance satisfactory to you, as well as such other related matters as you may reasonably request, and such counsel shall have received such papers and information as they may reasonably request to enable them to pass upon such matters;</w:t>
      </w:r>
    </w:p>
    <w:p>
      <w:pPr>
        <w:spacing w:after="0" w:line="97" w:lineRule="exact"/>
        <w:rPr>
          <w:rFonts w:ascii="Arial" w:cs="Arial" w:eastAsia="Arial" w:hAnsi="Arial"/>
          <w:sz w:val="22"/>
          <w:szCs w:val="22"/>
          <w:color w:val="auto"/>
        </w:rPr>
      </w:pPr>
    </w:p>
    <w:p>
      <w:pPr>
        <w:jc w:val="both"/>
        <w:ind w:left="1300" w:right="219" w:firstLine="407"/>
        <w:spacing w:after="0" w:line="246" w:lineRule="auto"/>
        <w:tabs>
          <w:tab w:leader="none" w:pos="2206" w:val="left"/>
        </w:tabs>
        <w:numPr>
          <w:ilvl w:val="0"/>
          <w:numId w:val="31"/>
        </w:numPr>
        <w:rPr>
          <w:rFonts w:ascii="Arial" w:cs="Arial" w:eastAsia="Arial" w:hAnsi="Arial"/>
          <w:sz w:val="21"/>
          <w:szCs w:val="21"/>
          <w:color w:val="auto"/>
        </w:rPr>
      </w:pPr>
      <w:r>
        <w:rPr>
          <w:rFonts w:ascii="Arial" w:cs="Arial" w:eastAsia="Arial" w:hAnsi="Arial"/>
          <w:sz w:val="21"/>
          <w:szCs w:val="21"/>
          <w:color w:val="auto"/>
        </w:rPr>
        <w:t>Goodwin Proctor LLP, counsel for the Company, shall have furnished to the Representatives their written opinion (in substantially the form attached hereto as Annex II(b)-1 previously agreed to by the parties) and negative assurance letter (in substantially the form attached hereto as Annex II(b)-2 previously agreed to be the parties), dated such Time of Delivery;</w:t>
      </w:r>
    </w:p>
    <w:p>
      <w:pPr>
        <w:spacing w:after="0" w:line="85" w:lineRule="exact"/>
        <w:rPr>
          <w:rFonts w:ascii="Arial" w:cs="Arial" w:eastAsia="Arial" w:hAnsi="Arial"/>
          <w:sz w:val="21"/>
          <w:szCs w:val="21"/>
          <w:color w:val="auto"/>
        </w:rPr>
      </w:pPr>
    </w:p>
    <w:p>
      <w:pPr>
        <w:jc w:val="both"/>
        <w:ind w:left="1300" w:right="219" w:firstLine="407"/>
        <w:spacing w:after="0" w:line="234" w:lineRule="auto"/>
        <w:tabs>
          <w:tab w:leader="none" w:pos="2430" w:val="left"/>
        </w:tabs>
        <w:numPr>
          <w:ilvl w:val="0"/>
          <w:numId w:val="31"/>
        </w:numPr>
        <w:rPr>
          <w:rFonts w:ascii="Arial" w:cs="Arial" w:eastAsia="Arial" w:hAnsi="Arial"/>
          <w:sz w:val="22"/>
          <w:szCs w:val="22"/>
          <w:color w:val="auto"/>
        </w:rPr>
      </w:pPr>
      <w:r>
        <w:rPr>
          <w:rFonts w:ascii="Arial" w:cs="Arial" w:eastAsia="Arial" w:hAnsi="Arial"/>
          <w:sz w:val="22"/>
          <w:szCs w:val="22"/>
          <w:color w:val="auto"/>
        </w:rPr>
        <w:t>Lando &amp; Anastasi, LLP, special counsel for the Company with respect to intellectual property matters, shall have furnished to you their written opinion (in substantially the form attached hereto as Annex II(c) as previously agreed to by the parties), dated such Time of Delivery;</w:t>
      </w:r>
    </w:p>
    <w:p>
      <w:pPr>
        <w:spacing w:after="0" w:line="93" w:lineRule="exact"/>
        <w:rPr>
          <w:rFonts w:ascii="Arial" w:cs="Arial" w:eastAsia="Arial" w:hAnsi="Arial"/>
          <w:sz w:val="22"/>
          <w:szCs w:val="22"/>
          <w:color w:val="auto"/>
        </w:rPr>
      </w:pPr>
    </w:p>
    <w:p>
      <w:pPr>
        <w:jc w:val="both"/>
        <w:ind w:left="1300" w:right="219" w:firstLine="407"/>
        <w:spacing w:after="0" w:line="245" w:lineRule="exact"/>
        <w:tabs>
          <w:tab w:leader="none" w:pos="2213" w:val="left"/>
        </w:tabs>
        <w:numPr>
          <w:ilvl w:val="0"/>
          <w:numId w:val="31"/>
        </w:numPr>
        <w:rPr>
          <w:rFonts w:ascii="Arial" w:cs="Arial" w:eastAsia="Arial" w:hAnsi="Arial"/>
          <w:sz w:val="21"/>
          <w:szCs w:val="21"/>
          <w:color w:val="auto"/>
        </w:rPr>
      </w:pPr>
      <w:r>
        <w:rPr>
          <w:rFonts w:ascii="Arial" w:cs="Arial" w:eastAsia="Arial" w:hAnsi="Arial"/>
          <w:sz w:val="21"/>
          <w:szCs w:val="21"/>
          <w:color w:val="auto"/>
        </w:rPr>
        <w:t>On the date of the Prospectus immediately following the execution of this Agreement, at 9:30 a.m., New York City time, on the effective date of any post</w:t>
      </w:r>
      <w:r>
        <w:rPr>
          <w:rFonts w:ascii="MS PGothic" w:cs="MS PGothic" w:eastAsia="MS PGothic" w:hAnsi="MS PGothic"/>
          <w:sz w:val="21"/>
          <w:szCs w:val="21"/>
          <w:color w:val="auto"/>
        </w:rPr>
        <w:t>‑</w:t>
      </w:r>
      <w:r>
        <w:rPr>
          <w:rFonts w:ascii="Arial" w:cs="Arial" w:eastAsia="Arial" w:hAnsi="Arial"/>
          <w:sz w:val="21"/>
          <w:szCs w:val="21"/>
          <w:color w:val="auto"/>
        </w:rPr>
        <w:t>effective amendment to the Registration Statement filed subsequent to the date of this Agreement and also at each Time of Delivery, Ernst &amp; Young LLP shall have furnished to you a letter or letters, dated the respective dates of delivery thereof, in form and substance satisfactory to you, to the effect set forth in Annex I hereto (the executed copy of the letter is attached as Annex I(a) hereto and a draft of the form of letter to be delivered on the effective date of any post-effective amendment to the Registration Statement and as of each Time of Delivery is attached as Annex I(b) hereto);</w:t>
      </w:r>
    </w:p>
    <w:p>
      <w:pPr>
        <w:spacing w:after="0" w:line="93" w:lineRule="exact"/>
        <w:rPr>
          <w:rFonts w:ascii="Arial" w:cs="Arial" w:eastAsia="Arial" w:hAnsi="Arial"/>
          <w:sz w:val="21"/>
          <w:szCs w:val="21"/>
          <w:color w:val="auto"/>
        </w:rPr>
      </w:pPr>
    </w:p>
    <w:p>
      <w:pPr>
        <w:jc w:val="both"/>
        <w:ind w:left="1300" w:right="219" w:firstLine="407"/>
        <w:spacing w:after="0" w:line="232" w:lineRule="auto"/>
        <w:tabs>
          <w:tab w:leader="none" w:pos="2385" w:val="left"/>
        </w:tabs>
        <w:numPr>
          <w:ilvl w:val="0"/>
          <w:numId w:val="31"/>
        </w:numPr>
        <w:rPr>
          <w:rFonts w:ascii="Arial" w:cs="Arial" w:eastAsia="Arial" w:hAnsi="Arial"/>
          <w:sz w:val="22"/>
          <w:szCs w:val="22"/>
          <w:color w:val="auto"/>
        </w:rPr>
      </w:pPr>
      <w:r>
        <w:rPr>
          <w:rFonts w:ascii="Arial" w:cs="Arial" w:eastAsia="Arial" w:hAnsi="Arial"/>
          <w:sz w:val="22"/>
          <w:szCs w:val="22"/>
          <w:color w:val="auto"/>
        </w:rPr>
        <w:t>(i) Neither the Company nor any of its subsidiaries shall have sustained since the date of the latest audited financial statements included or incorporated by reference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w:t>
      </w:r>
    </w:p>
    <w:p>
      <w:pPr>
        <w:spacing w:after="0" w:line="205"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 w:name="page28"/>
    <w:bookmarkEnd w:id="27"/>
    <w:p>
      <w:pPr>
        <w:jc w:val="both"/>
        <w:ind w:left="1300" w:right="219"/>
        <w:spacing w:after="0" w:line="244" w:lineRule="exact"/>
        <w:rPr>
          <w:sz w:val="20"/>
          <w:szCs w:val="20"/>
          <w:color w:val="auto"/>
        </w:rPr>
      </w:pPr>
      <w:r>
        <w:rPr>
          <w:rFonts w:ascii="Arial" w:cs="Arial" w:eastAsia="Arial" w:hAnsi="Arial"/>
          <w:sz w:val="22"/>
          <w:szCs w:val="22"/>
          <w:color w:val="auto"/>
        </w:rPr>
        <w:t>have been any change in the capital stock (other than as a result of the exercise of stock options or the award of stock options or restricted stock in the ordinary course of business pursuant to the Company’s equity plans that are described in the Pricing Prospectus) or long</w:t>
      </w:r>
      <w:r>
        <w:rPr>
          <w:rFonts w:ascii="MS PGothic" w:cs="MS PGothic" w:eastAsia="MS PGothic" w:hAnsi="MS PGothic"/>
          <w:sz w:val="22"/>
          <w:szCs w:val="22"/>
          <w:color w:val="auto"/>
        </w:rPr>
        <w:t>‑</w:t>
      </w:r>
      <w:r>
        <w:rPr>
          <w:rFonts w:ascii="Arial" w:cs="Arial" w:eastAsia="Arial" w:hAnsi="Arial"/>
          <w:sz w:val="22"/>
          <w:szCs w:val="22"/>
          <w:color w:val="auto"/>
        </w:rPr>
        <w:t>term debt of the Company or any of its subsidiaries or any change, or any development involving a prospective change, in or affecting the general affairs, management, financial position, stockholders’ equity, results of operations or prospects of the Company and its subsidiaries, otherwise than as set forth or contemplated in the Pricing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w:t>
      </w:r>
    </w:p>
    <w:p>
      <w:pPr>
        <w:spacing w:after="0" w:line="103" w:lineRule="exact"/>
        <w:rPr>
          <w:sz w:val="20"/>
          <w:szCs w:val="20"/>
          <w:color w:val="auto"/>
        </w:rPr>
      </w:pPr>
    </w:p>
    <w:p>
      <w:pPr>
        <w:jc w:val="both"/>
        <w:ind w:left="1300" w:right="219" w:firstLine="407"/>
        <w:spacing w:after="0" w:line="241" w:lineRule="auto"/>
        <w:tabs>
          <w:tab w:leader="none" w:pos="2236" w:val="left"/>
        </w:tabs>
        <w:numPr>
          <w:ilvl w:val="1"/>
          <w:numId w:val="32"/>
        </w:numPr>
        <w:rPr>
          <w:rFonts w:ascii="Arial" w:cs="Arial" w:eastAsia="Arial" w:hAnsi="Arial"/>
          <w:sz w:val="21"/>
          <w:szCs w:val="21"/>
          <w:color w:val="auto"/>
        </w:rPr>
      </w:pPr>
      <w:r>
        <w:rPr>
          <w:rFonts w:ascii="Arial" w:cs="Arial" w:eastAsia="Arial" w:hAnsi="Arial"/>
          <w:sz w:val="21"/>
          <w:szCs w:val="21"/>
          <w:color w:val="auto"/>
        </w:rPr>
        <w:t>On or after the Applicable Time there shall not have occurred any of the following: (i) a suspension or material limitation in trading in securities generally on the New York Stock Exchange or The NASDAQ Global Select Market; (ii) a suspension or material limitation in trading in the Company’s securities on The NASDAQ Global Select Market or the New York Stock Exchange; (iii) a general moratorium on commercial banking activities declared by either Federal or New York or Massachusetts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w:t>
      </w:r>
    </w:p>
    <w:p>
      <w:pPr>
        <w:spacing w:after="0" w:line="7" w:lineRule="exact"/>
        <w:rPr>
          <w:rFonts w:ascii="Arial" w:cs="Arial" w:eastAsia="Arial" w:hAnsi="Arial"/>
          <w:sz w:val="21"/>
          <w:szCs w:val="21"/>
          <w:color w:val="auto"/>
        </w:rPr>
      </w:pPr>
    </w:p>
    <w:p>
      <w:pPr>
        <w:jc w:val="both"/>
        <w:ind w:left="1300" w:right="219" w:firstLine="2"/>
        <w:spacing w:after="0" w:line="235" w:lineRule="auto"/>
        <w:tabs>
          <w:tab w:leader="none" w:pos="1621"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 your judgment makes it impracticable or inadvisable to proceed with the public offering or the delivery of the Shares being delivered at such Time of Delivery on the terms and in the manner contemplated in the Prospectus;</w:t>
      </w:r>
    </w:p>
    <w:p>
      <w:pPr>
        <w:spacing w:after="0" w:line="94" w:lineRule="exact"/>
        <w:rPr>
          <w:rFonts w:ascii="Arial" w:cs="Arial" w:eastAsia="Arial" w:hAnsi="Arial"/>
          <w:sz w:val="22"/>
          <w:szCs w:val="22"/>
          <w:color w:val="auto"/>
        </w:rPr>
      </w:pPr>
    </w:p>
    <w:p>
      <w:pPr>
        <w:ind w:left="1300" w:right="219" w:firstLine="407"/>
        <w:spacing w:after="0" w:line="238" w:lineRule="auto"/>
        <w:tabs>
          <w:tab w:leader="none" w:pos="2225"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The Shares to be sold at such Time of Delivery shall have been duly listed on The NASDAQ Global Select Market;</w:t>
      </w:r>
    </w:p>
    <w:p>
      <w:pPr>
        <w:spacing w:after="0" w:line="92" w:lineRule="exact"/>
        <w:rPr>
          <w:rFonts w:ascii="Arial" w:cs="Arial" w:eastAsia="Arial" w:hAnsi="Arial"/>
          <w:sz w:val="22"/>
          <w:szCs w:val="22"/>
          <w:color w:val="auto"/>
        </w:rPr>
      </w:pPr>
    </w:p>
    <w:p>
      <w:pPr>
        <w:jc w:val="both"/>
        <w:ind w:left="1300" w:right="219" w:firstLine="407"/>
        <w:spacing w:after="0" w:line="247" w:lineRule="auto"/>
        <w:tabs>
          <w:tab w:leader="none" w:pos="2175" w:val="left"/>
        </w:tabs>
        <w:numPr>
          <w:ilvl w:val="1"/>
          <w:numId w:val="33"/>
        </w:numPr>
        <w:rPr>
          <w:rFonts w:ascii="Arial" w:cs="Arial" w:eastAsia="Arial" w:hAnsi="Arial"/>
          <w:sz w:val="21"/>
          <w:szCs w:val="21"/>
          <w:color w:val="auto"/>
        </w:rPr>
      </w:pPr>
      <w:r>
        <w:rPr>
          <w:rFonts w:ascii="Arial" w:cs="Arial" w:eastAsia="Arial" w:hAnsi="Arial"/>
          <w:sz w:val="21"/>
          <w:szCs w:val="21"/>
          <w:color w:val="auto"/>
        </w:rPr>
        <w:t>The Company shall have obtained and delivered to the Underwriters executed copies of an agreement from the officers, directors, and such other holders of the Company’s securities as you may require, substantially to the effect set forth in Annex III hereof in form and substance satisfactory to you;</w:t>
      </w:r>
    </w:p>
    <w:p>
      <w:pPr>
        <w:spacing w:after="0" w:line="86" w:lineRule="exact"/>
        <w:rPr>
          <w:rFonts w:ascii="Arial" w:cs="Arial" w:eastAsia="Arial" w:hAnsi="Arial"/>
          <w:sz w:val="21"/>
          <w:szCs w:val="21"/>
          <w:color w:val="auto"/>
        </w:rPr>
      </w:pPr>
    </w:p>
    <w:p>
      <w:pPr>
        <w:jc w:val="both"/>
        <w:ind w:left="1300" w:right="219" w:firstLine="407"/>
        <w:spacing w:after="0" w:line="235" w:lineRule="auto"/>
        <w:tabs>
          <w:tab w:leader="none" w:pos="2149"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The Company shall have complied with the provisions of Section 5(c) hereof with respect to the furnishing of prospectuses on the New York Business Day next succeeding the date of this Agreement;</w:t>
      </w:r>
    </w:p>
    <w:p>
      <w:pPr>
        <w:spacing w:after="0" w:line="94" w:lineRule="exact"/>
        <w:rPr>
          <w:rFonts w:ascii="Arial" w:cs="Arial" w:eastAsia="Arial" w:hAnsi="Arial"/>
          <w:sz w:val="22"/>
          <w:szCs w:val="22"/>
          <w:color w:val="auto"/>
        </w:rPr>
      </w:pPr>
    </w:p>
    <w:p>
      <w:pPr>
        <w:jc w:val="both"/>
        <w:ind w:left="1300" w:right="219" w:firstLine="407"/>
        <w:spacing w:after="0" w:line="235" w:lineRule="auto"/>
        <w:tabs>
          <w:tab w:leader="none" w:pos="2222"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The Company shall have furnished or caused to be furnished to you at such Time of Delivery certificates of officers of the Company satisfactory to you as to the accuracy of the representations and warranties</w:t>
      </w:r>
    </w:p>
    <w:p>
      <w:pPr>
        <w:spacing w:after="0" w:line="202"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8" w:name="page29"/>
    <w:bookmarkEnd w:id="28"/>
    <w:p>
      <w:pPr>
        <w:jc w:val="both"/>
        <w:ind w:left="1300" w:right="219"/>
        <w:spacing w:after="0" w:line="233" w:lineRule="auto"/>
        <w:rPr>
          <w:sz w:val="20"/>
          <w:szCs w:val="20"/>
          <w:color w:val="auto"/>
        </w:rPr>
      </w:pPr>
      <w:r>
        <w:rPr>
          <w:rFonts w:ascii="Arial" w:cs="Arial" w:eastAsia="Arial" w:hAnsi="Arial"/>
          <w:sz w:val="22"/>
          <w:szCs w:val="22"/>
          <w:color w:val="auto"/>
        </w:rPr>
        <w:t>of the Company herein at and as of such Time of Delivery, as to the performance by the Company of all of its obligations hereunder to be performed at or prior to such Time of Delivery, as to the matters set forth in subsections (a) and (f) of this Section and as to such other matters as you may reasonably request; and</w:t>
      </w:r>
    </w:p>
    <w:p>
      <w:pPr>
        <w:spacing w:after="0" w:line="95" w:lineRule="exact"/>
        <w:rPr>
          <w:sz w:val="20"/>
          <w:szCs w:val="20"/>
          <w:color w:val="auto"/>
        </w:rPr>
      </w:pPr>
    </w:p>
    <w:p>
      <w:pPr>
        <w:jc w:val="both"/>
        <w:ind w:left="1300" w:right="219" w:firstLine="407"/>
        <w:spacing w:after="0" w:line="235" w:lineRule="auto"/>
        <w:tabs>
          <w:tab w:leader="none" w:pos="2188" w:val="left"/>
        </w:tabs>
        <w:numPr>
          <w:ilvl w:val="1"/>
          <w:numId w:val="34"/>
        </w:numPr>
        <w:rPr>
          <w:rFonts w:ascii="Arial" w:cs="Arial" w:eastAsia="Arial" w:hAnsi="Arial"/>
          <w:sz w:val="22"/>
          <w:szCs w:val="22"/>
          <w:color w:val="auto"/>
        </w:rPr>
      </w:pPr>
      <w:r>
        <w:rPr>
          <w:rFonts w:ascii="Arial" w:cs="Arial" w:eastAsia="Arial" w:hAnsi="Arial"/>
          <w:sz w:val="22"/>
          <w:szCs w:val="22"/>
          <w:color w:val="auto"/>
        </w:rPr>
        <w:t>FINRA shall have confirmed that it has not raised any objection with respect to the fairness and reasonableness of the underwriting terms and arrangements relating to the offering of the Shares.</w:t>
      </w:r>
    </w:p>
    <w:p>
      <w:pPr>
        <w:spacing w:after="0" w:line="94" w:lineRule="exact"/>
        <w:rPr>
          <w:rFonts w:ascii="Arial" w:cs="Arial" w:eastAsia="Arial" w:hAnsi="Arial"/>
          <w:sz w:val="22"/>
          <w:szCs w:val="22"/>
          <w:color w:val="auto"/>
        </w:rPr>
      </w:pPr>
    </w:p>
    <w:p>
      <w:pPr>
        <w:jc w:val="both"/>
        <w:ind w:left="660" w:right="219" w:firstLine="642"/>
        <w:spacing w:after="0" w:line="242" w:lineRule="auto"/>
        <w:tabs>
          <w:tab w:leader="none" w:pos="1783" w:val="left"/>
        </w:tabs>
        <w:numPr>
          <w:ilvl w:val="0"/>
          <w:numId w:val="35"/>
        </w:numPr>
        <w:rPr>
          <w:rFonts w:ascii="Arial" w:cs="Arial" w:eastAsia="Arial" w:hAnsi="Arial"/>
          <w:sz w:val="21"/>
          <w:szCs w:val="21"/>
          <w:color w:val="auto"/>
        </w:rPr>
      </w:pPr>
      <w:r>
        <w:rPr>
          <w:rFonts w:ascii="Arial" w:cs="Arial" w:eastAsia="Arial" w:hAnsi="Arial"/>
          <w:sz w:val="21"/>
          <w:szCs w:val="21"/>
          <w:color w:val="auto"/>
        </w:rPr>
        <w:t xml:space="preserve">(a) The Company will indemnify and hold harmless each Underwriter, its affiliates (as such term is defined in Rule 501(b) under the Act (each, an “Affiliate”)), its selling agents and each person, if any, who controls any Underwriter within the meaning of Section 15 of the Act or Section 20 of the Exchange Act (each an “Underwriter Indemnified Party”) against any losses, claims, damages or liabilities, joint or several, to which such Underwriter Indemnified Party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any Issuer Free Writing Prospectus or any Section 5(d) Writing,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and will reimburse each Underwriter Indemnified Party for any legal or other expenses reasonably incurred by such Underwriter Indemnified Party in connection with investigating or defending any such action or claim as such expenses are incurred; </w:t>
      </w: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the Company shall not be liable in any such case to the</w:t>
      </w:r>
      <w:r>
        <w:rPr>
          <w:rFonts w:ascii="Arial" w:cs="Arial" w:eastAsia="Arial" w:hAnsi="Arial"/>
          <w:sz w:val="21"/>
          <w:szCs w:val="21"/>
          <w:i w:val="1"/>
          <w:iCs w:val="1"/>
          <w:color w:val="auto"/>
        </w:rPr>
        <w:t xml:space="preserve"> </w:t>
      </w:r>
      <w:r>
        <w:rPr>
          <w:rFonts w:ascii="Arial" w:cs="Arial" w:eastAsia="Arial" w:hAnsi="Arial"/>
          <w:sz w:val="21"/>
          <w:szCs w:val="21"/>
          <w:color w:val="auto"/>
        </w:rPr>
        <w:t>extent that any such loss, claim, damage or liability arises out of or is based upon an untrue statement or alleged untrue statement or omission or alleged omission made in the Registration Statement, the Basic Prospectus, any Preliminary Prospectus, the Pricing Prospectus or the Prospectus, or any amendment or supplement thereto, or any Issuer Free Writing Prospectus, or any Section 5(d) Writing, in reliance upon and in conformity with written information furnished to the Company by any Underwriter through the Representatives expressly for use therein.</w:t>
      </w:r>
    </w:p>
    <w:p>
      <w:pPr>
        <w:spacing w:after="0" w:line="98" w:lineRule="exact"/>
        <w:rPr>
          <w:sz w:val="20"/>
          <w:szCs w:val="20"/>
          <w:color w:val="auto"/>
        </w:rPr>
      </w:pPr>
    </w:p>
    <w:p>
      <w:pPr>
        <w:jc w:val="both"/>
        <w:ind w:left="660" w:right="219" w:firstLine="642"/>
        <w:spacing w:after="0" w:line="232" w:lineRule="auto"/>
        <w:tabs>
          <w:tab w:leader="none" w:pos="2024" w:val="left"/>
        </w:tabs>
        <w:numPr>
          <w:ilvl w:val="0"/>
          <w:numId w:val="36"/>
        </w:numPr>
        <w:rPr>
          <w:rFonts w:ascii="Arial" w:cs="Arial" w:eastAsia="Arial" w:hAnsi="Arial"/>
          <w:sz w:val="22"/>
          <w:szCs w:val="22"/>
          <w:color w:val="auto"/>
        </w:rPr>
      </w:pPr>
      <w:r>
        <w:rPr>
          <w:rFonts w:ascii="Arial" w:cs="Arial" w:eastAsia="Arial" w:hAnsi="Arial"/>
          <w:sz w:val="22"/>
          <w:szCs w:val="22"/>
          <w:color w:val="auto"/>
        </w:rPr>
        <w:t>Each Underwriter, severally and not jointly, will indemnify and hold harmless the Company its directors, officers and Affiliates and each person, if any, who controls the Company within the meaning of Section 15 of the Act or Section 20 of the Exchange Act (each a “Company Indemnified Party”) against any losses, claims, damages or liabilities to which such Company Indemnified Party may become subject, under the Act or otherwise, insofar as such losses, claims, damages or liabilities (or actions in respect thereof) arise out of or are based upon an untrue statement or alleged untrue statement of a material fact contained in the</w:t>
      </w:r>
    </w:p>
    <w:p>
      <w:pPr>
        <w:spacing w:after="0" w:line="205"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9" w:name="page30"/>
    <w:bookmarkEnd w:id="29"/>
    <w:p>
      <w:pPr>
        <w:jc w:val="both"/>
        <w:ind w:left="660" w:right="219"/>
        <w:spacing w:after="0" w:line="231" w:lineRule="auto"/>
        <w:rPr>
          <w:sz w:val="20"/>
          <w:szCs w:val="20"/>
          <w:color w:val="auto"/>
        </w:rPr>
      </w:pPr>
      <w:r>
        <w:rPr>
          <w:rFonts w:ascii="Arial" w:cs="Arial" w:eastAsia="Arial" w:hAnsi="Arial"/>
          <w:sz w:val="22"/>
          <w:szCs w:val="22"/>
          <w:color w:val="auto"/>
        </w:rPr>
        <w:t>Registration Statement, the Basic Prospectus, any Preliminary Prospectus, the Pricing Prospectus or the Prospectus, or any amendment or supplement thereto, or any Issuer Free Writing Prospectus, or any Section 5(d) Writing,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any Preliminary Prospectus, the Pricing Prospectus or the Prospectus, or any amendment or supplement thereto, or any Issuer Free Writing Prospectus, or any Section 5(d) Writing, in reliance upon and in conformity with written information furnished to the Company by such Underwriter through the Representatives expressly for use therein; and will reimburse each Company Indemnified Party for any legal or other expenses reasonably incurred by such Company Indemnified Party in connection with investigating or defending any such action or claim as such expenses are incurred.</w:t>
      </w:r>
    </w:p>
    <w:p>
      <w:pPr>
        <w:spacing w:after="0" w:line="102" w:lineRule="exact"/>
        <w:rPr>
          <w:sz w:val="20"/>
          <w:szCs w:val="20"/>
          <w:color w:val="auto"/>
        </w:rPr>
      </w:pPr>
    </w:p>
    <w:p>
      <w:pPr>
        <w:jc w:val="both"/>
        <w:ind w:left="660" w:right="219" w:firstLine="642"/>
        <w:spacing w:after="0" w:line="231" w:lineRule="auto"/>
        <w:tabs>
          <w:tab w:leader="none" w:pos="1815" w:val="left"/>
        </w:tabs>
        <w:numPr>
          <w:ilvl w:val="0"/>
          <w:numId w:val="37"/>
        </w:numPr>
        <w:rPr>
          <w:rFonts w:ascii="Arial" w:cs="Arial" w:eastAsia="Arial" w:hAnsi="Arial"/>
          <w:sz w:val="22"/>
          <w:szCs w:val="22"/>
          <w:color w:val="auto"/>
        </w:rPr>
      </w:pPr>
      <w:r>
        <w:rPr>
          <w:rFonts w:ascii="Arial" w:cs="Arial" w:eastAsia="Arial" w:hAnsi="Arial"/>
          <w:sz w:val="22"/>
          <w:szCs w:val="22"/>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any statement as to or an admission of fault, culpability or a failure to act, by or on behalf of any indemnified party.</w:t>
      </w:r>
    </w:p>
    <w:p>
      <w:pPr>
        <w:spacing w:after="0" w:line="98" w:lineRule="exact"/>
        <w:rPr>
          <w:rFonts w:ascii="Arial" w:cs="Arial" w:eastAsia="Arial" w:hAnsi="Arial"/>
          <w:sz w:val="22"/>
          <w:szCs w:val="22"/>
          <w:color w:val="auto"/>
        </w:rPr>
      </w:pPr>
    </w:p>
    <w:p>
      <w:pPr>
        <w:ind w:left="660" w:right="219" w:firstLine="642"/>
        <w:spacing w:after="0" w:line="238" w:lineRule="auto"/>
        <w:tabs>
          <w:tab w:leader="none" w:pos="1904" w:val="left"/>
        </w:tabs>
        <w:numPr>
          <w:ilvl w:val="0"/>
          <w:numId w:val="37"/>
        </w:numPr>
        <w:rPr>
          <w:rFonts w:ascii="Arial" w:cs="Arial" w:eastAsia="Arial" w:hAnsi="Arial"/>
          <w:sz w:val="22"/>
          <w:szCs w:val="22"/>
          <w:color w:val="auto"/>
        </w:rPr>
      </w:pPr>
      <w:r>
        <w:rPr>
          <w:rFonts w:ascii="Arial" w:cs="Arial" w:eastAsia="Arial" w:hAnsi="Arial"/>
          <w:sz w:val="22"/>
          <w:szCs w:val="22"/>
          <w:color w:val="auto"/>
        </w:rPr>
        <w:t>If the indemnification provided for in this Section 9 is unavailable to or insufficient to hold harmless an indemnified party under subsection (a) or (b) above</w:t>
      </w:r>
    </w:p>
    <w:p>
      <w:pPr>
        <w:spacing w:after="0" w:line="20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0" w:name="page31"/>
    <w:bookmarkEnd w:id="30"/>
    <w:p>
      <w:pPr>
        <w:jc w:val="both"/>
        <w:ind w:left="660" w:right="219"/>
        <w:spacing w:after="0" w:line="242" w:lineRule="auto"/>
        <w:rPr>
          <w:sz w:val="20"/>
          <w:szCs w:val="20"/>
          <w:color w:val="auto"/>
        </w:rPr>
      </w:pPr>
      <w:r>
        <w:rPr>
          <w:rFonts w:ascii="Arial" w:cs="Arial" w:eastAsia="Arial" w:hAnsi="Arial"/>
          <w:sz w:val="21"/>
          <w:szCs w:val="21"/>
          <w:color w:val="auto"/>
        </w:rPr>
        <w:t xml:space="preserve">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99"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1" w:name="page32"/>
    <w:bookmarkEnd w:id="31"/>
    <w:p>
      <w:pPr>
        <w:jc w:val="both"/>
        <w:ind w:left="660" w:right="219" w:firstLine="642"/>
        <w:spacing w:after="0" w:line="232" w:lineRule="auto"/>
        <w:tabs>
          <w:tab w:leader="none" w:pos="1839"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obligations of the Company under this Section 9 shall be in addition to any liability which the Company may otherwise have and shall extend, upon the same terms and conditions, to each person, if any, who controls any Underwriter within the meaning of the Act and each broker-dealer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93" w:lineRule="exact"/>
        <w:rPr>
          <w:sz w:val="20"/>
          <w:szCs w:val="20"/>
          <w:color w:val="auto"/>
        </w:rPr>
      </w:pPr>
    </w:p>
    <w:p>
      <w:pPr>
        <w:jc w:val="both"/>
        <w:ind w:left="660" w:right="219" w:firstLine="642"/>
        <w:spacing w:after="0" w:line="244" w:lineRule="exact"/>
        <w:tabs>
          <w:tab w:leader="none" w:pos="2029" w:val="left"/>
        </w:tabs>
        <w:numPr>
          <w:ilvl w:val="0"/>
          <w:numId w:val="39"/>
        </w:numPr>
        <w:rPr>
          <w:rFonts w:ascii="Arial" w:cs="Arial" w:eastAsia="Arial" w:hAnsi="Arial"/>
          <w:sz w:val="22"/>
          <w:szCs w:val="22"/>
          <w:color w:val="auto"/>
        </w:rPr>
      </w:pPr>
      <w:r>
        <w:rPr>
          <w:rFonts w:ascii="Arial" w:cs="Arial" w:eastAsia="Arial" w:hAnsi="Arial"/>
          <w:sz w:val="22"/>
          <w:szCs w:val="22"/>
          <w:color w:val="auto"/>
        </w:rPr>
        <w:t>(a) If any Underwriter shall default in its obligation to purchase the Shares which it has agreed to purchase hereunder at a Time of Delivery, you may in your discretion arrange for you or another party or other parties to purchase such Shares on the terms contained herein. If within thirty</w:t>
      </w:r>
      <w:r>
        <w:rPr>
          <w:rFonts w:ascii="MS PGothic" w:cs="MS PGothic" w:eastAsia="MS PGothic" w:hAnsi="MS PGothic"/>
          <w:sz w:val="22"/>
          <w:szCs w:val="22"/>
          <w:color w:val="auto"/>
        </w:rPr>
        <w:t>‑</w:t>
      </w:r>
      <w:r>
        <w:rPr>
          <w:rFonts w:ascii="Arial" w:cs="Arial" w:eastAsia="Arial" w:hAnsi="Arial"/>
          <w:sz w:val="22"/>
          <w:szCs w:val="22"/>
          <w:color w:val="auto"/>
        </w:rPr>
        <w:t>six hours after such default by any Underwriter you do not arrange for the purchase of such Shares, then the Company shall be entitled to a further period of thirty</w:t>
      </w:r>
      <w:r>
        <w:rPr>
          <w:rFonts w:ascii="MS PGothic" w:cs="MS PGothic" w:eastAsia="MS PGothic" w:hAnsi="MS PGothic"/>
          <w:sz w:val="22"/>
          <w:szCs w:val="22"/>
          <w:color w:val="auto"/>
        </w:rPr>
        <w:t>‑</w:t>
      </w:r>
      <w:r>
        <w:rPr>
          <w:rFonts w:ascii="Arial" w:cs="Arial" w:eastAsia="Arial" w:hAnsi="Arial"/>
          <w:sz w:val="22"/>
          <w:szCs w:val="22"/>
          <w:color w:val="auto"/>
        </w:rPr>
        <w:t>six hours within which to procure another party or other parties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01" w:lineRule="exact"/>
        <w:rPr>
          <w:sz w:val="20"/>
          <w:szCs w:val="20"/>
          <w:color w:val="auto"/>
        </w:rPr>
      </w:pPr>
    </w:p>
    <w:p>
      <w:pPr>
        <w:jc w:val="both"/>
        <w:ind w:left="660" w:right="219" w:firstLine="642"/>
        <w:spacing w:after="0" w:line="244" w:lineRule="exact"/>
        <w:tabs>
          <w:tab w:leader="none" w:pos="1836" w:val="left"/>
        </w:tabs>
        <w:numPr>
          <w:ilvl w:val="0"/>
          <w:numId w:val="40"/>
        </w:numPr>
        <w:rPr>
          <w:rFonts w:ascii="Arial" w:cs="Arial" w:eastAsia="Arial" w:hAnsi="Arial"/>
          <w:sz w:val="22"/>
          <w:szCs w:val="22"/>
          <w:color w:val="auto"/>
        </w:rPr>
      </w:pPr>
      <w:r>
        <w:rPr>
          <w:rFonts w:ascii="Arial" w:cs="Arial" w:eastAsia="Arial" w:hAnsi="Arial"/>
          <w:sz w:val="22"/>
          <w:szCs w:val="22"/>
          <w:color w:val="auto"/>
        </w:rPr>
        <w:t>If, after giving effect to any arrangements for the purchase of the Shares of a defaulting Underwriter or Underwriters by you and the Company as provided in subsection (a) above, the aggregate number of such Shares which remains unpurchased does not exceed one</w:t>
      </w:r>
      <w:r>
        <w:rPr>
          <w:rFonts w:ascii="MS PGothic" w:cs="MS PGothic" w:eastAsia="MS PGothic" w:hAnsi="MS PGothic"/>
          <w:sz w:val="22"/>
          <w:szCs w:val="22"/>
          <w:color w:val="auto"/>
        </w:rPr>
        <w:t>‑</w:t>
      </w:r>
      <w:r>
        <w:rPr>
          <w:rFonts w:ascii="Arial" w:cs="Arial" w:eastAsia="Arial" w:hAnsi="Arial"/>
          <w:sz w:val="22"/>
          <w:szCs w:val="22"/>
          <w:color w:val="auto"/>
        </w:rPr>
        <w:t>eleventh of the aggregate number of all the Shares to be purchased at such Time of Delivery, then the Company shall have the right to require each non</w:t>
      </w:r>
      <w:r>
        <w:rPr>
          <w:rFonts w:ascii="MS PGothic" w:cs="MS PGothic" w:eastAsia="MS PGothic" w:hAnsi="MS PGothic"/>
          <w:sz w:val="22"/>
          <w:szCs w:val="22"/>
          <w:color w:val="auto"/>
        </w:rPr>
        <w:t>‑</w:t>
      </w:r>
      <w:r>
        <w:rPr>
          <w:rFonts w:ascii="Arial" w:cs="Arial" w:eastAsia="Arial" w:hAnsi="Arial"/>
          <w:sz w:val="22"/>
          <w:szCs w:val="22"/>
          <w:color w:val="auto"/>
        </w:rPr>
        <w:t>defaulting Underwriter to purchase the number of Shares which such Underwriter agreed to purchase hereunder at such Time of Delivery and, in addition, to require each non</w:t>
      </w:r>
      <w:r>
        <w:rPr>
          <w:rFonts w:ascii="MS PGothic" w:cs="MS PGothic" w:eastAsia="MS PGothic" w:hAnsi="MS PGothic"/>
          <w:sz w:val="22"/>
          <w:szCs w:val="22"/>
          <w:color w:val="auto"/>
        </w:rPr>
        <w:t>‑</w:t>
      </w:r>
      <w:r>
        <w:rPr>
          <w:rFonts w:ascii="Arial" w:cs="Arial" w:eastAsia="Arial" w:hAnsi="Arial"/>
          <w:sz w:val="22"/>
          <w:szCs w:val="22"/>
          <w:color w:val="auto"/>
        </w:rPr>
        <w:t>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03" w:lineRule="exact"/>
        <w:rPr>
          <w:rFonts w:ascii="Arial" w:cs="Arial" w:eastAsia="Arial" w:hAnsi="Arial"/>
          <w:sz w:val="22"/>
          <w:szCs w:val="22"/>
          <w:color w:val="auto"/>
        </w:rPr>
      </w:pPr>
    </w:p>
    <w:p>
      <w:pPr>
        <w:ind w:left="660" w:right="219" w:firstLine="642"/>
        <w:spacing w:after="0" w:line="259" w:lineRule="auto"/>
        <w:tabs>
          <w:tab w:leader="none" w:pos="1827" w:val="left"/>
        </w:tabs>
        <w:numPr>
          <w:ilvl w:val="0"/>
          <w:numId w:val="40"/>
        </w:numPr>
        <w:rPr>
          <w:rFonts w:ascii="Arial" w:cs="Arial" w:eastAsia="Arial" w:hAnsi="Arial"/>
          <w:sz w:val="21"/>
          <w:szCs w:val="21"/>
          <w:color w:val="auto"/>
        </w:rPr>
      </w:pPr>
      <w:r>
        <w:rPr>
          <w:rFonts w:ascii="Arial" w:cs="Arial" w:eastAsia="Arial" w:hAnsi="Arial"/>
          <w:sz w:val="21"/>
          <w:szCs w:val="21"/>
          <w:color w:val="auto"/>
        </w:rPr>
        <w:t>If, after giving effect to any arrangements for the purchase of the Shares of a defaulting Underwriter or Underwriters by you and the Company as provided in</w:t>
      </w:r>
    </w:p>
    <w:p>
      <w:pPr>
        <w:spacing w:after="0" w:line="18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2" w:name="page33"/>
    <w:bookmarkEnd w:id="32"/>
    <w:p>
      <w:pPr>
        <w:jc w:val="both"/>
        <w:ind w:left="660" w:right="219"/>
        <w:spacing w:after="0" w:line="245" w:lineRule="exact"/>
        <w:rPr>
          <w:sz w:val="20"/>
          <w:szCs w:val="20"/>
          <w:color w:val="auto"/>
        </w:rPr>
      </w:pPr>
      <w:r>
        <w:rPr>
          <w:rFonts w:ascii="Arial" w:cs="Arial" w:eastAsia="Arial" w:hAnsi="Arial"/>
          <w:sz w:val="21"/>
          <w:szCs w:val="21"/>
          <w:color w:val="auto"/>
        </w:rPr>
        <w:t>subsection (a) above, the aggregate number of such Shares which remains unpurchased exceeds one</w:t>
      </w:r>
      <w:r>
        <w:rPr>
          <w:rFonts w:ascii="MS PGothic" w:cs="MS PGothic" w:eastAsia="MS PGothic" w:hAnsi="MS PGothic"/>
          <w:sz w:val="21"/>
          <w:szCs w:val="21"/>
          <w:color w:val="auto"/>
        </w:rPr>
        <w:t>‑</w:t>
      </w:r>
      <w:r>
        <w:rPr>
          <w:rFonts w:ascii="Arial" w:cs="Arial" w:eastAsia="Arial" w:hAnsi="Arial"/>
          <w:sz w:val="21"/>
          <w:szCs w:val="21"/>
          <w:color w:val="auto"/>
        </w:rPr>
        <w:t>eleventh of the aggregate number of all the Shares to be purchased at such Time of Delivery, or if the Company shall not exercise the right described in subsection (b) above to require non</w:t>
      </w:r>
      <w:r>
        <w:rPr>
          <w:rFonts w:ascii="MS PGothic" w:cs="MS PGothic" w:eastAsia="MS PGothic" w:hAnsi="MS PGothic"/>
          <w:sz w:val="21"/>
          <w:szCs w:val="21"/>
          <w:color w:val="auto"/>
        </w:rPr>
        <w:t>‑</w:t>
      </w:r>
      <w:r>
        <w:rPr>
          <w:rFonts w:ascii="Arial" w:cs="Arial" w:eastAsia="Arial" w:hAnsi="Arial"/>
          <w:sz w:val="21"/>
          <w:szCs w:val="21"/>
          <w:color w:val="auto"/>
        </w:rPr>
        <w:t>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92" w:lineRule="exact"/>
        <w:rPr>
          <w:sz w:val="20"/>
          <w:szCs w:val="20"/>
          <w:color w:val="auto"/>
        </w:rPr>
      </w:pPr>
    </w:p>
    <w:p>
      <w:pPr>
        <w:jc w:val="both"/>
        <w:ind w:left="660" w:right="219" w:firstLine="642"/>
        <w:spacing w:after="0" w:line="232" w:lineRule="auto"/>
        <w:tabs>
          <w:tab w:leader="none" w:pos="2025"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Shares.</w:t>
      </w:r>
    </w:p>
    <w:p>
      <w:pPr>
        <w:spacing w:after="0" w:line="96" w:lineRule="exact"/>
        <w:rPr>
          <w:rFonts w:ascii="Arial" w:cs="Arial" w:eastAsia="Arial" w:hAnsi="Arial"/>
          <w:sz w:val="22"/>
          <w:szCs w:val="22"/>
          <w:color w:val="auto"/>
        </w:rPr>
      </w:pPr>
    </w:p>
    <w:p>
      <w:pPr>
        <w:jc w:val="both"/>
        <w:ind w:left="660" w:right="219" w:firstLine="642"/>
        <w:spacing w:after="0" w:line="245" w:lineRule="exact"/>
        <w:tabs>
          <w:tab w:leader="none" w:pos="1881" w:val="left"/>
        </w:tabs>
        <w:numPr>
          <w:ilvl w:val="0"/>
          <w:numId w:val="41"/>
        </w:numPr>
        <w:rPr>
          <w:rFonts w:ascii="Arial" w:cs="Arial" w:eastAsia="Arial" w:hAnsi="Arial"/>
          <w:sz w:val="22"/>
          <w:szCs w:val="22"/>
          <w:color w:val="auto"/>
        </w:rPr>
      </w:pPr>
      <w:r>
        <w:rPr>
          <w:rFonts w:ascii="Arial" w:cs="Arial" w:eastAsia="Arial" w:hAnsi="Arial"/>
          <w:sz w:val="22"/>
          <w:szCs w:val="22"/>
          <w:color w:val="auto"/>
        </w:rPr>
        <w:t>If this Agreement shall be terminated pursuant to Section 10 hereof, the Company shall not then be under any liability to any Underwriter except as provided in Sections 7 and 9 hereof; but, if for any other reason, any Shares are not delivered by or on behalf of the Company as provided herein, the Company will reimburse the Underwriters through you for all out</w:t>
      </w:r>
      <w:r>
        <w:rPr>
          <w:rFonts w:ascii="MS PGothic" w:cs="MS PGothic" w:eastAsia="MS PGothic" w:hAnsi="MS PGothic"/>
          <w:sz w:val="22"/>
          <w:szCs w:val="22"/>
          <w:color w:val="auto"/>
        </w:rPr>
        <w:t>‑</w:t>
      </w:r>
      <w:r>
        <w:rPr>
          <w:rFonts w:ascii="Arial" w:cs="Arial" w:eastAsia="Arial" w:hAnsi="Arial"/>
          <w:sz w:val="22"/>
          <w:szCs w:val="22"/>
          <w:color w:val="auto"/>
        </w:rPr>
        <w:t>of</w:t>
      </w:r>
      <w:r>
        <w:rPr>
          <w:rFonts w:ascii="MS PGothic" w:cs="MS PGothic" w:eastAsia="MS PGothic" w:hAnsi="MS PGothic"/>
          <w:sz w:val="22"/>
          <w:szCs w:val="22"/>
          <w:color w:val="auto"/>
        </w:rPr>
        <w:t>‑</w:t>
      </w:r>
      <w:r>
        <w:rPr>
          <w:rFonts w:ascii="Arial" w:cs="Arial" w:eastAsia="Arial" w:hAnsi="Arial"/>
          <w:sz w:val="22"/>
          <w:szCs w:val="22"/>
          <w:color w:val="auto"/>
        </w:rPr>
        <w:t>pocket expenses approved in writing by you,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spacing w:after="0" w:line="95" w:lineRule="exact"/>
        <w:rPr>
          <w:rFonts w:ascii="Arial" w:cs="Arial" w:eastAsia="Arial" w:hAnsi="Arial"/>
          <w:sz w:val="22"/>
          <w:szCs w:val="22"/>
          <w:color w:val="auto"/>
        </w:rPr>
      </w:pPr>
    </w:p>
    <w:p>
      <w:pPr>
        <w:jc w:val="both"/>
        <w:ind w:left="660" w:right="219" w:firstLine="642"/>
        <w:spacing w:after="0" w:line="234" w:lineRule="auto"/>
        <w:tabs>
          <w:tab w:leader="none" w:pos="2089" w:val="left"/>
        </w:tabs>
        <w:numPr>
          <w:ilvl w:val="0"/>
          <w:numId w:val="41"/>
        </w:numPr>
        <w:rPr>
          <w:rFonts w:ascii="Arial" w:cs="Arial" w:eastAsia="Arial" w:hAnsi="Arial"/>
          <w:sz w:val="22"/>
          <w:szCs w:val="22"/>
          <w:color w:val="auto"/>
        </w:rPr>
      </w:pPr>
      <w:r>
        <w:rPr>
          <w:rFonts w:ascii="Arial" w:cs="Arial" w:eastAsia="Arial" w:hAnsi="Arial"/>
          <w:sz w:val="22"/>
          <w:szCs w:val="22"/>
          <w:color w:val="auto"/>
        </w:rPr>
        <w:t>In all dealings hereunder, you shall act on behalf of each of the Underwriters, and the parties hereto shall be entitled to act and rely upon any statement, request, notice or agreement on behalf of any Underwriter made or given by you jointly or by the Representatives.</w:t>
      </w:r>
    </w:p>
    <w:p>
      <w:pPr>
        <w:spacing w:after="0" w:line="229" w:lineRule="exact"/>
        <w:rPr>
          <w:sz w:val="20"/>
          <w:szCs w:val="20"/>
          <w:color w:val="auto"/>
        </w:rPr>
      </w:pPr>
    </w:p>
    <w:p>
      <w:pPr>
        <w:jc w:val="both"/>
        <w:ind w:left="660" w:right="219" w:firstLine="648"/>
        <w:spacing w:after="0" w:line="232" w:lineRule="auto"/>
        <w:rPr>
          <w:sz w:val="20"/>
          <w:szCs w:val="20"/>
          <w:color w:val="auto"/>
        </w:rPr>
      </w:pPr>
      <w:r>
        <w:rPr>
          <w:rFonts w:ascii="Arial" w:cs="Arial" w:eastAsia="Arial" w:hAnsi="Arial"/>
          <w:sz w:val="22"/>
          <w:szCs w:val="22"/>
          <w:color w:val="auto"/>
        </w:rPr>
        <w:t>All statements, requests, notices and agreements hereunder shall be in writing, and if to the Underwriters shall be delivered or sent by mail, telex or facsimile transmission to you as the Representatives in care of Goldman, Sachs &amp; Co., 200 West Street, New York, New York 10282-2198, Attention: Registration Department, and in care of Morgan Stanley &amp; Co. LLC, 1585 Broadway, New York, New York 10036, Attention: Equity Syndicate Desk, with a copy to the Legal Department, and if to the Company shall be delivered or sent by mail, telex or facsimile transmission to the address of the Company set forth in the Registration Statement, Attention: Secretary; provided, however</w:t>
      </w:r>
      <w:r>
        <w:rPr>
          <w:rFonts w:ascii="Arial" w:cs="Arial" w:eastAsia="Arial" w:hAnsi="Arial"/>
          <w:sz w:val="22"/>
          <w:szCs w:val="22"/>
          <w:i w:val="1"/>
          <w:iCs w:val="1"/>
          <w:color w:val="auto"/>
        </w:rPr>
        <w:t>,</w:t>
      </w:r>
      <w:r>
        <w:rPr>
          <w:rFonts w:ascii="Arial" w:cs="Arial" w:eastAsia="Arial" w:hAnsi="Arial"/>
          <w:sz w:val="22"/>
          <w:szCs w:val="22"/>
          <w:color w:val="auto"/>
        </w:rPr>
        <w:t xml:space="preserve"> that any notice to an</w:t>
      </w:r>
    </w:p>
    <w:p>
      <w:pPr>
        <w:spacing w:after="0" w:line="203"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3" w:name="page34"/>
    <w:bookmarkEnd w:id="33"/>
    <w:p>
      <w:pPr>
        <w:jc w:val="both"/>
        <w:ind w:left="660" w:right="219"/>
        <w:spacing w:after="0" w:line="232" w:lineRule="auto"/>
        <w:rPr>
          <w:sz w:val="20"/>
          <w:szCs w:val="20"/>
          <w:color w:val="auto"/>
        </w:rPr>
      </w:pPr>
      <w:r>
        <w:rPr>
          <w:rFonts w:ascii="Arial" w:cs="Arial" w:eastAsia="Arial" w:hAnsi="Arial"/>
          <w:sz w:val="22"/>
          <w:szCs w:val="22"/>
          <w:color w:val="auto"/>
        </w:rPr>
        <w:t>Underwriter pursuant to Section 9(c) hereof shall be delivered or sent by mail, telex or facsimile transmission to such Underwriter, which such mailing address or telex or facsimile transmission number will be supplied to the Company by you upon request; provided, however, that notices under subsection 5(e) shall be in writing, and if to the Underwriters shall be delivered or sent by mail, telex or facsimile transmission to you as the Representatives at Goldman, Sachs &amp; Co., 200 West Street, New York, New York 10282-2198, Attention: Control Room and at Morgan Stanley &amp; Co. LLC, 1585 Broadway, New York, New York 10036, Attention: Equity Syndicate Desk, with a copy to the Legal Department. Any such statements, requests, notices or agreements shall take effect upon receipt thereof.</w:t>
      </w:r>
    </w:p>
    <w:p>
      <w:pPr>
        <w:spacing w:after="0" w:line="93" w:lineRule="exact"/>
        <w:rPr>
          <w:sz w:val="20"/>
          <w:szCs w:val="20"/>
          <w:color w:val="auto"/>
        </w:rPr>
      </w:pPr>
    </w:p>
    <w:p>
      <w:pPr>
        <w:jc w:val="both"/>
        <w:ind w:left="660" w:right="219" w:firstLine="648"/>
        <w:spacing w:after="0" w:line="233" w:lineRule="auto"/>
        <w:rPr>
          <w:sz w:val="20"/>
          <w:szCs w:val="20"/>
          <w:color w:val="auto"/>
        </w:rPr>
      </w:pPr>
      <w:r>
        <w:rPr>
          <w:rFonts w:ascii="Arial" w:cs="Arial" w:eastAsia="Arial" w:hAnsi="Arial"/>
          <w:sz w:val="22"/>
          <w:szCs w:val="22"/>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93" w:lineRule="exact"/>
        <w:rPr>
          <w:sz w:val="20"/>
          <w:szCs w:val="20"/>
          <w:color w:val="auto"/>
        </w:rPr>
      </w:pPr>
    </w:p>
    <w:p>
      <w:pPr>
        <w:jc w:val="both"/>
        <w:ind w:left="660" w:right="219" w:firstLine="642"/>
        <w:spacing w:after="0" w:line="232" w:lineRule="auto"/>
        <w:tabs>
          <w:tab w:leader="none" w:pos="1865"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This Agreement shall be binding upon, and inure solely to the benefit of, the Underwriters,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96" w:lineRule="exact"/>
        <w:rPr>
          <w:rFonts w:ascii="Arial" w:cs="Arial" w:eastAsia="Arial" w:hAnsi="Arial"/>
          <w:sz w:val="22"/>
          <w:szCs w:val="22"/>
          <w:color w:val="auto"/>
        </w:rPr>
      </w:pPr>
    </w:p>
    <w:p>
      <w:pPr>
        <w:jc w:val="both"/>
        <w:ind w:left="660" w:right="219" w:firstLine="642"/>
        <w:spacing w:after="0" w:line="235" w:lineRule="auto"/>
        <w:tabs>
          <w:tab w:leader="none" w:pos="1947" w:val="left"/>
        </w:tabs>
        <w:numPr>
          <w:ilvl w:val="1"/>
          <w:numId w:val="42"/>
        </w:numPr>
        <w:rPr>
          <w:rFonts w:ascii="Arial" w:cs="Arial" w:eastAsia="Arial" w:hAnsi="Arial"/>
          <w:sz w:val="22"/>
          <w:szCs w:val="22"/>
          <w:color w:val="auto"/>
        </w:rPr>
      </w:pPr>
      <w:r>
        <w:rPr>
          <w:rFonts w:ascii="Arial" w:cs="Arial" w:eastAsia="Arial" w:hAnsi="Arial"/>
          <w:sz w:val="22"/>
          <w:szCs w:val="22"/>
          <w:color w:val="auto"/>
        </w:rPr>
        <w:t>Time shall be of the essence of this Agreement. As used herein, the term “business day” shall mean any day when the Commission's office in Washington, D.C. is open for business.</w:t>
      </w:r>
    </w:p>
    <w:p>
      <w:pPr>
        <w:spacing w:after="0" w:line="94" w:lineRule="exact"/>
        <w:rPr>
          <w:rFonts w:ascii="Arial" w:cs="Arial" w:eastAsia="Arial" w:hAnsi="Arial"/>
          <w:sz w:val="22"/>
          <w:szCs w:val="22"/>
          <w:color w:val="auto"/>
        </w:rPr>
      </w:pPr>
    </w:p>
    <w:p>
      <w:pPr>
        <w:jc w:val="both"/>
        <w:ind w:left="660" w:right="219" w:firstLine="642"/>
        <w:spacing w:after="0" w:line="241" w:lineRule="auto"/>
        <w:tabs>
          <w:tab w:leader="none" w:pos="1895" w:val="left"/>
        </w:tabs>
        <w:numPr>
          <w:ilvl w:val="1"/>
          <w:numId w:val="42"/>
        </w:numPr>
        <w:rPr>
          <w:rFonts w:ascii="Arial" w:cs="Arial" w:eastAsia="Arial" w:hAnsi="Arial"/>
          <w:sz w:val="21"/>
          <w:szCs w:val="21"/>
          <w:color w:val="auto"/>
        </w:rPr>
      </w:pPr>
      <w:r>
        <w:rPr>
          <w:rFonts w:ascii="Arial" w:cs="Arial" w:eastAsia="Arial" w:hAnsi="Arial"/>
          <w:sz w:val="21"/>
          <w:szCs w:val="21"/>
          <w:color w:val="auto"/>
        </w:rPr>
        <w:t>The Company acknowledges and agrees that (i) the purchase and sale of the Shares pursuant to this Agreement is an arm's-length commercial transaction between the Company, on the one hand, and the several Underwriters, on the other,</w:t>
      </w:r>
    </w:p>
    <w:p>
      <w:pPr>
        <w:spacing w:after="0" w:line="1" w:lineRule="exact"/>
        <w:rPr>
          <w:rFonts w:ascii="Arial" w:cs="Arial" w:eastAsia="Arial" w:hAnsi="Arial"/>
          <w:sz w:val="21"/>
          <w:szCs w:val="21"/>
          <w:color w:val="auto"/>
        </w:rPr>
      </w:pPr>
    </w:p>
    <w:p>
      <w:pPr>
        <w:jc w:val="both"/>
        <w:ind w:left="660" w:right="219" w:hanging="6"/>
        <w:spacing w:after="0" w:line="231" w:lineRule="auto"/>
        <w:tabs>
          <w:tab w:leader="none" w:pos="996" w:val="left"/>
        </w:tabs>
        <w:numPr>
          <w:ilvl w:val="0"/>
          <w:numId w:val="43"/>
        </w:numPr>
        <w:rPr>
          <w:rFonts w:ascii="Arial" w:cs="Arial" w:eastAsia="Arial" w:hAnsi="Arial"/>
          <w:sz w:val="22"/>
          <w:szCs w:val="22"/>
          <w:color w:val="auto"/>
        </w:rPr>
      </w:pPr>
      <w:r>
        <w:rPr>
          <w:rFonts w:ascii="Arial" w:cs="Arial" w:eastAsia="Arial" w:hAnsi="Arial"/>
          <w:sz w:val="22"/>
          <w:szCs w:val="22"/>
          <w:color w:val="auto"/>
        </w:rPr>
        <w:t>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4" w:name="page35"/>
    <w:bookmarkEnd w:id="34"/>
    <w:p>
      <w:pPr>
        <w:jc w:val="both"/>
        <w:ind w:left="660" w:right="219" w:firstLine="642"/>
        <w:spacing w:after="0" w:line="235" w:lineRule="auto"/>
        <w:tabs>
          <w:tab w:leader="none" w:pos="1963"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This Agreement supersedes all prior agreements and understandings (whether written or oral) between the Company and the Underwriters, or any of them, with respect to the subject matter hereof.</w:t>
      </w:r>
    </w:p>
    <w:p>
      <w:pPr>
        <w:spacing w:after="0" w:line="67" w:lineRule="exact"/>
        <w:rPr>
          <w:rFonts w:ascii="Arial" w:cs="Arial" w:eastAsia="Arial" w:hAnsi="Arial"/>
          <w:sz w:val="22"/>
          <w:szCs w:val="22"/>
          <w:color w:val="auto"/>
        </w:rPr>
      </w:pPr>
    </w:p>
    <w:p>
      <w:pPr>
        <w:jc w:val="both"/>
        <w:ind w:left="660" w:right="219" w:firstLine="642"/>
        <w:spacing w:after="0" w:line="234" w:lineRule="auto"/>
        <w:tabs>
          <w:tab w:leader="none" w:pos="2173"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THIS AGREEMENT AND ANY MATTERS RELATED TO THIS TRANSACTION SHALL BE GOVERNED BY AND CONSTRUED IN ACCORDANCE WITH THE LAWS OF THE STATE OF NEW YORK WITHOUT REGARD TO PRINCIPLES OF CONFLICT OF LAWS THAT WOULD RESULT IN THE APPLICATION OF ANY LAW OTHER THAN THE LAWS OF THE STATE OF NEW YORK. The Company agrees that any suit or proceeding arising in respect of this agreement or our engagement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95" w:lineRule="exact"/>
        <w:rPr>
          <w:rFonts w:ascii="Arial" w:cs="Arial" w:eastAsia="Arial" w:hAnsi="Arial"/>
          <w:sz w:val="22"/>
          <w:szCs w:val="22"/>
          <w:color w:val="auto"/>
        </w:rPr>
      </w:pPr>
    </w:p>
    <w:p>
      <w:pPr>
        <w:jc w:val="both"/>
        <w:ind w:left="660" w:right="219" w:firstLine="642"/>
        <w:spacing w:after="0" w:line="234" w:lineRule="auto"/>
        <w:tabs>
          <w:tab w:leader="none" w:pos="1895"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93" w:lineRule="exact"/>
        <w:rPr>
          <w:rFonts w:ascii="Arial" w:cs="Arial" w:eastAsia="Arial" w:hAnsi="Arial"/>
          <w:sz w:val="22"/>
          <w:szCs w:val="22"/>
          <w:color w:val="auto"/>
        </w:rPr>
      </w:pPr>
    </w:p>
    <w:p>
      <w:pPr>
        <w:jc w:val="both"/>
        <w:ind w:left="660" w:right="219" w:firstLine="642"/>
        <w:spacing w:after="0" w:line="234" w:lineRule="auto"/>
        <w:tabs>
          <w:tab w:leader="none" w:pos="197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93" w:lineRule="exact"/>
        <w:rPr>
          <w:rFonts w:ascii="Arial" w:cs="Arial" w:eastAsia="Arial" w:hAnsi="Arial"/>
          <w:sz w:val="22"/>
          <w:szCs w:val="22"/>
          <w:color w:val="auto"/>
        </w:rPr>
      </w:pPr>
    </w:p>
    <w:p>
      <w:pPr>
        <w:jc w:val="both"/>
        <w:ind w:left="660" w:right="219" w:firstLine="642"/>
        <w:spacing w:after="0" w:line="232" w:lineRule="auto"/>
        <w:tabs>
          <w:tab w:leader="none" w:pos="2128" w:val="left"/>
        </w:tabs>
        <w:numPr>
          <w:ilvl w:val="0"/>
          <w:numId w:val="44"/>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95" w:lineRule="exact"/>
        <w:rPr>
          <w:sz w:val="20"/>
          <w:szCs w:val="20"/>
          <w:color w:val="auto"/>
        </w:rPr>
      </w:pPr>
    </w:p>
    <w:p>
      <w:pPr>
        <w:jc w:val="both"/>
        <w:ind w:left="660" w:right="219" w:firstLine="648"/>
        <w:spacing w:after="0" w:line="232" w:lineRule="auto"/>
        <w:rPr>
          <w:sz w:val="20"/>
          <w:szCs w:val="20"/>
          <w:color w:val="auto"/>
        </w:rPr>
      </w:pPr>
      <w:r>
        <w:rPr>
          <w:rFonts w:ascii="Arial" w:cs="Arial" w:eastAsia="Arial" w:hAnsi="Arial"/>
          <w:sz w:val="22"/>
          <w:szCs w:val="22"/>
          <w:color w:val="auto"/>
        </w:rPr>
        <w:t>If the foregoing is in accordance with your understanding, please sign and return to us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838200</wp:posOffset>
            </wp:positionV>
            <wp:extent cx="517144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5" w:name="page36"/>
    <w:bookmarkEnd w:id="35"/>
    <w:p>
      <w:pPr>
        <w:ind w:left="4700"/>
        <w:spacing w:after="0"/>
        <w:rPr>
          <w:sz w:val="20"/>
          <w:szCs w:val="20"/>
          <w:color w:val="auto"/>
        </w:rPr>
      </w:pPr>
      <w:r>
        <w:rPr>
          <w:rFonts w:ascii="Arial" w:cs="Arial" w:eastAsia="Arial" w:hAnsi="Arial"/>
          <w:sz w:val="22"/>
          <w:szCs w:val="22"/>
          <w:color w:val="auto"/>
        </w:rPr>
        <w:t>Very truly yours,</w:t>
      </w:r>
    </w:p>
    <w:p>
      <w:pPr>
        <w:spacing w:after="0" w:line="207"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Blueprint Medicines Corporation</w:t>
      </w:r>
    </w:p>
    <w:p>
      <w:pPr>
        <w:spacing w:after="0" w:line="259"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-1270</wp:posOffset>
            </wp:positionV>
            <wp:extent cx="24009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ind w:left="5020"/>
        <w:spacing w:after="0" w:line="234" w:lineRule="auto"/>
        <w:rPr>
          <w:sz w:val="20"/>
          <w:szCs w:val="20"/>
          <w:color w:val="auto"/>
        </w:rPr>
      </w:pPr>
      <w:r>
        <w:rPr>
          <w:rFonts w:ascii="Arial" w:cs="Arial" w:eastAsia="Arial" w:hAnsi="Arial"/>
          <w:sz w:val="22"/>
          <w:szCs w:val="22"/>
          <w:color w:val="auto"/>
        </w:rPr>
        <w:t>Jeffrey W. Albers</w:t>
      </w:r>
    </w:p>
    <w:p>
      <w:pPr>
        <w:ind w:left="5020"/>
        <w:spacing w:after="0"/>
        <w:rPr>
          <w:sz w:val="20"/>
          <w:szCs w:val="20"/>
          <w:color w:val="auto"/>
        </w:rPr>
      </w:pPr>
      <w:r>
        <w:rPr>
          <w:rFonts w:ascii="Arial" w:cs="Arial" w:eastAsia="Arial" w:hAnsi="Arial"/>
          <w:sz w:val="21"/>
          <w:szCs w:val="2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560"/>
        <w:spacing w:after="0"/>
        <w:rPr>
          <w:sz w:val="20"/>
          <w:szCs w:val="20"/>
          <w:color w:val="auto"/>
        </w:rPr>
      </w:pPr>
      <w:r>
        <w:rPr>
          <w:rFonts w:ascii="Arial" w:cs="Arial" w:eastAsia="Arial" w:hAnsi="Arial"/>
          <w:sz w:val="22"/>
          <w:szCs w:val="22"/>
          <w:i w:val="1"/>
          <w:iCs w:val="1"/>
          <w:color w:val="auto"/>
        </w:rPr>
        <w:t>[Signature Page to Underwriting Agreement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80645</wp:posOffset>
            </wp:positionV>
            <wp:extent cx="517144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633" w:right="1440" w:bottom="1440" w:gutter="0" w:footer="0" w:header="0"/>
        </w:sectPr>
      </w:pPr>
    </w:p>
    <w:bookmarkStart w:id="36" w:name="page37"/>
    <w:bookmarkEnd w:id="36"/>
    <w:p>
      <w:pPr>
        <w:ind w:left="660"/>
        <w:spacing w:after="0"/>
        <w:rPr>
          <w:sz w:val="20"/>
          <w:szCs w:val="20"/>
          <w:color w:val="auto"/>
        </w:rPr>
      </w:pPr>
      <w:r>
        <w:rPr>
          <w:rFonts w:ascii="Arial" w:cs="Arial" w:eastAsia="Arial" w:hAnsi="Arial"/>
          <w:sz w:val="22"/>
          <w:szCs w:val="22"/>
          <w:color w:val="auto"/>
        </w:rPr>
        <w:t>Accepted as of the date hereof:</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Goldman, Sachs &amp; Co.</w:t>
      </w:r>
    </w:p>
    <w:p>
      <w:pPr>
        <w:spacing w:after="0" w:line="24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-1270</wp:posOffset>
            </wp:positionV>
            <wp:extent cx="22294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ind w:left="1160"/>
        <w:spacing w:after="0" w:line="234" w:lineRule="auto"/>
        <w:rPr>
          <w:sz w:val="20"/>
          <w:szCs w:val="20"/>
          <w:color w:val="auto"/>
        </w:rPr>
      </w:pPr>
      <w:r>
        <w:rPr>
          <w:rFonts w:ascii="Arial" w:cs="Arial" w:eastAsia="Arial" w:hAnsi="Arial"/>
          <w:sz w:val="22"/>
          <w:szCs w:val="22"/>
          <w:color w:val="auto"/>
        </w:rPr>
        <w:t>Name: Doretta Mistras</w:t>
      </w:r>
    </w:p>
    <w:p>
      <w:pPr>
        <w:ind w:left="1160"/>
        <w:spacing w:after="0"/>
        <w:tabs>
          <w:tab w:leader="none" w:pos="1880" w:val="left"/>
        </w:tabs>
        <w:rPr>
          <w:sz w:val="20"/>
          <w:szCs w:val="20"/>
          <w:color w:val="auto"/>
        </w:rPr>
      </w:pPr>
      <w:r>
        <w:rPr>
          <w:rFonts w:ascii="Arial" w:cs="Arial" w:eastAsia="Arial" w:hAnsi="Arial"/>
          <w:sz w:val="22"/>
          <w:szCs w:val="22"/>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Morgan Stanley &amp; Co. LLC</w:t>
      </w:r>
    </w:p>
    <w:p>
      <w:pPr>
        <w:spacing w:after="0" w:line="24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David Lederman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-1270</wp:posOffset>
            </wp:positionV>
            <wp:extent cx="22294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ind w:left="1160"/>
        <w:spacing w:after="0" w:line="234" w:lineRule="auto"/>
        <w:rPr>
          <w:sz w:val="20"/>
          <w:szCs w:val="20"/>
          <w:color w:val="auto"/>
        </w:rPr>
      </w:pPr>
      <w:r>
        <w:rPr>
          <w:rFonts w:ascii="Arial" w:cs="Arial" w:eastAsia="Arial" w:hAnsi="Arial"/>
          <w:sz w:val="22"/>
          <w:szCs w:val="22"/>
          <w:color w:val="auto"/>
        </w:rPr>
        <w:t>Name: David Lederman</w:t>
      </w:r>
    </w:p>
    <w:p>
      <w:pPr>
        <w:ind w:left="1160"/>
        <w:spacing w:after="0"/>
        <w:tabs>
          <w:tab w:leader="none" w:pos="1880" w:val="left"/>
        </w:tabs>
        <w:rPr>
          <w:sz w:val="20"/>
          <w:szCs w:val="20"/>
          <w:color w:val="auto"/>
        </w:rPr>
      </w:pPr>
      <w:r>
        <w:rPr>
          <w:rFonts w:ascii="Arial" w:cs="Arial" w:eastAsia="Arial" w:hAnsi="Arial"/>
          <w:sz w:val="22"/>
          <w:szCs w:val="22"/>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On behalf of each of the Underwriters</w:t>
      </w:r>
    </w:p>
    <w:p>
      <w:pPr>
        <w:spacing w:after="0" w:line="184" w:lineRule="exact"/>
        <w:rPr>
          <w:sz w:val="20"/>
          <w:szCs w:val="20"/>
          <w:color w:val="auto"/>
        </w:rPr>
      </w:pPr>
    </w:p>
    <w:p>
      <w:pPr>
        <w:jc w:val="right"/>
        <w:ind w:right="1119"/>
        <w:spacing w:after="0"/>
        <w:rPr>
          <w:sz w:val="20"/>
          <w:szCs w:val="20"/>
          <w:color w:val="auto"/>
        </w:rPr>
      </w:pPr>
      <w:r>
        <w:rPr>
          <w:rFonts w:ascii="Arial" w:cs="Arial" w:eastAsia="Arial" w:hAnsi="Arial"/>
          <w:sz w:val="22"/>
          <w:szCs w:val="22"/>
          <w:i w:val="1"/>
          <w:iCs w:val="1"/>
          <w:color w:val="auto"/>
        </w:rPr>
        <w:t>[Signature Page to Underwriting Agreement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80645</wp:posOffset>
            </wp:positionV>
            <wp:extent cx="517144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7" w:name="page38"/>
    <w:bookmarkEnd w:id="37"/>
    <w:tbl>
      <w:tblPr>
        <w:tblLayout w:type="fixed"/>
        <w:tblInd w:w="66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3520" w:type="dxa"/>
            <w:vAlign w:val="bottom"/>
            <w:gridSpan w:val="6"/>
          </w:tcPr>
          <w:p>
            <w:pPr>
              <w:ind w:left="420"/>
              <w:spacing w:after="0"/>
              <w:rPr>
                <w:sz w:val="20"/>
                <w:szCs w:val="20"/>
                <w:color w:val="auto"/>
              </w:rPr>
            </w:pPr>
            <w:r>
              <w:rPr>
                <w:rFonts w:ascii="Arial" w:cs="Arial" w:eastAsia="Arial" w:hAnsi="Arial"/>
                <w:sz w:val="22"/>
                <w:szCs w:val="22"/>
                <w:b w:val="1"/>
                <w:bCs w:val="1"/>
                <w:color w:val="auto"/>
              </w:rPr>
              <w:t>SCHEDULE I</w:t>
            </w:r>
          </w:p>
        </w:tc>
        <w:tc>
          <w:tcPr>
            <w:tcW w:w="1620" w:type="dxa"/>
            <w:vAlign w:val="bottom"/>
          </w:tcPr>
          <w:p>
            <w:pPr>
              <w:spacing w:after="0"/>
              <w:rPr>
                <w:sz w:val="21"/>
                <w:szCs w:val="21"/>
                <w:color w:val="auto"/>
              </w:rPr>
            </w:pPr>
          </w:p>
        </w:tc>
      </w:tr>
      <w:tr>
        <w:trPr>
          <w:trHeight w:val="488"/>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b w:val="1"/>
                <w:bCs w:val="1"/>
                <w:color w:val="auto"/>
                <w:w w:val="98"/>
              </w:rPr>
              <w:t>Number of</w:t>
            </w:r>
          </w:p>
        </w:tc>
      </w:tr>
      <w:tr>
        <w:trPr>
          <w:trHeight w:val="243"/>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8"/>
              </w:rPr>
              <w:t>Optional</w:t>
            </w:r>
          </w:p>
        </w:tc>
      </w:tr>
      <w:tr>
        <w:trPr>
          <w:trHeight w:val="243"/>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8"/>
              </w:rPr>
              <w:t>Shares to be</w:t>
            </w:r>
          </w:p>
        </w:tc>
      </w:tr>
      <w:tr>
        <w:trPr>
          <w:trHeight w:val="243"/>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8"/>
              </w:rPr>
              <w:t>Purchased if</w:t>
            </w:r>
          </w:p>
        </w:tc>
      </w:tr>
      <w:tr>
        <w:trPr>
          <w:trHeight w:val="243"/>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60" w:type="dxa"/>
            <w:vAlign w:val="bottom"/>
            <w:gridSpan w:val="3"/>
          </w:tcPr>
          <w:p>
            <w:pPr>
              <w:jc w:val="center"/>
              <w:ind w:right="300"/>
              <w:spacing w:after="0" w:line="243" w:lineRule="exact"/>
              <w:rPr>
                <w:sz w:val="20"/>
                <w:szCs w:val="20"/>
                <w:color w:val="auto"/>
              </w:rPr>
            </w:pPr>
            <w:r>
              <w:rPr>
                <w:rFonts w:ascii="Arial" w:cs="Arial" w:eastAsia="Arial" w:hAnsi="Arial"/>
                <w:sz w:val="22"/>
                <w:szCs w:val="22"/>
                <w:b w:val="1"/>
                <w:bCs w:val="1"/>
                <w:color w:val="auto"/>
                <w:w w:val="97"/>
              </w:rPr>
              <w:t>Total Number of</w:t>
            </w:r>
          </w:p>
        </w:tc>
        <w:tc>
          <w:tcPr>
            <w:tcW w:w="1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8"/>
              </w:rPr>
              <w:t>Maximum</w:t>
            </w:r>
          </w:p>
        </w:tc>
      </w:tr>
      <w:tr>
        <w:trPr>
          <w:trHeight w:val="243"/>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60" w:type="dxa"/>
            <w:vAlign w:val="bottom"/>
            <w:gridSpan w:val="3"/>
          </w:tcPr>
          <w:p>
            <w:pPr>
              <w:jc w:val="center"/>
              <w:ind w:right="300"/>
              <w:spacing w:after="0" w:line="243" w:lineRule="exact"/>
              <w:rPr>
                <w:sz w:val="20"/>
                <w:szCs w:val="20"/>
                <w:color w:val="auto"/>
              </w:rPr>
            </w:pPr>
            <w:r>
              <w:rPr>
                <w:rFonts w:ascii="Arial" w:cs="Arial" w:eastAsia="Arial" w:hAnsi="Arial"/>
                <w:sz w:val="22"/>
                <w:szCs w:val="22"/>
                <w:b w:val="1"/>
                <w:bCs w:val="1"/>
                <w:color w:val="auto"/>
                <w:w w:val="97"/>
              </w:rPr>
              <w:t>Firm Shares</w:t>
            </w:r>
          </w:p>
        </w:tc>
        <w:tc>
          <w:tcPr>
            <w:tcW w:w="1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8"/>
              </w:rPr>
              <w:t>Option</w:t>
            </w:r>
          </w:p>
        </w:tc>
      </w:tr>
      <w:tr>
        <w:trPr>
          <w:trHeight w:val="276"/>
        </w:trPr>
        <w:tc>
          <w:tcPr>
            <w:tcW w:w="3000" w:type="dxa"/>
            <w:vAlign w:val="bottom"/>
            <w:gridSpan w:val="2"/>
          </w:tcPr>
          <w:p>
            <w:pPr>
              <w:spacing w:after="0"/>
              <w:rPr>
                <w:sz w:val="20"/>
                <w:szCs w:val="20"/>
                <w:color w:val="auto"/>
              </w:rPr>
            </w:pPr>
            <w:r>
              <w:rPr>
                <w:rFonts w:ascii="Arial" w:cs="Arial" w:eastAsia="Arial" w:hAnsi="Arial"/>
                <w:sz w:val="22"/>
                <w:szCs w:val="22"/>
                <w:b w:val="1"/>
                <w:bCs w:val="1"/>
                <w:color w:val="auto"/>
              </w:rPr>
              <w:t>Underwriter</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60" w:type="dxa"/>
            <w:vAlign w:val="bottom"/>
            <w:gridSpan w:val="3"/>
          </w:tcPr>
          <w:p>
            <w:pPr>
              <w:jc w:val="center"/>
              <w:ind w:right="300"/>
              <w:spacing w:after="0"/>
              <w:rPr>
                <w:sz w:val="20"/>
                <w:szCs w:val="20"/>
                <w:color w:val="auto"/>
              </w:rPr>
            </w:pPr>
            <w:r>
              <w:rPr>
                <w:rFonts w:ascii="Arial" w:cs="Arial" w:eastAsia="Arial" w:hAnsi="Arial"/>
                <w:sz w:val="22"/>
                <w:szCs w:val="22"/>
                <w:b w:val="1"/>
                <w:bCs w:val="1"/>
                <w:color w:val="auto"/>
                <w:w w:val="98"/>
              </w:rPr>
              <w:t>to be Purchased</w:t>
            </w:r>
          </w:p>
        </w:tc>
        <w:tc>
          <w:tcPr>
            <w:tcW w:w="1620" w:type="dxa"/>
            <w:vAlign w:val="bottom"/>
          </w:tcPr>
          <w:p>
            <w:pPr>
              <w:jc w:val="center"/>
              <w:spacing w:after="0"/>
              <w:rPr>
                <w:sz w:val="20"/>
                <w:szCs w:val="20"/>
                <w:color w:val="auto"/>
              </w:rPr>
            </w:pPr>
            <w:r>
              <w:rPr>
                <w:rFonts w:ascii="Arial" w:cs="Arial" w:eastAsia="Arial" w:hAnsi="Arial"/>
                <w:sz w:val="22"/>
                <w:szCs w:val="22"/>
                <w:b w:val="1"/>
                <w:bCs w:val="1"/>
                <w:color w:val="auto"/>
                <w:w w:val="98"/>
              </w:rPr>
              <w:t>Exercised</w:t>
            </w:r>
          </w:p>
        </w:tc>
      </w:tr>
      <w:tr>
        <w:trPr>
          <w:trHeight w:val="230"/>
        </w:trPr>
        <w:tc>
          <w:tcPr>
            <w:tcW w:w="20" w:type="dxa"/>
            <w:vAlign w:val="bottom"/>
          </w:tcPr>
          <w:p>
            <w:pPr>
              <w:spacing w:after="0"/>
              <w:rPr>
                <w:sz w:val="20"/>
                <w:szCs w:val="20"/>
                <w:color w:val="auto"/>
              </w:rPr>
            </w:pPr>
          </w:p>
        </w:tc>
        <w:tc>
          <w:tcPr>
            <w:tcW w:w="2980" w:type="dxa"/>
            <w:vAlign w:val="bottom"/>
            <w:tcBorders>
              <w:top w:val="single" w:sz="8" w:color="auto"/>
            </w:tcBorders>
          </w:tcPr>
          <w:p>
            <w:pPr>
              <w:spacing w:after="0" w:line="230" w:lineRule="exact"/>
              <w:rPr>
                <w:sz w:val="20"/>
                <w:szCs w:val="20"/>
                <w:color w:val="auto"/>
              </w:rPr>
            </w:pPr>
            <w:r>
              <w:rPr>
                <w:rFonts w:ascii="Arial" w:cs="Arial" w:eastAsia="Arial" w:hAnsi="Arial"/>
                <w:sz w:val="22"/>
                <w:szCs w:val="22"/>
                <w:color w:val="auto"/>
              </w:rPr>
              <w:t>Goldman, Sachs &amp; Co.</w:t>
            </w:r>
          </w:p>
        </w:tc>
        <w:tc>
          <w:tcPr>
            <w:tcW w:w="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tcBorders>
              <w:top w:val="single" w:sz="8" w:color="auto"/>
            </w:tcBorders>
            <w:gridSpan w:val="2"/>
          </w:tcPr>
          <w:p>
            <w:pPr>
              <w:jc w:val="right"/>
              <w:ind w:right="60"/>
              <w:spacing w:after="0" w:line="230" w:lineRule="exact"/>
              <w:rPr>
                <w:sz w:val="20"/>
                <w:szCs w:val="20"/>
                <w:color w:val="auto"/>
              </w:rPr>
            </w:pPr>
            <w:r>
              <w:rPr>
                <w:rFonts w:ascii="Arial" w:cs="Arial" w:eastAsia="Arial" w:hAnsi="Arial"/>
                <w:sz w:val="22"/>
                <w:szCs w:val="22"/>
                <w:color w:val="auto"/>
              </w:rPr>
              <w:t>1,875,000</w:t>
            </w:r>
          </w:p>
        </w:tc>
        <w:tc>
          <w:tcPr>
            <w:tcW w:w="300" w:type="dxa"/>
            <w:vAlign w:val="bottom"/>
          </w:tcPr>
          <w:p>
            <w:pPr>
              <w:spacing w:after="0"/>
              <w:rPr>
                <w:sz w:val="20"/>
                <w:szCs w:val="20"/>
                <w:color w:val="auto"/>
              </w:rPr>
            </w:pPr>
          </w:p>
        </w:tc>
        <w:tc>
          <w:tcPr>
            <w:tcW w:w="1620" w:type="dxa"/>
            <w:vAlign w:val="bottom"/>
            <w:tcBorders>
              <w:top w:val="single" w:sz="8" w:color="auto"/>
            </w:tcBorders>
          </w:tcPr>
          <w:p>
            <w:pPr>
              <w:jc w:val="right"/>
              <w:spacing w:after="0" w:line="230" w:lineRule="exact"/>
              <w:rPr>
                <w:sz w:val="20"/>
                <w:szCs w:val="20"/>
                <w:color w:val="auto"/>
              </w:rPr>
            </w:pPr>
            <w:r>
              <w:rPr>
                <w:rFonts w:ascii="Arial" w:cs="Arial" w:eastAsia="Arial" w:hAnsi="Arial"/>
                <w:sz w:val="22"/>
                <w:szCs w:val="22"/>
                <w:color w:val="auto"/>
              </w:rPr>
              <w:t>281,250</w:t>
            </w:r>
          </w:p>
        </w:tc>
      </w:tr>
      <w:tr>
        <w:trPr>
          <w:trHeight w:val="243"/>
        </w:trPr>
        <w:tc>
          <w:tcPr>
            <w:tcW w:w="3000" w:type="dxa"/>
            <w:vAlign w:val="bottom"/>
            <w:gridSpan w:val="2"/>
          </w:tcPr>
          <w:p>
            <w:pPr>
              <w:spacing w:after="0" w:line="243" w:lineRule="exact"/>
              <w:rPr>
                <w:sz w:val="20"/>
                <w:szCs w:val="20"/>
                <w:color w:val="auto"/>
              </w:rPr>
            </w:pPr>
            <w:r>
              <w:rPr>
                <w:rFonts w:ascii="Arial" w:cs="Arial" w:eastAsia="Arial" w:hAnsi="Arial"/>
                <w:sz w:val="22"/>
                <w:szCs w:val="22"/>
                <w:color w:val="auto"/>
              </w:rPr>
              <w:t>Morgan Stanley &amp; Co. LLC</w:t>
            </w:r>
          </w:p>
        </w:tc>
        <w:tc>
          <w:tcPr>
            <w:tcW w:w="3220" w:type="dxa"/>
            <w:vAlign w:val="bottom"/>
            <w:gridSpan w:val="5"/>
          </w:tcPr>
          <w:p>
            <w:pPr>
              <w:jc w:val="right"/>
              <w:ind w:right="60"/>
              <w:spacing w:after="0" w:line="243" w:lineRule="exact"/>
              <w:rPr>
                <w:sz w:val="20"/>
                <w:szCs w:val="20"/>
                <w:color w:val="auto"/>
              </w:rPr>
            </w:pPr>
            <w:r>
              <w:rPr>
                <w:rFonts w:ascii="Arial" w:cs="Arial" w:eastAsia="Arial" w:hAnsi="Arial"/>
                <w:sz w:val="22"/>
                <w:szCs w:val="22"/>
                <w:color w:val="auto"/>
              </w:rPr>
              <w:t>1,625,000</w:t>
            </w:r>
          </w:p>
        </w:tc>
        <w:tc>
          <w:tcPr>
            <w:tcW w:w="300" w:type="dxa"/>
            <w:vAlign w:val="bottom"/>
          </w:tcPr>
          <w:p>
            <w:pPr>
              <w:spacing w:after="0"/>
              <w:rPr>
                <w:sz w:val="21"/>
                <w:szCs w:val="21"/>
                <w:color w:val="auto"/>
              </w:rPr>
            </w:pP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243,750</w:t>
            </w:r>
          </w:p>
        </w:tc>
      </w:tr>
      <w:tr>
        <w:trPr>
          <w:trHeight w:val="243"/>
        </w:trPr>
        <w:tc>
          <w:tcPr>
            <w:tcW w:w="3000" w:type="dxa"/>
            <w:vAlign w:val="bottom"/>
            <w:gridSpan w:val="2"/>
          </w:tcPr>
          <w:p>
            <w:pPr>
              <w:spacing w:after="0" w:line="243" w:lineRule="exact"/>
              <w:rPr>
                <w:sz w:val="20"/>
                <w:szCs w:val="20"/>
                <w:color w:val="auto"/>
              </w:rPr>
            </w:pPr>
            <w:r>
              <w:rPr>
                <w:rFonts w:ascii="Arial" w:cs="Arial" w:eastAsia="Arial" w:hAnsi="Arial"/>
                <w:sz w:val="22"/>
                <w:szCs w:val="22"/>
                <w:color w:val="auto"/>
              </w:rPr>
              <w:t>Cowen and Company, LLC</w:t>
            </w:r>
          </w:p>
        </w:tc>
        <w:tc>
          <w:tcPr>
            <w:tcW w:w="3220" w:type="dxa"/>
            <w:vAlign w:val="bottom"/>
            <w:gridSpan w:val="5"/>
          </w:tcPr>
          <w:p>
            <w:pPr>
              <w:jc w:val="right"/>
              <w:ind w:right="60"/>
              <w:spacing w:after="0" w:line="243" w:lineRule="exact"/>
              <w:rPr>
                <w:sz w:val="20"/>
                <w:szCs w:val="20"/>
                <w:color w:val="auto"/>
              </w:rPr>
            </w:pPr>
            <w:r>
              <w:rPr>
                <w:rFonts w:ascii="Arial" w:cs="Arial" w:eastAsia="Arial" w:hAnsi="Arial"/>
                <w:sz w:val="22"/>
                <w:szCs w:val="22"/>
                <w:color w:val="auto"/>
              </w:rPr>
              <w:t>1,000,000</w:t>
            </w:r>
          </w:p>
        </w:tc>
        <w:tc>
          <w:tcPr>
            <w:tcW w:w="300" w:type="dxa"/>
            <w:vAlign w:val="bottom"/>
          </w:tcPr>
          <w:p>
            <w:pPr>
              <w:spacing w:after="0"/>
              <w:rPr>
                <w:sz w:val="21"/>
                <w:szCs w:val="21"/>
                <w:color w:val="auto"/>
              </w:rPr>
            </w:pP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150,000</w:t>
            </w:r>
          </w:p>
        </w:tc>
      </w:tr>
      <w:tr>
        <w:trPr>
          <w:trHeight w:val="243"/>
        </w:trPr>
        <w:tc>
          <w:tcPr>
            <w:tcW w:w="3000" w:type="dxa"/>
            <w:vAlign w:val="bottom"/>
            <w:gridSpan w:val="2"/>
          </w:tcPr>
          <w:p>
            <w:pPr>
              <w:spacing w:after="0" w:line="243" w:lineRule="exact"/>
              <w:rPr>
                <w:sz w:val="20"/>
                <w:szCs w:val="20"/>
                <w:color w:val="auto"/>
              </w:rPr>
            </w:pPr>
            <w:r>
              <w:rPr>
                <w:rFonts w:ascii="Arial" w:cs="Arial" w:eastAsia="Arial" w:hAnsi="Arial"/>
                <w:sz w:val="22"/>
                <w:szCs w:val="22"/>
                <w:color w:val="auto"/>
              </w:rPr>
              <w:t>JMP Securities LLC</w:t>
            </w:r>
          </w:p>
        </w:tc>
        <w:tc>
          <w:tcPr>
            <w:tcW w:w="3220" w:type="dxa"/>
            <w:vAlign w:val="bottom"/>
            <w:gridSpan w:val="5"/>
          </w:tcPr>
          <w:p>
            <w:pPr>
              <w:jc w:val="right"/>
              <w:ind w:right="60"/>
              <w:spacing w:after="0" w:line="243" w:lineRule="exact"/>
              <w:rPr>
                <w:sz w:val="20"/>
                <w:szCs w:val="20"/>
                <w:color w:val="auto"/>
              </w:rPr>
            </w:pPr>
            <w:r>
              <w:rPr>
                <w:rFonts w:ascii="Arial" w:cs="Arial" w:eastAsia="Arial" w:hAnsi="Arial"/>
                <w:sz w:val="22"/>
                <w:szCs w:val="22"/>
                <w:color w:val="auto"/>
              </w:rPr>
              <w:t>250,000</w:t>
            </w:r>
          </w:p>
        </w:tc>
        <w:tc>
          <w:tcPr>
            <w:tcW w:w="300" w:type="dxa"/>
            <w:vAlign w:val="bottom"/>
          </w:tcPr>
          <w:p>
            <w:pPr>
              <w:spacing w:after="0"/>
              <w:rPr>
                <w:sz w:val="21"/>
                <w:szCs w:val="21"/>
                <w:color w:val="auto"/>
              </w:rPr>
            </w:pP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37,500</w:t>
            </w:r>
          </w:p>
        </w:tc>
      </w:tr>
      <w:tr>
        <w:trPr>
          <w:trHeight w:val="243"/>
        </w:trPr>
        <w:tc>
          <w:tcPr>
            <w:tcW w:w="3000" w:type="dxa"/>
            <w:vAlign w:val="bottom"/>
            <w:gridSpan w:val="2"/>
          </w:tcPr>
          <w:p>
            <w:pPr>
              <w:spacing w:after="0" w:line="243" w:lineRule="exact"/>
              <w:rPr>
                <w:sz w:val="20"/>
                <w:szCs w:val="20"/>
                <w:color w:val="auto"/>
              </w:rPr>
            </w:pPr>
            <w:r>
              <w:rPr>
                <w:rFonts w:ascii="Arial" w:cs="Arial" w:eastAsia="Arial" w:hAnsi="Arial"/>
                <w:sz w:val="22"/>
                <w:szCs w:val="22"/>
                <w:color w:val="auto"/>
              </w:rPr>
              <w:t>Wedbush Securities Inc.</w:t>
            </w:r>
          </w:p>
        </w:tc>
        <w:tc>
          <w:tcPr>
            <w:tcW w:w="3220" w:type="dxa"/>
            <w:vAlign w:val="bottom"/>
            <w:gridSpan w:val="5"/>
          </w:tcPr>
          <w:p>
            <w:pPr>
              <w:jc w:val="right"/>
              <w:ind w:right="60"/>
              <w:spacing w:after="0" w:line="243" w:lineRule="exact"/>
              <w:rPr>
                <w:sz w:val="20"/>
                <w:szCs w:val="20"/>
                <w:color w:val="auto"/>
              </w:rPr>
            </w:pPr>
            <w:r>
              <w:rPr>
                <w:rFonts w:ascii="Arial" w:cs="Arial" w:eastAsia="Arial" w:hAnsi="Arial"/>
                <w:sz w:val="22"/>
                <w:szCs w:val="22"/>
                <w:color w:val="auto"/>
              </w:rPr>
              <w:t>250,000</w:t>
            </w:r>
          </w:p>
        </w:tc>
        <w:tc>
          <w:tcPr>
            <w:tcW w:w="300" w:type="dxa"/>
            <w:vAlign w:val="bottom"/>
          </w:tcPr>
          <w:p>
            <w:pPr>
              <w:spacing w:after="0"/>
              <w:rPr>
                <w:sz w:val="21"/>
                <w:szCs w:val="21"/>
                <w:color w:val="auto"/>
              </w:rPr>
            </w:pP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37,500</w:t>
            </w:r>
          </w:p>
        </w:tc>
      </w:tr>
      <w:tr>
        <w:trPr>
          <w:trHeight w:val="250"/>
        </w:trPr>
        <w:tc>
          <w:tcPr>
            <w:tcW w:w="20" w:type="dxa"/>
            <w:vAlign w:val="bottom"/>
          </w:tcPr>
          <w:p>
            <w:pPr>
              <w:spacing w:after="0"/>
              <w:rPr>
                <w:sz w:val="21"/>
                <w:szCs w:val="21"/>
                <w:color w:val="auto"/>
              </w:rPr>
            </w:pPr>
          </w:p>
        </w:tc>
        <w:tc>
          <w:tcPr>
            <w:tcW w:w="2980" w:type="dxa"/>
            <w:vAlign w:val="bottom"/>
          </w:tcPr>
          <w:p>
            <w:pPr>
              <w:ind w:left="460"/>
              <w:spacing w:after="0" w:line="240" w:lineRule="exact"/>
              <w:rPr>
                <w:sz w:val="20"/>
                <w:szCs w:val="20"/>
                <w:color w:val="auto"/>
              </w:rPr>
            </w:pPr>
            <w:r>
              <w:rPr>
                <w:rFonts w:ascii="Arial" w:cs="Arial" w:eastAsia="Arial" w:hAnsi="Arial"/>
                <w:sz w:val="22"/>
                <w:szCs w:val="22"/>
                <w:color w:val="auto"/>
              </w:rPr>
              <w:t>Total</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60" w:type="dxa"/>
            <w:vAlign w:val="bottom"/>
            <w:tcBorders>
              <w:top w:val="single" w:sz="8" w:color="auto"/>
              <w:bottom w:val="single" w:sz="8" w:color="auto"/>
            </w:tcBorders>
            <w:gridSpan w:val="2"/>
          </w:tcPr>
          <w:p>
            <w:pPr>
              <w:jc w:val="right"/>
              <w:ind w:right="60"/>
              <w:spacing w:after="0" w:line="243" w:lineRule="exact"/>
              <w:rPr>
                <w:sz w:val="20"/>
                <w:szCs w:val="20"/>
                <w:color w:val="auto"/>
              </w:rPr>
            </w:pPr>
            <w:r>
              <w:rPr>
                <w:rFonts w:ascii="Arial" w:cs="Arial" w:eastAsia="Arial" w:hAnsi="Arial"/>
                <w:sz w:val="22"/>
                <w:szCs w:val="22"/>
                <w:color w:val="auto"/>
              </w:rPr>
              <w:t>5,000,000</w:t>
            </w:r>
          </w:p>
        </w:tc>
        <w:tc>
          <w:tcPr>
            <w:tcW w:w="300" w:type="dxa"/>
            <w:vAlign w:val="bottom"/>
          </w:tcPr>
          <w:p>
            <w:pPr>
              <w:spacing w:after="0"/>
              <w:rPr>
                <w:sz w:val="21"/>
                <w:szCs w:val="21"/>
                <w:color w:val="auto"/>
              </w:rPr>
            </w:pPr>
          </w:p>
        </w:tc>
        <w:tc>
          <w:tcPr>
            <w:tcW w:w="1620" w:type="dxa"/>
            <w:vAlign w:val="bottom"/>
            <w:tcBorders>
              <w:top w:val="single" w:sz="8" w:color="auto"/>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750,000</w:t>
            </w:r>
          </w:p>
        </w:tc>
      </w:tr>
      <w:tr>
        <w:trPr>
          <w:trHeight w:val="2600"/>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75" w:right="1440" w:bottom="1440" w:gutter="0" w:footer="0" w:header="0"/>
        </w:sectPr>
      </w:pPr>
    </w:p>
    <w:bookmarkStart w:id="38" w:name="page39"/>
    <w:bookmarkEnd w:id="38"/>
    <w:p>
      <w:pPr>
        <w:jc w:val="center"/>
        <w:ind w:right="-440"/>
        <w:spacing w:after="0"/>
        <w:rPr>
          <w:sz w:val="20"/>
          <w:szCs w:val="20"/>
          <w:color w:val="auto"/>
        </w:rPr>
      </w:pPr>
      <w:r>
        <w:rPr>
          <w:rFonts w:ascii="Arial" w:cs="Arial" w:eastAsia="Arial" w:hAnsi="Arial"/>
          <w:sz w:val="22"/>
          <w:szCs w:val="22"/>
          <w:b w:val="1"/>
          <w:bCs w:val="1"/>
          <w:u w:val="single" w:color="auto"/>
          <w:color w:val="auto"/>
        </w:rPr>
        <w:t>SCHEDULE II</w:t>
      </w:r>
    </w:p>
    <w:p>
      <w:pPr>
        <w:spacing w:after="0" w:line="260" w:lineRule="exact"/>
        <w:rPr>
          <w:sz w:val="20"/>
          <w:szCs w:val="20"/>
          <w:color w:val="auto"/>
        </w:rPr>
      </w:pPr>
    </w:p>
    <w:p>
      <w:pPr>
        <w:ind w:left="1240" w:right="399" w:hanging="269"/>
        <w:spacing w:after="0" w:line="261" w:lineRule="auto"/>
        <w:rPr>
          <w:sz w:val="20"/>
          <w:szCs w:val="20"/>
          <w:color w:val="auto"/>
        </w:rPr>
      </w:pPr>
      <w:r>
        <w:rPr>
          <w:rFonts w:ascii="Arial" w:cs="Arial" w:eastAsia="Arial" w:hAnsi="Arial"/>
          <w:sz w:val="22"/>
          <w:szCs w:val="22"/>
          <w:b w:val="1"/>
          <w:bCs w:val="1"/>
          <w:color w:val="auto"/>
        </w:rPr>
        <w:t>(a)Issuer Free Writing Prospectuses not included in the Pricing Disclosure Package:</w:t>
      </w:r>
    </w:p>
    <w:p>
      <w:pPr>
        <w:spacing w:after="0" w:line="233" w:lineRule="exact"/>
        <w:rPr>
          <w:sz w:val="20"/>
          <w:szCs w:val="20"/>
          <w:color w:val="auto"/>
        </w:rPr>
      </w:pPr>
    </w:p>
    <w:p>
      <w:pPr>
        <w:ind w:left="1860" w:hanging="882"/>
        <w:spacing w:after="0"/>
        <w:tabs>
          <w:tab w:leader="none" w:pos="18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Section 5(d) writings:</w:t>
      </w:r>
    </w:p>
    <w:p>
      <w:pPr>
        <w:spacing w:after="0" w:line="233" w:lineRule="exact"/>
        <w:rPr>
          <w:sz w:val="20"/>
          <w:szCs w:val="20"/>
          <w:color w:val="auto"/>
        </w:rPr>
      </w:pPr>
    </w:p>
    <w:p>
      <w:pPr>
        <w:ind w:left="1240" w:right="659" w:hanging="269"/>
        <w:spacing w:after="0" w:line="261" w:lineRule="auto"/>
        <w:rPr>
          <w:sz w:val="20"/>
          <w:szCs w:val="20"/>
          <w:color w:val="auto"/>
        </w:rPr>
      </w:pPr>
      <w:r>
        <w:rPr>
          <w:rFonts w:ascii="Arial" w:cs="Arial" w:eastAsia="Arial" w:hAnsi="Arial"/>
          <w:sz w:val="22"/>
          <w:szCs w:val="22"/>
          <w:b w:val="1"/>
          <w:bCs w:val="1"/>
          <w:color w:val="auto"/>
        </w:rPr>
        <w:t>(c)Materials other than the Pricing Prospectus that comprise the Pricing Disclosure Package: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1420495</wp:posOffset>
            </wp:positionV>
            <wp:extent cx="517144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71440" cy="26035"/>
                    </a:xfrm>
                    <a:prstGeom prst="rect">
                      <a:avLst/>
                    </a:prstGeom>
                    <a:noFill/>
                  </pic:spPr>
                </pic:pic>
              </a:graphicData>
            </a:graphic>
          </wp:anchor>
        </w:drawing>
      </w:r>
    </w:p>
    <w:p>
      <w:pPr>
        <w:sectPr>
          <w:pgSz w:w="11900" w:h="16838" w:orient="portrait"/>
          <w:cols w:equalWidth="0" w:num="1">
            <w:col w:w="9019"/>
          </w:cols>
          <w:pgMar w:left="1440" w:top="566"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u w:val="single" w:color="auto"/>
          <w:color w:val="auto"/>
        </w:rPr>
        <w:t>ANNEX I(A)</w:t>
      </w:r>
    </w:p>
    <w:p>
      <w:pPr>
        <w:spacing w:after="0" w:line="233" w:lineRule="exact"/>
        <w:rPr>
          <w:sz w:val="20"/>
          <w:szCs w:val="20"/>
          <w:color w:val="auto"/>
        </w:rPr>
      </w:pPr>
    </w:p>
    <w:p>
      <w:pPr>
        <w:jc w:val="center"/>
        <w:ind w:right="120"/>
        <w:spacing w:after="0"/>
        <w:rPr>
          <w:sz w:val="20"/>
          <w:szCs w:val="20"/>
          <w:color w:val="auto"/>
        </w:rPr>
      </w:pPr>
      <w:r>
        <w:rPr>
          <w:rFonts w:ascii="Arial" w:cs="Arial" w:eastAsia="Arial" w:hAnsi="Arial"/>
          <w:sz w:val="21"/>
          <w:szCs w:val="21"/>
          <w:b w:val="1"/>
          <w:bCs w:val="1"/>
          <w:color w:val="auto"/>
        </w:rPr>
        <w:t>Executed Comfort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999490</wp:posOffset>
            </wp:positionV>
            <wp:extent cx="589153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160"/>
          </w:cols>
          <w:pgMar w:left="1440" w:top="350" w:right="129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u w:val="single" w:color="auto"/>
          <w:color w:val="auto"/>
        </w:rPr>
        <w:t>ANNEX I(B)</w:t>
      </w:r>
    </w:p>
    <w:p>
      <w:pPr>
        <w:spacing w:after="0" w:line="233"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Form of Comfort Letter</w:t>
      </w:r>
    </w:p>
    <w:p>
      <w:pPr>
        <w:spacing w:after="0" w:line="16" w:lineRule="exact"/>
        <w:rPr>
          <w:sz w:val="20"/>
          <w:szCs w:val="20"/>
          <w:color w:val="auto"/>
        </w:rPr>
      </w:pPr>
    </w:p>
    <w:p>
      <w:pPr>
        <w:jc w:val="center"/>
        <w:ind w:right="120"/>
        <w:spacing w:after="0"/>
        <w:rPr>
          <w:sz w:val="20"/>
          <w:szCs w:val="20"/>
          <w:color w:val="auto"/>
        </w:rPr>
      </w:pPr>
      <w:r>
        <w:rPr>
          <w:rFonts w:ascii="Arial" w:cs="Arial" w:eastAsia="Arial" w:hAnsi="Arial"/>
          <w:sz w:val="21"/>
          <w:szCs w:val="21"/>
          <w:b w:val="1"/>
          <w:bCs w:val="1"/>
          <w:color w:val="auto"/>
        </w:rPr>
        <w:t>to be Delivered Upon the Effective Date of a Post-Effective Amendment</w:t>
      </w:r>
    </w:p>
    <w:p>
      <w:pPr>
        <w:spacing w:after="0" w:line="2"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and at Each Time of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1283970</wp:posOffset>
            </wp:positionV>
            <wp:extent cx="589153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160"/>
          </w:cols>
          <w:pgMar w:left="1440" w:top="350" w:right="129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b w:val="1"/>
          <w:bCs w:val="1"/>
          <w:u w:val="single" w:color="auto"/>
          <w:color w:val="auto"/>
        </w:rPr>
        <w:t>ANNEX II</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Blueprint Medicines Corporation</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w:t>
      </w:r>
    </w:p>
    <w:p>
      <w:pPr>
        <w:spacing w:after="0" w:line="233" w:lineRule="exact"/>
        <w:rPr>
          <w:sz w:val="20"/>
          <w:szCs w:val="20"/>
          <w:color w:val="auto"/>
        </w:rPr>
      </w:pPr>
    </w:p>
    <w:p>
      <w:pPr>
        <w:ind w:right="60"/>
        <w:spacing w:after="0" w:line="230" w:lineRule="auto"/>
        <w:rPr>
          <w:sz w:val="20"/>
          <w:szCs w:val="20"/>
          <w:color w:val="auto"/>
        </w:rPr>
      </w:pPr>
      <w:r>
        <w:rPr>
          <w:rFonts w:ascii="Arial" w:cs="Arial" w:eastAsia="Arial" w:hAnsi="Arial"/>
          <w:sz w:val="22"/>
          <w:szCs w:val="22"/>
          <w:color w:val="auto"/>
        </w:rPr>
        <w:t>Blueprint Medicines Corporation (the “Company”) announced today that Goldman, Sachs &amp; Co. and Morgan Stanley &amp; Co. LLC, the lead book-running managers in the Company’s recent public sale of shares of common stock, is [waiving] [releasing] a lock-up restriction with respect to shares of the Company’s common stock held by [certain officers or directors] [an officer or</w:t>
      </w:r>
    </w:p>
    <w:p>
      <w:pPr>
        <w:spacing w:after="0" w:line="3" w:lineRule="exact"/>
        <w:rPr>
          <w:sz w:val="20"/>
          <w:szCs w:val="20"/>
          <w:color w:val="auto"/>
        </w:rPr>
      </w:pPr>
    </w:p>
    <w:p>
      <w:pPr>
        <w:ind w:right="580"/>
        <w:spacing w:after="0" w:line="238" w:lineRule="auto"/>
        <w:rPr>
          <w:sz w:val="20"/>
          <w:szCs w:val="20"/>
          <w:color w:val="auto"/>
        </w:rPr>
      </w:pPr>
      <w:r>
        <w:rPr>
          <w:rFonts w:ascii="Arial" w:cs="Arial" w:eastAsia="Arial" w:hAnsi="Arial"/>
          <w:sz w:val="22"/>
          <w:szCs w:val="22"/>
          <w:color w:val="auto"/>
        </w:rPr>
        <w:t>director] of the Company. The [waiver] [release] will take effect on , 20 , and the shares may be sold on or after such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such offer is prohibited, and such securities may not be offered or sold in the United States absent</w:t>
      </w:r>
    </w:p>
    <w:p>
      <w:pPr>
        <w:spacing w:after="0"/>
        <w:rPr>
          <w:sz w:val="20"/>
          <w:szCs w:val="20"/>
          <w:color w:val="auto"/>
        </w:rPr>
      </w:pPr>
      <w:r>
        <w:rPr>
          <w:rFonts w:ascii="Arial" w:cs="Arial" w:eastAsia="Arial" w:hAnsi="Arial"/>
          <w:sz w:val="18"/>
          <w:szCs w:val="18"/>
          <w:b w:val="1"/>
          <w:bCs w:val="1"/>
          <w:color w:val="auto"/>
        </w:rPr>
        <w:t>registration or an exemption from registration under the United States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975360</wp:posOffset>
            </wp:positionV>
            <wp:extent cx="589153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350" w:right="1299" w:bottom="1440" w:gutter="0" w:footer="0" w:header="0"/>
        </w:sectPr>
      </w:pPr>
    </w:p>
    <w:bookmarkStart w:id="42" w:name="page43"/>
    <w:bookmarkEnd w:id="42"/>
    <w:p>
      <w:pPr>
        <w:jc w:val="right"/>
        <w:ind w:right="139"/>
        <w:spacing w:after="0"/>
        <w:rPr>
          <w:sz w:val="20"/>
          <w:szCs w:val="20"/>
          <w:color w:val="auto"/>
        </w:rPr>
      </w:pPr>
      <w:r>
        <w:rPr>
          <w:rFonts w:ascii="Arial" w:cs="Arial" w:eastAsia="Arial" w:hAnsi="Arial"/>
          <w:sz w:val="22"/>
          <w:szCs w:val="22"/>
          <w:b w:val="1"/>
          <w:bCs w:val="1"/>
          <w:u w:val="single" w:color="auto"/>
          <w:color w:val="auto"/>
        </w:rPr>
        <w:t>ANNEX II(A)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Opinion of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535940</wp:posOffset>
            </wp:positionV>
            <wp:extent cx="554863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58" w:right="1440" w:bottom="1440" w:gutter="0" w:footer="0" w:header="0"/>
        </w:sectPr>
      </w:pPr>
    </w:p>
    <w:bookmarkStart w:id="43" w:name="page44"/>
    <w:bookmarkEnd w:id="43"/>
    <w:p>
      <w:pPr>
        <w:jc w:val="right"/>
        <w:ind w:right="139"/>
        <w:spacing w:after="0"/>
        <w:rPr>
          <w:sz w:val="20"/>
          <w:szCs w:val="20"/>
          <w:color w:val="auto"/>
        </w:rPr>
      </w:pPr>
      <w:r>
        <w:rPr>
          <w:rFonts w:ascii="Arial" w:cs="Arial" w:eastAsia="Arial" w:hAnsi="Arial"/>
          <w:sz w:val="22"/>
          <w:szCs w:val="22"/>
          <w:b w:val="1"/>
          <w:bCs w:val="1"/>
          <w:u w:val="single" w:color="auto"/>
          <w:color w:val="auto"/>
        </w:rPr>
        <w:t>ANNEX II(B)-1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Opinion of 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1222375</wp:posOffset>
            </wp:positionV>
            <wp:extent cx="554863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701" w:right="1440" w:bottom="1440" w:gutter="0" w:footer="0" w:header="0"/>
        </w:sectPr>
      </w:pPr>
    </w:p>
    <w:bookmarkStart w:id="44" w:name="page45"/>
    <w:bookmarkEnd w:id="44"/>
    <w:p>
      <w:pPr>
        <w:ind w:left="7440"/>
        <w:spacing w:after="0"/>
        <w:rPr>
          <w:sz w:val="20"/>
          <w:szCs w:val="20"/>
          <w:color w:val="auto"/>
        </w:rPr>
      </w:pPr>
      <w:r>
        <w:rPr>
          <w:rFonts w:ascii="Arial" w:cs="Arial" w:eastAsia="Arial" w:hAnsi="Arial"/>
          <w:sz w:val="21"/>
          <w:szCs w:val="21"/>
          <w:b w:val="1"/>
          <w:bCs w:val="1"/>
          <w:u w:val="single" w:color="auto"/>
          <w:color w:val="auto"/>
        </w:rPr>
        <w:t>ANNEX II(B)-2</w:t>
      </w:r>
    </w:p>
    <w:p>
      <w:pPr>
        <w:spacing w:after="0" w:line="245" w:lineRule="exact"/>
        <w:rPr>
          <w:sz w:val="20"/>
          <w:szCs w:val="20"/>
          <w:color w:val="auto"/>
        </w:rPr>
      </w:pPr>
    </w:p>
    <w:p>
      <w:pPr>
        <w:ind w:left="1460"/>
        <w:spacing w:after="0"/>
        <w:rPr>
          <w:sz w:val="20"/>
          <w:szCs w:val="20"/>
          <w:color w:val="auto"/>
        </w:rPr>
      </w:pPr>
      <w:r>
        <w:rPr>
          <w:rFonts w:ascii="Arial" w:cs="Arial" w:eastAsia="Arial" w:hAnsi="Arial"/>
          <w:sz w:val="22"/>
          <w:szCs w:val="22"/>
          <w:b w:val="1"/>
          <w:bCs w:val="1"/>
          <w:color w:val="auto"/>
        </w:rPr>
        <w:t>Form of Negative Assurance Letter of 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683260</wp:posOffset>
            </wp:positionV>
            <wp:extent cx="554863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50"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u w:val="single" w:color="auto"/>
          <w:color w:val="auto"/>
        </w:rPr>
        <w:t>ANNEX II(C)</w:t>
      </w:r>
    </w:p>
    <w:p>
      <w:pPr>
        <w:spacing w:after="0" w:line="233"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Form of Opinion of Lando &amp; Anastasi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1256665</wp:posOffset>
            </wp:positionV>
            <wp:extent cx="571119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11190" cy="26035"/>
                    </a:xfrm>
                    <a:prstGeom prst="rect">
                      <a:avLst/>
                    </a:prstGeom>
                    <a:noFill/>
                  </pic:spPr>
                </pic:pic>
              </a:graphicData>
            </a:graphic>
          </wp:anchor>
        </w:drawing>
      </w:r>
    </w:p>
    <w:p>
      <w:pPr>
        <w:sectPr>
          <w:pgSz w:w="11900" w:h="16838" w:orient="portrait"/>
          <w:cols w:equalWidth="0" w:num="1">
            <w:col w:w="9140"/>
          </w:cols>
          <w:pgMar w:left="1440" w:top="350" w:right="131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u w:val="single" w:color="auto"/>
          <w:color w:val="auto"/>
        </w:rPr>
        <w:t>ANNEX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Lock-Up Agreement</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Goldman, Sachs &amp; Co.,</w:t>
      </w:r>
    </w:p>
    <w:p>
      <w:pPr>
        <w:spacing w:after="0" w:line="230" w:lineRule="auto"/>
        <w:rPr>
          <w:sz w:val="20"/>
          <w:szCs w:val="20"/>
          <w:color w:val="auto"/>
        </w:rPr>
      </w:pPr>
      <w:r>
        <w:rPr>
          <w:rFonts w:ascii="Arial" w:cs="Arial" w:eastAsia="Arial" w:hAnsi="Arial"/>
          <w:sz w:val="22"/>
          <w:szCs w:val="22"/>
          <w:color w:val="auto"/>
        </w:rPr>
        <w:t>Morgan Stanley &amp; Co. LLC,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representatives of the several Underwriters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c/o Goldman, Sachs &amp; Co.,</w:t>
      </w:r>
    </w:p>
    <w:p>
      <w:pPr>
        <w:spacing w:after="0" w:line="230" w:lineRule="auto"/>
        <w:rPr>
          <w:sz w:val="20"/>
          <w:szCs w:val="20"/>
          <w:color w:val="auto"/>
        </w:rPr>
      </w:pPr>
      <w:r>
        <w:rPr>
          <w:rFonts w:ascii="Arial" w:cs="Arial" w:eastAsia="Arial" w:hAnsi="Arial"/>
          <w:sz w:val="22"/>
          <w:szCs w:val="22"/>
          <w:color w:val="auto"/>
        </w:rPr>
        <w:t>200 West Street,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10282-2198</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c/o Morgan Stanley &amp; Co. LLC,</w:t>
      </w:r>
    </w:p>
    <w:p>
      <w:pPr>
        <w:spacing w:after="0" w:line="230" w:lineRule="auto"/>
        <w:rPr>
          <w:sz w:val="20"/>
          <w:szCs w:val="20"/>
          <w:color w:val="auto"/>
        </w:rPr>
      </w:pPr>
      <w:r>
        <w:rPr>
          <w:rFonts w:ascii="Arial" w:cs="Arial" w:eastAsia="Arial" w:hAnsi="Arial"/>
          <w:sz w:val="22"/>
          <w:szCs w:val="22"/>
          <w:color w:val="auto"/>
        </w:rPr>
        <w:t>1585 Broadway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10036</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Re: Blueprint Medicines Corporation - Lock-Up Agreement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The undersigned understands that you, as representatives (the “Representatives”), propose to enter into an Underwriting Agreement on behalf of the several Underwriters named in Schedule I to such agreement (collectively, the “Underwriters”) (the “Underwriting Agreement”), with Blueprint Medicines Corporation, a Delaware corporation (the “Company”), providing for a public offering (the “Public Offering”) of shares (the “Shares”) of the common stock of the Company, par value $0.001 per share (the “Common Stock”), pursuant to a Registration Statement on Form S-3 filed with the Securities and Exchange Commission (the “SEC”) on May 10, 2016, as amended on July 22, 2016 (File No. 333-211266) (the “Registration Statement”).</w:t>
      </w:r>
    </w:p>
    <w:p>
      <w:pPr>
        <w:spacing w:after="0" w:line="183"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hereof and continuing to and including the date 90 days after the date of the final prospectus covering the public offering of the Shares (the “Public Offering Date”) (the “Lock-Up Period”), the undersigned will not offer, sell, contract to sell, pledge, grant any option to purchase, make any short sale or otherwise dispose of any shares of Common Stock of the Company, or any options or warrants to purchase any shares of Common Stock of the Company, or any securities convertible into, exchangeable for or that represent the right to receive shares of Common Stock of the Company, whether now owned or hereinafter acquired, owned directly by the undersigned (including holding as a custodian) or with respect to which the undersigned has beneficial ownership within the rules and regulations of the SEC (collectively the "Undersigned's Shares"). The foregoing restriction is expressly agreed to preclude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361315</wp:posOffset>
            </wp:positionV>
            <wp:extent cx="589153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91530" cy="17145"/>
                    </a:xfrm>
                    <a:prstGeom prst="rect">
                      <a:avLst/>
                    </a:prstGeom>
                    <a:noFill/>
                  </pic:spPr>
                </pic:pic>
              </a:graphicData>
            </a:graphic>
          </wp:anchor>
        </w:drawing>
      </w:r>
    </w:p>
    <w:p>
      <w:pPr>
        <w:sectPr>
          <w:pgSz w:w="11900" w:h="16838" w:orient="portrait"/>
          <w:cols w:equalWidth="0" w:num="1">
            <w:col w:w="9280"/>
          </w:cols>
          <w:pgMar w:left="1320" w:top="350" w:right="1299" w:bottom="1440" w:gutter="0" w:footer="0" w:header="0"/>
        </w:sectPr>
      </w:pPr>
    </w:p>
    <w:bookmarkStart w:id="47" w:name="page48"/>
    <w:bookmarkEnd w:id="47"/>
    <w:p>
      <w:pPr>
        <w:jc w:val="both"/>
        <w:ind w:left="9"/>
        <w:spacing w:after="0" w:line="232" w:lineRule="auto"/>
        <w:rPr>
          <w:sz w:val="20"/>
          <w:szCs w:val="20"/>
          <w:color w:val="auto"/>
        </w:rPr>
      </w:pPr>
      <w:r>
        <w:rPr>
          <w:rFonts w:ascii="Arial" w:cs="Arial" w:eastAsia="Arial" w:hAnsi="Arial"/>
          <w:sz w:val="22"/>
          <w:szCs w:val="22"/>
          <w:color w:val="auto"/>
        </w:rPr>
        <w:t>undersigned from engaging in any hedging or other transaction which is designed to or which reasonably could be expected to lead to or result in a sale or disposition of the Undersigned’s Shares even if such Shares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Shares or with respect to any security that includes, relates to, or derives any significant part of its value from such Shares. If the undersigned is an officer or director of the Company, the undersigned further agrees that the foregoing provisions shall be equally applicable to any Company-directed Shares the undersigned may purchase in the offering.</w:t>
      </w:r>
    </w:p>
    <w:p>
      <w:pPr>
        <w:spacing w:after="0" w:line="188" w:lineRule="exact"/>
        <w:rPr>
          <w:sz w:val="20"/>
          <w:szCs w:val="20"/>
          <w:color w:val="auto"/>
        </w:rPr>
      </w:pPr>
    </w:p>
    <w:p>
      <w:pPr>
        <w:jc w:val="both"/>
        <w:ind w:left="9" w:firstLine="648"/>
        <w:spacing w:after="0" w:line="233" w:lineRule="auto"/>
        <w:rPr>
          <w:sz w:val="20"/>
          <w:szCs w:val="20"/>
          <w:color w:val="auto"/>
        </w:rPr>
      </w:pPr>
      <w:r>
        <w:rPr>
          <w:rFonts w:ascii="Arial" w:cs="Arial" w:eastAsia="Arial" w:hAnsi="Arial"/>
          <w:sz w:val="22"/>
          <w:szCs w:val="22"/>
          <w:color w:val="auto"/>
        </w:rPr>
        <w:t>The undersigned hereby further agrees that, prior to engaging in any transaction or taking any other action that is subject to the terms of this Lock-Up Agreement during the Lock-Up Period, it will give notice thereof to the Company and will not consummate such transaction or take any such action unless it has received written confirmation from the Company that the Lock-Up Period has expired.</w:t>
      </w:r>
    </w:p>
    <w:p>
      <w:pPr>
        <w:spacing w:after="0" w:line="177" w:lineRule="exact"/>
        <w:rPr>
          <w:sz w:val="20"/>
          <w:szCs w:val="20"/>
          <w:color w:val="auto"/>
        </w:rPr>
      </w:pPr>
    </w:p>
    <w:p>
      <w:pPr>
        <w:jc w:val="both"/>
        <w:ind w:left="9" w:firstLine="648"/>
        <w:spacing w:after="0" w:line="241" w:lineRule="auto"/>
        <w:rPr>
          <w:sz w:val="20"/>
          <w:szCs w:val="20"/>
          <w:color w:val="auto"/>
        </w:rPr>
      </w:pPr>
      <w:r>
        <w:rPr>
          <w:rFonts w:ascii="Arial" w:cs="Arial" w:eastAsia="Arial" w:hAnsi="Arial"/>
          <w:sz w:val="21"/>
          <w:szCs w:val="21"/>
          <w:color w:val="auto"/>
        </w:rPr>
        <w:t>Notwithstanding the foregoing, the undersigned may (a) transfer the Undersigned’s Shares (i) acquired in the Public Offering, provided that the undersigned is not an officer or director of the Company, (ii) acquired in the open market following the completion of the distribution of the Shares by the Underwriters, (iii) as a bona fide gift or gifts, provided that the donee or donees thereof agree to be bound in writing by the restrictions set forth herein, (iv) to any trust for the direct or indirect benefit of the undersigned or the immediate family of the undersigned, or if the undersigned is a trust, to any beneficiary (including such beneficiary’s estate) of the undersigned, provided that the trustee of the trust, or such beneficiary, agrees to be bound in writing by the restrictions set forth herein, and provided further that any such transfer shall not involve a disposition for value, (v) 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(including, for the avoidance of doubt, a fund managed by the same manager or managing member or general partner or management company or by an entity controlling, controlled by, or under common control with such manager or managing member or general partner or management company as the undersigned or who shares a common investment advisor with the undersigned) or (B) as part of a distribution without consideration by the undersigned to its stockholders, partners, members or other equity holders, provided that in the case of any transfer contemplated in (A) or</w:t>
      </w:r>
    </w:p>
    <w:p>
      <w:pPr>
        <w:spacing w:after="0" w:line="12" w:lineRule="exact"/>
        <w:rPr>
          <w:sz w:val="20"/>
          <w:szCs w:val="20"/>
          <w:color w:val="auto"/>
        </w:rPr>
      </w:pPr>
    </w:p>
    <w:p>
      <w:pPr>
        <w:jc w:val="both"/>
        <w:ind w:left="9" w:hanging="9"/>
        <w:spacing w:after="0" w:line="232" w:lineRule="auto"/>
        <w:tabs>
          <w:tab w:leader="none" w:pos="37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above, it shall be a condition to the transfer that (x) each transferee executes an agreement stating that the transferee is receiving and holding such capital stock subject to the provisions of this Lock-Up Agreement, (y) there shall be no further transfer of such capital stock except in accordance with this Lock-Up Agreement and (z) such transfer shall not involve a disposition for value, (vi) by will or intestate succession upon the death of the undersigned, provided that the transferee agrees to be bound in writing by the restrictions set forth herein, (vii) in connection with the exercise for cash of options to purchase shares of Common Stock, the “net exercise” or “cashless” exercise of options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356870</wp:posOffset>
            </wp:positionV>
            <wp:extent cx="589153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9"/>
          </w:cols>
          <w:pgMar w:left="1311" w:top="376" w:right="1299" w:bottom="1440" w:gutter="0" w:footer="0" w:header="0"/>
        </w:sectPr>
      </w:pPr>
    </w:p>
    <w:bookmarkStart w:id="48" w:name="page49"/>
    <w:bookmarkEnd w:id="48"/>
    <w:p>
      <w:pPr>
        <w:jc w:val="both"/>
        <w:spacing w:after="0" w:line="231" w:lineRule="auto"/>
        <w:rPr>
          <w:sz w:val="20"/>
          <w:szCs w:val="20"/>
          <w:color w:val="auto"/>
        </w:rPr>
      </w:pPr>
      <w:r>
        <w:rPr>
          <w:rFonts w:ascii="Arial" w:cs="Arial" w:eastAsia="Arial" w:hAnsi="Arial"/>
          <w:sz w:val="22"/>
          <w:szCs w:val="22"/>
          <w:color w:val="auto"/>
        </w:rPr>
        <w:t>shares of Common Stock within 90 days of the expiration of such options and any transfer for the payment of taxes due as a result of such exercise, only in an amount necessary to satisfy such taxes, pursuant to an employee benefit plan, which is disclosed or incorporated by reference in the final prospectus used for the Public Offering, provided that the shares of Common Stock issued upon such exercise shall be subject to the restrictions of this Lock-Up Agreement, (viii) by operation of law, such as pursuant to a qualified domestic order or in connection with a divorce settlement, provided that each such transferee executes an agreement stating that the transferee is receiving and holding such capital stock subject to the provisions of this Lock-Up Agreement, or (ix) with the prior written consent of each of the Representatives on behalf of the Underwriters, or (b) enter into a written plan meeting the requirements of Rule 10b5-1 under the Securities Exchange Act of 1934, as amended (the “Exchange Act”), relating to the sale of securities of the Company, provided that the securities subject to such plan may not be sold and no public disclosure of any such action and no public filing under the Exchange Act, or otherwise, shall be required or shall be voluntarily made by any person until after the expiration of the Lock-Up Period. In addition, with respect to clauses (a)(i) through (a)(vii), it shall be a condition to such transfer that no filing under Section 16(a) of the Exchange Act shall be required or voluntarily made during the Lock-Up Period. For purposes of this Lock-Up Agreement, “immediate family” shall mean any relationship by blood, marriage or adoption, not more remote than first cousin. The undersigned now has, and, except as contemplated by clause (a) above, for the duration of this Lock-Up Agreement will have, good and marketable title to the Undersigned’s Shares, free and clear of all liens, encumbrances, and claims whatsoever. The undersigned also agrees and consents to the entry of stop transfer instructions with the Company’s transfer agent and registrar against the transfer of the Undersigned’s Shares except in compliance with the foregoing restrictions.</w:t>
      </w:r>
    </w:p>
    <w:p>
      <w:pPr>
        <w:spacing w:after="0" w:line="15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Notwithstanding anything to the contrary contained herein, this Lock-Up Agreement will automatically terminate and the undersigned will be released from all of his, her or its obligations hereunder upon the earliest to occur, if any, of (i) if, prior to the execution of the Underwriting Agreement, either the Company, on the one hand, or the Representatives, on the other hand, advise(s) the other in writing, that it has determined not to proceed with the Public Offering, (ii) the Company files an application with the SEC to withdraw the registration statement related to the Public Offering, (iii) the Underwriting Agreement is executed but is terminated (other than the provisions thereof which survive termination) prior to payment for and delivery of the shares of Common Stock to be sold thereunder, or (iv) January 31, 2017, in the event that the Underwriting Agreement has not been executed by such date.</w:t>
      </w:r>
    </w:p>
    <w:p>
      <w:pPr>
        <w:spacing w:after="0" w:line="14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w:t>
      </w:r>
    </w:p>
    <w:p>
      <w:pPr>
        <w:spacing w:after="0" w:line="202"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Very truly yours,</w:t>
      </w:r>
    </w:p>
    <w:p>
      <w:pPr>
        <w:spacing w:after="0" w:line="16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160655</wp:posOffset>
            </wp:positionV>
            <wp:extent cx="2744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4447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-1270</wp:posOffset>
            </wp:positionV>
            <wp:extent cx="2744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4447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581025</wp:posOffset>
            </wp:positionV>
            <wp:extent cx="589153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91530" cy="17145"/>
                    </a:xfrm>
                    <a:prstGeom prst="rect">
                      <a:avLst/>
                    </a:prstGeom>
                    <a:noFill/>
                  </pic:spPr>
                </pic:pic>
              </a:graphicData>
            </a:graphic>
          </wp:anchor>
        </w:drawing>
      </w:r>
    </w:p>
    <w:p>
      <w:pPr>
        <w:sectPr>
          <w:pgSz w:w="11900" w:h="16838" w:orient="portrait"/>
          <w:cols w:equalWidth="0" w:num="1">
            <w:col w:w="9280"/>
          </w:cols>
          <w:pgMar w:left="1320" w:top="376" w:right="1299" w:bottom="1440" w:gutter="0" w:footer="0" w:header="0"/>
        </w:sectPr>
      </w:pPr>
    </w:p>
    <w:bookmarkStart w:id="49" w:name="page50"/>
    <w:bookmarkEnd w:id="49"/>
    <w:p>
      <w:pPr>
        <w:jc w:val="right"/>
        <w:ind w:right="139"/>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400"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December 8, 2016</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Blueprint Medicines Corporation</w:t>
      </w:r>
    </w:p>
    <w:p>
      <w:pPr>
        <w:ind w:left="160"/>
        <w:spacing w:after="0" w:line="238" w:lineRule="auto"/>
        <w:rPr>
          <w:sz w:val="20"/>
          <w:szCs w:val="20"/>
          <w:color w:val="auto"/>
        </w:rPr>
      </w:pPr>
      <w:r>
        <w:rPr>
          <w:rFonts w:ascii="Arial" w:cs="Arial" w:eastAsia="Arial" w:hAnsi="Arial"/>
          <w:sz w:val="22"/>
          <w:szCs w:val="22"/>
          <w:color w:val="auto"/>
        </w:rPr>
        <w:t>38 Sidney Street, Suite 200</w:t>
      </w:r>
    </w:p>
    <w:p>
      <w:pPr>
        <w:ind w:left="160"/>
        <w:spacing w:after="0"/>
        <w:rPr>
          <w:sz w:val="20"/>
          <w:szCs w:val="20"/>
          <w:color w:val="auto"/>
        </w:rPr>
      </w:pPr>
      <w:r>
        <w:rPr>
          <w:rFonts w:ascii="Arial" w:cs="Arial" w:eastAsia="Arial" w:hAnsi="Arial"/>
          <w:sz w:val="22"/>
          <w:szCs w:val="22"/>
          <w:color w:val="auto"/>
        </w:rPr>
        <w:t>Cambridge, MA 02139</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22"/>
          <w:szCs w:val="22"/>
          <w:color w:val="auto"/>
        </w:rPr>
        <w:t>Re: Securities Registered under Registration Statement on Form S-3</w:t>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left="160" w:right="139"/>
        <w:spacing w:after="0" w:line="269" w:lineRule="auto"/>
        <w:rPr>
          <w:sz w:val="20"/>
          <w:szCs w:val="20"/>
          <w:color w:val="auto"/>
        </w:rPr>
      </w:pPr>
      <w:r>
        <w:rPr>
          <w:rFonts w:ascii="Arial" w:cs="Arial" w:eastAsia="Arial" w:hAnsi="Arial"/>
          <w:sz w:val="19"/>
          <w:szCs w:val="19"/>
          <w:color w:val="auto"/>
        </w:rPr>
        <w:t>We have acted as counsel to you in connection with your filing of the registration statement on Form S-3 (File No. 333-211266) (as amended or supplemented,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filed on July 25, 2016 by Blueprint Medicines Corporation,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with the Securities and 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pursuant to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The Registration Statement was declared effective by the Commission on July 25, 2016. Reference is made to our opinion letter dated May 10, 2016 and included as Exhibit 5.1 to the Registration Statement. We are delivering this supplemental opinion letter in connection with the prospectus supplement (the “</w:t>
      </w:r>
      <w:r>
        <w:rPr>
          <w:rFonts w:ascii="Arial" w:cs="Arial" w:eastAsia="Arial" w:hAnsi="Arial"/>
          <w:sz w:val="19"/>
          <w:szCs w:val="19"/>
          <w:u w:val="single" w:color="auto"/>
          <w:color w:val="auto"/>
        </w:rPr>
        <w:t>Prospectus Supplement</w:t>
      </w:r>
      <w:r>
        <w:rPr>
          <w:rFonts w:ascii="Arial" w:cs="Arial" w:eastAsia="Arial" w:hAnsi="Arial"/>
          <w:sz w:val="19"/>
          <w:szCs w:val="19"/>
          <w:color w:val="auto"/>
        </w:rPr>
        <w:t>”) filed on December 6, 2016 by the Company with the Commission pursuant to Rule 424(b)(5) under the Securities Act. The Prospectus Supplement relates to the offering by the Company of up to</w:t>
      </w:r>
    </w:p>
    <w:p>
      <w:pPr>
        <w:jc w:val="both"/>
        <w:ind w:left="160" w:right="359"/>
        <w:spacing w:after="0" w:line="277" w:lineRule="auto"/>
        <w:rPr>
          <w:sz w:val="20"/>
          <w:szCs w:val="20"/>
          <w:color w:val="auto"/>
        </w:rPr>
      </w:pPr>
      <w:r>
        <w:rPr>
          <w:rFonts w:ascii="Arial" w:cs="Arial" w:eastAsia="Arial" w:hAnsi="Arial"/>
          <w:sz w:val="19"/>
          <w:szCs w:val="19"/>
          <w:color w:val="auto"/>
        </w:rPr>
        <w:t>5,750,000 shares (the “</w:t>
      </w:r>
      <w:r>
        <w:rPr>
          <w:rFonts w:ascii="Arial" w:cs="Arial" w:eastAsia="Arial" w:hAnsi="Arial"/>
          <w:sz w:val="19"/>
          <w:szCs w:val="19"/>
          <w:u w:val="single" w:color="auto"/>
          <w:color w:val="auto"/>
        </w:rPr>
        <w:t>Shares</w:t>
      </w:r>
      <w:r>
        <w:rPr>
          <w:rFonts w:ascii="Arial" w:cs="Arial" w:eastAsia="Arial" w:hAnsi="Arial"/>
          <w:sz w:val="19"/>
          <w:szCs w:val="19"/>
          <w:color w:val="auto"/>
        </w:rPr>
        <w:t>”) of the Company’s common stock, par value $0.001 per share (the “</w:t>
      </w:r>
      <w:r>
        <w:rPr>
          <w:rFonts w:ascii="Arial" w:cs="Arial" w:eastAsia="Arial" w:hAnsi="Arial"/>
          <w:sz w:val="19"/>
          <w:szCs w:val="19"/>
          <w:u w:val="single" w:color="auto"/>
          <w:color w:val="auto"/>
        </w:rPr>
        <w:t>Common Stock</w:t>
      </w:r>
      <w:r>
        <w:rPr>
          <w:rFonts w:ascii="Arial" w:cs="Arial" w:eastAsia="Arial" w:hAnsi="Arial"/>
          <w:sz w:val="19"/>
          <w:szCs w:val="19"/>
          <w:color w:val="auto"/>
        </w:rPr>
        <w:t>”) covered by the Registration Statement. The Shares are being sold to the several underwriters named in, and pursuant to, the Underwriting Agreement dated December 7, 2016 by and among the Company and such underwriters (the “</w:t>
      </w:r>
      <w:r>
        <w:rPr>
          <w:rFonts w:ascii="Arial" w:cs="Arial" w:eastAsia="Arial" w:hAnsi="Arial"/>
          <w:sz w:val="19"/>
          <w:szCs w:val="19"/>
          <w:u w:val="single" w:color="auto"/>
          <w:color w:val="auto"/>
        </w:rPr>
        <w:t>Underwriting Agreement</w:t>
      </w:r>
      <w:r>
        <w:rPr>
          <w:rFonts w:ascii="Arial" w:cs="Arial" w:eastAsia="Arial" w:hAnsi="Arial"/>
          <w:sz w:val="19"/>
          <w:szCs w:val="19"/>
          <w:color w:val="auto"/>
        </w:rPr>
        <w:t>”). We understand that the Shares are to be offered and sold in the manner described in the Prospectus Supplement.</w:t>
      </w:r>
    </w:p>
    <w:p>
      <w:pPr>
        <w:spacing w:after="0" w:line="180" w:lineRule="exact"/>
        <w:rPr>
          <w:sz w:val="20"/>
          <w:szCs w:val="20"/>
          <w:color w:val="auto"/>
        </w:rPr>
      </w:pPr>
    </w:p>
    <w:p>
      <w:pPr>
        <w:ind w:left="160" w:right="159"/>
        <w:spacing w:after="0" w:line="238" w:lineRule="auto"/>
        <w:rPr>
          <w:sz w:val="20"/>
          <w:szCs w:val="20"/>
          <w:color w:val="auto"/>
        </w:rPr>
      </w:pPr>
      <w:r>
        <w:rPr>
          <w:rFonts w:ascii="Arial" w:cs="Arial" w:eastAsia="Arial" w:hAnsi="Arial"/>
          <w:sz w:val="22"/>
          <w:szCs w:val="22"/>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opinions set forth below, on certificates of officers of the Company.</w:t>
      </w:r>
    </w:p>
    <w:p>
      <w:pPr>
        <w:spacing w:after="0" w:line="212" w:lineRule="exact"/>
        <w:rPr>
          <w:sz w:val="20"/>
          <w:szCs w:val="20"/>
          <w:color w:val="auto"/>
        </w:rPr>
      </w:pPr>
    </w:p>
    <w:p>
      <w:pPr>
        <w:ind w:left="160" w:right="479"/>
        <w:spacing w:after="0" w:line="274" w:lineRule="auto"/>
        <w:rPr>
          <w:sz w:val="20"/>
          <w:szCs w:val="20"/>
          <w:color w:val="auto"/>
        </w:rPr>
      </w:pPr>
      <w:r>
        <w:rPr>
          <w:rFonts w:ascii="Arial" w:cs="Arial" w:eastAsia="Arial" w:hAnsi="Arial"/>
          <w:sz w:val="21"/>
          <w:szCs w:val="21"/>
          <w:color w:val="auto"/>
        </w:rPr>
        <w:t>The opinion set forth below is limited to the Delaware General Corporation Law (which includes reported judicial decisions interpreting the Delaware General Corporation Law).</w:t>
      </w:r>
    </w:p>
    <w:p>
      <w:pPr>
        <w:spacing w:after="0" w:line="178" w:lineRule="exact"/>
        <w:rPr>
          <w:sz w:val="20"/>
          <w:szCs w:val="20"/>
          <w:color w:val="auto"/>
        </w:rPr>
      </w:pPr>
    </w:p>
    <w:p>
      <w:pPr>
        <w:ind w:left="160" w:right="519"/>
        <w:spacing w:after="0" w:line="238" w:lineRule="auto"/>
        <w:rPr>
          <w:sz w:val="20"/>
          <w:szCs w:val="20"/>
          <w:color w:val="auto"/>
        </w:rPr>
      </w:pPr>
      <w:r>
        <w:rPr>
          <w:rFonts w:ascii="Arial" w:cs="Arial" w:eastAsia="Arial" w:hAnsi="Arial"/>
          <w:sz w:val="22"/>
          <w:szCs w:val="22"/>
          <w:color w:val="auto"/>
        </w:rPr>
        <w:t>Based on the foregoing, and subject to the additional qualifications set forth below, we are of the opinion that the Shares have been duly authorized and, when issued, delivered and paid for in accordance with the terms of the Underwriting Agreement, will be validly issued, fully paid and non-assessable.</w:t>
      </w:r>
    </w:p>
    <w:p>
      <w:pPr>
        <w:spacing w:after="0" w:line="212" w:lineRule="exact"/>
        <w:rPr>
          <w:sz w:val="20"/>
          <w:szCs w:val="20"/>
          <w:color w:val="auto"/>
        </w:rPr>
      </w:pPr>
    </w:p>
    <w:p>
      <w:pPr>
        <w:ind w:left="160" w:right="339"/>
        <w:spacing w:after="0" w:line="258" w:lineRule="auto"/>
        <w:rPr>
          <w:sz w:val="20"/>
          <w:szCs w:val="20"/>
          <w:color w:val="auto"/>
        </w:rPr>
      </w:pPr>
      <w:r>
        <w:rPr>
          <w:rFonts w:ascii="Arial" w:cs="Arial" w:eastAsia="Arial" w:hAnsi="Arial"/>
          <w:sz w:val="21"/>
          <w:szCs w:val="21"/>
          <w:color w:val="auto"/>
        </w:rPr>
        <w:t xml:space="preserve">This opinion letter and the opinion it contains shall be interpreted in accordance with the Legal Opinion Principles issued by the Committee on Legal Opinions of the American Bar Association’s Business Law Section as published in 53 </w:t>
      </w:r>
      <w:r>
        <w:rPr>
          <w:rFonts w:ascii="Arial" w:cs="Arial" w:eastAsia="Arial" w:hAnsi="Arial"/>
          <w:sz w:val="21"/>
          <w:szCs w:val="21"/>
          <w:i w:val="1"/>
          <w:iCs w:val="1"/>
          <w:color w:val="auto"/>
        </w:rPr>
        <w:t>Business Lawyer</w:t>
      </w:r>
      <w:r>
        <w:rPr>
          <w:rFonts w:ascii="Arial" w:cs="Arial" w:eastAsia="Arial" w:hAnsi="Arial"/>
          <w:sz w:val="21"/>
          <w:szCs w:val="21"/>
          <w:color w:val="auto"/>
        </w:rPr>
        <w:t xml:space="preserve"> 831 (May 1998).</w:t>
      </w:r>
    </w:p>
    <w:p>
      <w:pPr>
        <w:spacing w:after="0" w:line="194" w:lineRule="exact"/>
        <w:rPr>
          <w:sz w:val="20"/>
          <w:szCs w:val="20"/>
          <w:color w:val="auto"/>
        </w:rPr>
      </w:pPr>
    </w:p>
    <w:p>
      <w:pPr>
        <w:ind w:left="160" w:right="339"/>
        <w:spacing w:after="0" w:line="328" w:lineRule="auto"/>
        <w:rPr>
          <w:sz w:val="20"/>
          <w:szCs w:val="20"/>
          <w:color w:val="auto"/>
        </w:rPr>
      </w:pPr>
      <w:r>
        <w:rPr>
          <w:rFonts w:ascii="Arial" w:cs="Arial" w:eastAsia="Arial" w:hAnsi="Arial"/>
          <w:sz w:val="19"/>
          <w:szCs w:val="19"/>
          <w:color w:val="auto"/>
        </w:rPr>
        <w:t>We hereby consent to the inclusion of this opinion as Exhibit 5.1 to the Registration Statement and to the references to our firm under the caption “Legal Matters”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80645</wp:posOffset>
            </wp:positionV>
            <wp:extent cx="554863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0" w:name="page51"/>
    <w:bookmarkEnd w:id="50"/>
    <w:p>
      <w:pPr>
        <w:ind w:left="160"/>
        <w:spacing w:after="0"/>
        <w:rPr>
          <w:sz w:val="20"/>
          <w:szCs w:val="20"/>
          <w:color w:val="auto"/>
        </w:rPr>
      </w:pPr>
      <w:r>
        <w:rPr>
          <w:rFonts w:ascii="Arial" w:cs="Arial" w:eastAsia="Arial" w:hAnsi="Arial"/>
          <w:sz w:val="22"/>
          <w:szCs w:val="22"/>
          <w:color w:val="auto"/>
        </w:rPr>
        <w:t>Blueprint Medicines Corporation</w:t>
      </w:r>
    </w:p>
    <w:p>
      <w:pPr>
        <w:ind w:left="160"/>
        <w:spacing w:after="0" w:line="238" w:lineRule="auto"/>
        <w:rPr>
          <w:sz w:val="20"/>
          <w:szCs w:val="20"/>
          <w:color w:val="auto"/>
        </w:rPr>
      </w:pPr>
      <w:r>
        <w:rPr>
          <w:rFonts w:ascii="Arial" w:cs="Arial" w:eastAsia="Arial" w:hAnsi="Arial"/>
          <w:sz w:val="22"/>
          <w:szCs w:val="22"/>
          <w:color w:val="auto"/>
        </w:rPr>
        <w:t>December 8, 2016</w:t>
      </w:r>
    </w:p>
    <w:p>
      <w:pPr>
        <w:ind w:left="160"/>
        <w:spacing w:after="0"/>
        <w:rPr>
          <w:sz w:val="20"/>
          <w:szCs w:val="20"/>
          <w:color w:val="auto"/>
        </w:rPr>
      </w:pPr>
      <w:r>
        <w:rPr>
          <w:rFonts w:ascii="Arial" w:cs="Arial" w:eastAsia="Arial" w:hAnsi="Arial"/>
          <w:sz w:val="22"/>
          <w:szCs w:val="22"/>
          <w:color w:val="auto"/>
        </w:rPr>
        <w:t>Page 2</w:t>
      </w:r>
    </w:p>
    <w:p>
      <w:pPr>
        <w:spacing w:after="0" w:line="188" w:lineRule="exact"/>
        <w:rPr>
          <w:sz w:val="20"/>
          <w:szCs w:val="20"/>
          <w:color w:val="auto"/>
        </w:rPr>
      </w:pPr>
    </w:p>
    <w:p>
      <w:pPr>
        <w:ind w:left="160" w:right="719"/>
        <w:spacing w:after="0" w:line="328" w:lineRule="auto"/>
        <w:rPr>
          <w:sz w:val="20"/>
          <w:szCs w:val="20"/>
          <w:color w:val="auto"/>
        </w:rPr>
      </w:pPr>
      <w:r>
        <w:rPr>
          <w:rFonts w:ascii="Arial" w:cs="Arial" w:eastAsia="Arial" w:hAnsi="Arial"/>
          <w:sz w:val="19"/>
          <w:szCs w:val="19"/>
          <w:color w:val="auto"/>
        </w:rPr>
        <w:t>In giving our consent, we do not admit that we are in the category of persons whose consent is required under Section 7 of the Securities Act or the rules and regulations thereunder.</w:t>
      </w:r>
    </w:p>
    <w:p>
      <w:pPr>
        <w:spacing w:after="0" w:line="132"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/s/ Goodwin Procter LLP</w:t>
      </w:r>
    </w:p>
    <w:p>
      <w:pPr>
        <w:spacing w:after="0" w:line="233"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453390</wp:posOffset>
            </wp:positionV>
            <wp:extent cx="554863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sectPr>
      </w:pPr>
    </w:p>
    <w:bookmarkStart w:id="51" w:name="page52"/>
    <w:bookmarkEnd w:id="51"/>
    <w:p>
      <w:pPr>
        <w:jc w:val="right"/>
        <w:ind w:right="13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wp:posOffset>
            </wp:positionV>
            <wp:extent cx="1852295" cy="6261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5229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Blueprint Medicines Announces Proposed Public Offering of Shares of Common Stock</w:t>
      </w:r>
    </w:p>
    <w:p>
      <w:pPr>
        <w:spacing w:after="0" w:line="235" w:lineRule="exact"/>
        <w:rPr>
          <w:sz w:val="20"/>
          <w:szCs w:val="20"/>
          <w:color w:val="auto"/>
        </w:rPr>
      </w:pPr>
    </w:p>
    <w:p>
      <w:pPr>
        <w:jc w:val="both"/>
        <w:ind w:left="160" w:right="139"/>
        <w:spacing w:after="0" w:line="259" w:lineRule="auto"/>
        <w:rPr>
          <w:sz w:val="20"/>
          <w:szCs w:val="20"/>
          <w:color w:val="auto"/>
        </w:rPr>
      </w:pPr>
      <w:r>
        <w:rPr>
          <w:rFonts w:ascii="Arial" w:cs="Arial" w:eastAsia="Arial" w:hAnsi="Arial"/>
          <w:sz w:val="19"/>
          <w:szCs w:val="19"/>
          <w:color w:val="auto"/>
        </w:rPr>
        <w:t>CAMBRIDGE, Mass., December 6, 2016 – Blueprint Medicines Corporation (NASDAQ: BPMC), a leader in discovering and developing targeted kinase medicines for patients with genomically defined diseases, today announced that it has commenced an underwritten public offering of $125,000,000 in shares of its common stock. In addition, Blueprint Medicines expects to grant the underwriters a 30-day option to purchase up to an additional of $18,750,000 in shares of its common stock in connection with the public offering. All shares of common stock will be offered by Blueprint Medicines.</w:t>
      </w:r>
    </w:p>
    <w:p>
      <w:pPr>
        <w:spacing w:after="0" w:line="192" w:lineRule="exact"/>
        <w:rPr>
          <w:sz w:val="20"/>
          <w:szCs w:val="20"/>
          <w:color w:val="auto"/>
        </w:rPr>
      </w:pPr>
    </w:p>
    <w:p>
      <w:pPr>
        <w:jc w:val="both"/>
        <w:ind w:left="160" w:right="139"/>
        <w:spacing w:after="0" w:line="243" w:lineRule="auto"/>
        <w:rPr>
          <w:sz w:val="20"/>
          <w:szCs w:val="20"/>
          <w:color w:val="auto"/>
        </w:rPr>
      </w:pPr>
      <w:r>
        <w:rPr>
          <w:rFonts w:ascii="Arial" w:cs="Arial" w:eastAsia="Arial" w:hAnsi="Arial"/>
          <w:sz w:val="20"/>
          <w:szCs w:val="20"/>
          <w:color w:val="auto"/>
        </w:rPr>
        <w:t>Blueprint Medicines expects to use the net proceeds of the offering to fund the initiation of additional clinical trials of BLU-285 in advanced gastrointestinal stromal tumors and complete the expansion stage of its ongoing Phase 1 clinical trial of BLU-285 in advanced systemic mastocytosis; to fund the initiation of additional clinical trials of BLU-554 in advanced hepatocellular carcinoma; to partially fund the clinical development of BLU-667 in RET-driven cancers; to fund new and ongoing research and development activities; and the balance, if any, to fund working capital, capital expenditures and other general corporate purposes.</w:t>
      </w:r>
    </w:p>
    <w:p>
      <w:pPr>
        <w:spacing w:after="0" w:line="207" w:lineRule="exact"/>
        <w:rPr>
          <w:sz w:val="20"/>
          <w:szCs w:val="20"/>
          <w:color w:val="auto"/>
        </w:rPr>
      </w:pPr>
    </w:p>
    <w:p>
      <w:pPr>
        <w:jc w:val="both"/>
        <w:ind w:left="160" w:right="139"/>
        <w:spacing w:after="0" w:line="263" w:lineRule="auto"/>
        <w:rPr>
          <w:sz w:val="20"/>
          <w:szCs w:val="20"/>
          <w:color w:val="auto"/>
        </w:rPr>
      </w:pPr>
      <w:r>
        <w:rPr>
          <w:rFonts w:ascii="Arial" w:cs="Arial" w:eastAsia="Arial" w:hAnsi="Arial"/>
          <w:sz w:val="19"/>
          <w:szCs w:val="19"/>
          <w:color w:val="auto"/>
        </w:rPr>
        <w:t>Goldman, Sachs &amp; Co., Morgan Stanley and Cowen and Company are acting as joint book-running managers for the offering. JMP Securities LLC and Wedbush PacGrow are acting as co-managers for the offering. The offering is subject to market and other conditions, and there can be no assurance as to whether or when the offering may be completed or as to the actual size or terms of the offering.</w:t>
      </w:r>
    </w:p>
    <w:p>
      <w:pPr>
        <w:spacing w:after="0" w:line="190" w:lineRule="exact"/>
        <w:rPr>
          <w:sz w:val="20"/>
          <w:szCs w:val="20"/>
          <w:color w:val="auto"/>
        </w:rPr>
      </w:pPr>
    </w:p>
    <w:p>
      <w:pPr>
        <w:jc w:val="both"/>
        <w:ind w:left="160" w:right="139"/>
        <w:spacing w:after="0" w:line="260" w:lineRule="auto"/>
        <w:rPr>
          <w:sz w:val="20"/>
          <w:szCs w:val="20"/>
          <w:color w:val="auto"/>
        </w:rPr>
      </w:pPr>
      <w:r>
        <w:rPr>
          <w:rFonts w:ascii="Arial" w:cs="Arial" w:eastAsia="Arial" w:hAnsi="Arial"/>
          <w:sz w:val="19"/>
          <w:szCs w:val="19"/>
          <w:color w:val="auto"/>
        </w:rPr>
        <w:t>A registration statement on Form S-3 (File No. 333-211266) relating to these securities has been previously filed with and declared effective by the Securities and Exchange Commission (SEC). This press release shall not constitute an offer to sell or a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94" w:lineRule="exact"/>
        <w:rPr>
          <w:sz w:val="20"/>
          <w:szCs w:val="20"/>
          <w:color w:val="auto"/>
        </w:rPr>
      </w:pPr>
    </w:p>
    <w:p>
      <w:pPr>
        <w:jc w:val="both"/>
        <w:ind w:left="160" w:right="139"/>
        <w:spacing w:after="0" w:line="274" w:lineRule="auto"/>
        <w:rPr>
          <w:sz w:val="20"/>
          <w:szCs w:val="20"/>
          <w:color w:val="auto"/>
        </w:rPr>
      </w:pPr>
      <w:r>
        <w:rPr>
          <w:rFonts w:ascii="Arial" w:cs="Arial" w:eastAsia="Arial" w:hAnsi="Arial"/>
          <w:sz w:val="18"/>
          <w:szCs w:val="18"/>
          <w:color w:val="auto"/>
        </w:rPr>
        <w:t>The offering will be made only by means of a prospectus. A copy of the prospectus supplement relating to the offering will be filed with the SEC and may be obtained, when available, from Goldman, Sachs &amp; Co. by mail at 200 West Street, New York, NY 10282, Attention: Prospectus Department, by telephone at (866) 471-2526, or by email at prospectus-ny@ny.email.gs.com, from Morgan Stanley &amp; Co. LLC at 180 Varick Street, 2nd Floor, New York, NY 10014, Attention: Morgan Stanley Prospectus Department and from Cowen and Company, LLC, c/o Broadridge Financial Services, 1155 Long Island Avenue, Edgewood, NY 11717, Attention: Prospectus Department, by telephone at (631) 274-2806, or by fax at (631) 254-7140.</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Blueprint Medicines</w:t>
      </w:r>
    </w:p>
    <w:p>
      <w:pPr>
        <w:spacing w:after="0" w:line="235" w:lineRule="exact"/>
        <w:rPr>
          <w:sz w:val="20"/>
          <w:szCs w:val="20"/>
          <w:color w:val="auto"/>
        </w:rPr>
      </w:pPr>
    </w:p>
    <w:p>
      <w:pPr>
        <w:jc w:val="both"/>
        <w:ind w:left="160" w:right="139"/>
        <w:spacing w:after="0" w:line="243" w:lineRule="auto"/>
        <w:rPr>
          <w:sz w:val="20"/>
          <w:szCs w:val="20"/>
          <w:color w:val="auto"/>
        </w:rPr>
      </w:pPr>
      <w:r>
        <w:rPr>
          <w:rFonts w:ascii="Arial" w:cs="Arial" w:eastAsia="Arial" w:hAnsi="Arial"/>
          <w:sz w:val="20"/>
          <w:szCs w:val="20"/>
          <w:color w:val="auto"/>
        </w:rPr>
        <w:t>Blueprint Medicines is developing a new generation of targeted and potent kinase medicines to improve the lives of patients with genomically defined diseases. Its approach is rooted in a deep understanding of the genetic blueprint of cancer and other diseases driven by the abnormal activation of kinases. Blueprint Medicines is advancing three programs in clinical development for subsets of patients with gastrointestinal stromal tumors, hepatocellular carcinoma and systemic mastocytosis, as well as multiple programs in research and preclinical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135255</wp:posOffset>
            </wp:positionV>
            <wp:extent cx="554863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2" w:name="page53"/>
    <w:bookmarkEnd w:id="52"/>
    <w:p>
      <w:pPr>
        <w:ind w:left="160"/>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35" w:lineRule="exact"/>
        <w:rPr>
          <w:sz w:val="20"/>
          <w:szCs w:val="20"/>
          <w:color w:val="auto"/>
        </w:rPr>
      </w:pPr>
    </w:p>
    <w:p>
      <w:pPr>
        <w:jc w:val="both"/>
        <w:ind w:left="160" w:right="139"/>
        <w:spacing w:after="0" w:line="269"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Blueprint Medicines’ anticipated public offering; future expectations, plans and prospects for Blueprint Medicines and the timing of these events;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uncertainties related to market conditions and the completion of the public offering on the anticipated terms or at all. These and other risks and uncertainties are described in greater detail in the section entitled “Risk Factors” in Blueprint Medicines’ Quarterly Report on Form 10-Q for the quarter ended September 30, 2016, as filed with the SEC on November 10, 2016, the prospectus supplement related to the public offering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Contact:</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Investor Relations</w:t>
      </w:r>
      <w:r>
        <w:rPr>
          <w:rFonts w:ascii="Arial" w:cs="Arial" w:eastAsia="Arial" w:hAnsi="Arial"/>
          <w:sz w:val="20"/>
          <w:szCs w:val="20"/>
          <w:color w:val="auto"/>
        </w:rPr>
        <w:t>:</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Kristin Williams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Blueprint Medicines Corporation</w:t>
      </w:r>
    </w:p>
    <w:p>
      <w:pPr>
        <w:ind w:left="160"/>
        <w:spacing w:after="0"/>
        <w:rPr>
          <w:sz w:val="20"/>
          <w:szCs w:val="20"/>
          <w:color w:val="auto"/>
        </w:rPr>
      </w:pPr>
      <w:r>
        <w:rPr>
          <w:rFonts w:ascii="Arial" w:cs="Arial" w:eastAsia="Arial" w:hAnsi="Arial"/>
          <w:sz w:val="20"/>
          <w:szCs w:val="20"/>
          <w:color w:val="auto"/>
        </w:rPr>
        <w:t>617-714-6674</w:t>
      </w:r>
    </w:p>
    <w:p>
      <w:pPr>
        <w:ind w:left="160"/>
        <w:spacing w:after="0"/>
        <w:rPr>
          <w:sz w:val="20"/>
          <w:szCs w:val="20"/>
          <w:color w:val="auto"/>
        </w:rPr>
      </w:pPr>
      <w:r>
        <w:rPr>
          <w:rFonts w:ascii="Arial" w:cs="Arial" w:eastAsia="Arial" w:hAnsi="Arial"/>
          <w:sz w:val="20"/>
          <w:szCs w:val="20"/>
          <w:color w:val="auto"/>
        </w:rPr>
        <w:t>kwilliams@blueprintmedicines.com</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Media Relations</w:t>
      </w:r>
      <w:r>
        <w:rPr>
          <w:rFonts w:ascii="Arial" w:cs="Arial" w:eastAsia="Arial" w:hAnsi="Arial"/>
          <w:sz w:val="20"/>
          <w:szCs w:val="20"/>
          <w:color w:val="auto"/>
        </w:rPr>
        <w:t>:</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Rachel Hutman</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W2O Group</w:t>
      </w:r>
    </w:p>
    <w:p>
      <w:pPr>
        <w:ind w:left="160"/>
        <w:spacing w:after="0"/>
        <w:rPr>
          <w:sz w:val="20"/>
          <w:szCs w:val="20"/>
          <w:color w:val="auto"/>
        </w:rPr>
      </w:pPr>
      <w:r>
        <w:rPr>
          <w:rFonts w:ascii="Arial" w:cs="Arial" w:eastAsia="Arial" w:hAnsi="Arial"/>
          <w:sz w:val="20"/>
          <w:szCs w:val="20"/>
          <w:color w:val="auto"/>
        </w:rPr>
        <w:t>301-801-5540</w:t>
      </w:r>
    </w:p>
    <w:p>
      <w:pPr>
        <w:ind w:left="160"/>
        <w:spacing w:after="0"/>
        <w:rPr>
          <w:sz w:val="20"/>
          <w:szCs w:val="20"/>
          <w:color w:val="auto"/>
        </w:rPr>
      </w:pPr>
      <w:r>
        <w:rPr>
          <w:rFonts w:ascii="Arial" w:cs="Arial" w:eastAsia="Arial" w:hAnsi="Arial"/>
          <w:sz w:val="20"/>
          <w:szCs w:val="20"/>
          <w:color w:val="auto"/>
        </w:rPr>
        <w:t>rhutman@w2ogroup.com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137795</wp:posOffset>
            </wp:positionV>
            <wp:extent cx="554863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53" w:name="page54"/>
    <w:bookmarkEnd w:id="53"/>
    <w:p>
      <w:pPr>
        <w:jc w:val="right"/>
        <w:ind w:right="139"/>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wp:posOffset>
            </wp:positionV>
            <wp:extent cx="1852295" cy="6261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5229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Blueprint Medicines Announces Pricing of Public Offering of Shares of Common Stock</w:t>
      </w:r>
    </w:p>
    <w:p>
      <w:pPr>
        <w:spacing w:after="0" w:line="229" w:lineRule="exact"/>
        <w:rPr>
          <w:sz w:val="20"/>
          <w:szCs w:val="20"/>
          <w:color w:val="auto"/>
        </w:rPr>
      </w:pPr>
    </w:p>
    <w:p>
      <w:pPr>
        <w:jc w:val="both"/>
        <w:ind w:left="160" w:right="139"/>
        <w:spacing w:after="0" w:line="277" w:lineRule="auto"/>
        <w:rPr>
          <w:sz w:val="20"/>
          <w:szCs w:val="20"/>
          <w:color w:val="auto"/>
        </w:rPr>
      </w:pPr>
      <w:r>
        <w:rPr>
          <w:rFonts w:ascii="Arial" w:cs="Arial" w:eastAsia="Arial" w:hAnsi="Arial"/>
          <w:sz w:val="18"/>
          <w:szCs w:val="18"/>
          <w:b w:val="1"/>
          <w:bCs w:val="1"/>
          <w:color w:val="auto"/>
        </w:rPr>
        <w:t xml:space="preserve">CAMBRIDGE, Mass., December 7, 2016 – </w:t>
      </w:r>
      <w:r>
        <w:rPr>
          <w:rFonts w:ascii="Arial" w:cs="Arial" w:eastAsia="Arial" w:hAnsi="Arial"/>
          <w:sz w:val="18"/>
          <w:szCs w:val="18"/>
          <w:color w:val="auto"/>
        </w:rPr>
        <w:t>Blueprint Medicines Corporation (NASDAQ: BPMC), a leader</w:t>
      </w:r>
      <w:r>
        <w:rPr>
          <w:rFonts w:ascii="Arial" w:cs="Arial" w:eastAsia="Arial" w:hAnsi="Arial"/>
          <w:sz w:val="18"/>
          <w:szCs w:val="18"/>
          <w:b w:val="1"/>
          <w:bCs w:val="1"/>
          <w:color w:val="auto"/>
        </w:rPr>
        <w:t xml:space="preserve"> </w:t>
      </w:r>
      <w:r>
        <w:rPr>
          <w:rFonts w:ascii="Arial" w:cs="Arial" w:eastAsia="Arial" w:hAnsi="Arial"/>
          <w:sz w:val="18"/>
          <w:szCs w:val="18"/>
          <w:color w:val="auto"/>
        </w:rPr>
        <w:t>in discovering and developing targeted kinase medicines for patients with genomically defined diseases, today announced the pricing of an underwritten public offering of 5,000,000 shares of its common stock at a public offering price of $25.00 per share, before underwriting discounts and commissions. In addition, Blueprint Medicines has granted the underwriters a 30-day option to purchase up to an additional 750,000 shares of its common stock at the public offering price, less underwriting discounts and commissions.</w:t>
      </w:r>
    </w:p>
    <w:p>
      <w:pPr>
        <w:spacing w:after="0" w:line="180" w:lineRule="exact"/>
        <w:rPr>
          <w:sz w:val="20"/>
          <w:szCs w:val="20"/>
          <w:color w:val="auto"/>
        </w:rPr>
      </w:pPr>
    </w:p>
    <w:p>
      <w:pPr>
        <w:jc w:val="both"/>
        <w:ind w:left="160" w:right="139"/>
        <w:spacing w:after="0" w:line="246" w:lineRule="auto"/>
        <w:rPr>
          <w:sz w:val="20"/>
          <w:szCs w:val="20"/>
          <w:color w:val="auto"/>
        </w:rPr>
      </w:pPr>
      <w:r>
        <w:rPr>
          <w:rFonts w:ascii="Arial" w:cs="Arial" w:eastAsia="Arial" w:hAnsi="Arial"/>
          <w:sz w:val="20"/>
          <w:szCs w:val="20"/>
          <w:color w:val="auto"/>
        </w:rPr>
        <w:t>Goldman, Sachs &amp; Co., Morgan Stanley and Cowen and Company are acting as joint book-running managers for the offering. JMP Securities and Wedbush PacGrow are acting as co-managers for the offering. The offering is expected to close on or about December 13, 2016, subject to the satisfaction of customary closing conditions.</w:t>
      </w:r>
    </w:p>
    <w:p>
      <w:pPr>
        <w:spacing w:after="0" w:line="205" w:lineRule="exact"/>
        <w:rPr>
          <w:sz w:val="20"/>
          <w:szCs w:val="20"/>
          <w:color w:val="auto"/>
        </w:rPr>
      </w:pPr>
    </w:p>
    <w:p>
      <w:pPr>
        <w:jc w:val="both"/>
        <w:ind w:left="160" w:right="139"/>
        <w:spacing w:after="0" w:line="260" w:lineRule="auto"/>
        <w:rPr>
          <w:sz w:val="20"/>
          <w:szCs w:val="20"/>
          <w:color w:val="auto"/>
        </w:rPr>
      </w:pPr>
      <w:r>
        <w:rPr>
          <w:rFonts w:ascii="Arial" w:cs="Arial" w:eastAsia="Arial" w:hAnsi="Arial"/>
          <w:sz w:val="19"/>
          <w:szCs w:val="19"/>
          <w:color w:val="auto"/>
        </w:rPr>
        <w:t>A registration statement on Form S-3 (File No. 333-211266) relating to these securities has been previously filed with and declared effective by the Securities and Exchange Commission (SEC). This press release shall not constitute an offer to sell or a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94" w:lineRule="exact"/>
        <w:rPr>
          <w:sz w:val="20"/>
          <w:szCs w:val="20"/>
          <w:color w:val="auto"/>
        </w:rPr>
      </w:pPr>
    </w:p>
    <w:p>
      <w:pPr>
        <w:jc w:val="both"/>
        <w:ind w:left="160" w:right="139"/>
        <w:spacing w:after="0" w:line="256" w:lineRule="auto"/>
        <w:rPr>
          <w:sz w:val="20"/>
          <w:szCs w:val="20"/>
          <w:color w:val="auto"/>
        </w:rPr>
      </w:pPr>
      <w:r>
        <w:rPr>
          <w:rFonts w:ascii="Arial" w:cs="Arial" w:eastAsia="Arial" w:hAnsi="Arial"/>
          <w:sz w:val="19"/>
          <w:szCs w:val="19"/>
          <w:color w:val="auto"/>
        </w:rPr>
        <w:t>The offering will be made only by means of a prospectus. A preliminary prospectus supplement describing the terms of the offering has been filed with the SEC and forms a part of the effective registration statement. A copy of the final prospectus supplement relating to the offering will be filed with the SEC and may be obtained, when available, from Goldman, Sachs &amp; Co. by mail at 200 West Street, New York, New York 10282, Attention: Prospectus Department, by telephone at (866) 471-2526, or by email at prospectus-ny@ny.email.gs.com, from Morgan Stanley &amp; Co. LLC, Attention: Morgan Stanley Prospectus Department, 180 Varick Street, 2nd Floor, New York, NY 10014and from Cowen and Company, LLC, c/o Broadridge Financial Services, 1155 Long Island Avenue, Edgewood, NY 11717, Attention: Prospectus Department, by telephone at (631) 274-2806, or by fax at (631) 254-7140.</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Blueprint Medicines</w:t>
      </w:r>
    </w:p>
    <w:p>
      <w:pPr>
        <w:spacing w:after="0" w:line="235" w:lineRule="exact"/>
        <w:rPr>
          <w:sz w:val="20"/>
          <w:szCs w:val="20"/>
          <w:color w:val="auto"/>
        </w:rPr>
      </w:pPr>
    </w:p>
    <w:p>
      <w:pPr>
        <w:jc w:val="both"/>
        <w:ind w:left="160" w:right="139"/>
        <w:spacing w:after="0" w:line="243" w:lineRule="auto"/>
        <w:rPr>
          <w:sz w:val="20"/>
          <w:szCs w:val="20"/>
          <w:color w:val="auto"/>
        </w:rPr>
      </w:pPr>
      <w:r>
        <w:rPr>
          <w:rFonts w:ascii="Arial" w:cs="Arial" w:eastAsia="Arial" w:hAnsi="Arial"/>
          <w:sz w:val="20"/>
          <w:szCs w:val="20"/>
          <w:color w:val="auto"/>
        </w:rPr>
        <w:t>Blueprint Medicines is developing a new generation of targeted and potent kinase medicines to improve the lives of patients with genomically defined diseases. Its approach is rooted in a deep understanding of the genetic blueprint of cancer and other diseases driven by the abnormal activation of kinases. Blueprint Medicines is advancing three programs in clinical development for subsets of patients with gastrointestinal stromal tumors, hepatocellular carcinoma and systemic mastocytosis, as well as multiple programs in research and preclinical development.</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35" w:lineRule="exact"/>
        <w:rPr>
          <w:sz w:val="20"/>
          <w:szCs w:val="20"/>
          <w:color w:val="auto"/>
        </w:rPr>
      </w:pPr>
    </w:p>
    <w:p>
      <w:pPr>
        <w:jc w:val="both"/>
        <w:ind w:left="160" w:right="159"/>
        <w:spacing w:after="0" w:line="287"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as amended, including, without limitation, statements regarding Blueprint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107950</wp:posOffset>
            </wp:positionV>
            <wp:extent cx="554863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4" w:name="page55"/>
    <w:bookmarkEnd w:id="54"/>
    <w:p>
      <w:pPr>
        <w:jc w:val="both"/>
        <w:ind w:left="160" w:right="139"/>
        <w:spacing w:after="0" w:line="305" w:lineRule="auto"/>
        <w:rPr>
          <w:sz w:val="20"/>
          <w:szCs w:val="20"/>
          <w:color w:val="auto"/>
        </w:rPr>
      </w:pPr>
      <w:r>
        <w:rPr>
          <w:rFonts w:ascii="Arial" w:cs="Arial" w:eastAsia="Arial" w:hAnsi="Arial"/>
          <w:sz w:val="16"/>
          <w:szCs w:val="16"/>
          <w:color w:val="auto"/>
        </w:rPr>
        <w:t>Medicines’ anticipated public offering; future expectations, plans and prospects for Blueprint Medicines and the timing of these events;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uncertainties related to market conditions and the completion of the public offering on the anticipated terms or at all. These and other risks and uncertainties are described in greater detail in the section entitled “Risk Factors” in Blueprint Medicines’ Quarterly Report on Form 10-Q for the quarter ended September 30, 2016, as filed with the SEC on November 10, 2016, the prospectus supplement related to the public offering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39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Contact:</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Investor Relations</w:t>
      </w:r>
      <w:r>
        <w:rPr>
          <w:rFonts w:ascii="Arial" w:cs="Arial" w:eastAsia="Arial" w:hAnsi="Arial"/>
          <w:sz w:val="20"/>
          <w:szCs w:val="20"/>
          <w:color w:val="auto"/>
        </w:rPr>
        <w:t>:</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Kristin Williams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Blueprint Medicines Corporation</w:t>
      </w:r>
    </w:p>
    <w:p>
      <w:pPr>
        <w:ind w:left="160"/>
        <w:spacing w:after="0"/>
        <w:rPr>
          <w:sz w:val="20"/>
          <w:szCs w:val="20"/>
          <w:color w:val="auto"/>
        </w:rPr>
      </w:pPr>
      <w:r>
        <w:rPr>
          <w:rFonts w:ascii="Arial" w:cs="Arial" w:eastAsia="Arial" w:hAnsi="Arial"/>
          <w:sz w:val="20"/>
          <w:szCs w:val="20"/>
          <w:color w:val="auto"/>
        </w:rPr>
        <w:t>617-714-6674</w:t>
      </w:r>
    </w:p>
    <w:p>
      <w:pPr>
        <w:ind w:left="160"/>
        <w:spacing w:after="0"/>
        <w:rPr>
          <w:sz w:val="20"/>
          <w:szCs w:val="20"/>
          <w:color w:val="auto"/>
        </w:rPr>
      </w:pPr>
      <w:r>
        <w:rPr>
          <w:rFonts w:ascii="Arial" w:cs="Arial" w:eastAsia="Arial" w:hAnsi="Arial"/>
          <w:sz w:val="20"/>
          <w:szCs w:val="20"/>
          <w:color w:val="auto"/>
        </w:rPr>
        <w:t>kwilliams@blueprintmedicines.com</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Media Relations</w:t>
      </w:r>
      <w:r>
        <w:rPr>
          <w:rFonts w:ascii="Arial" w:cs="Arial" w:eastAsia="Arial" w:hAnsi="Arial"/>
          <w:sz w:val="20"/>
          <w:szCs w:val="20"/>
          <w:color w:val="auto"/>
        </w:rPr>
        <w:t>:</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Rachel Hutman</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W2O Group</w:t>
      </w:r>
    </w:p>
    <w:p>
      <w:pPr>
        <w:ind w:left="160"/>
        <w:spacing w:after="0"/>
        <w:rPr>
          <w:sz w:val="20"/>
          <w:szCs w:val="20"/>
          <w:color w:val="auto"/>
        </w:rPr>
      </w:pPr>
      <w:r>
        <w:rPr>
          <w:rFonts w:ascii="Arial" w:cs="Arial" w:eastAsia="Arial" w:hAnsi="Arial"/>
          <w:sz w:val="20"/>
          <w:szCs w:val="20"/>
          <w:color w:val="auto"/>
        </w:rPr>
        <w:t>301-801-5540</w:t>
      </w:r>
    </w:p>
    <w:p>
      <w:pPr>
        <w:ind w:left="160"/>
        <w:spacing w:after="0"/>
        <w:rPr>
          <w:sz w:val="20"/>
          <w:szCs w:val="20"/>
          <w:color w:val="auto"/>
        </w:rPr>
      </w:pPr>
      <w:r>
        <w:rPr>
          <w:rFonts w:ascii="Arial" w:cs="Arial" w:eastAsia="Arial" w:hAnsi="Arial"/>
          <w:sz w:val="20"/>
          <w:szCs w:val="20"/>
          <w:color w:val="auto"/>
        </w:rPr>
        <w:t>rhutman@w2ogroup.com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137795</wp:posOffset>
            </wp:positionV>
            <wp:extent cx="554863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1"/>
    </w:lvl>
  </w:abstractNum>
  <w:abstractNum w:abstractNumId="2">
    <w:nsid w:val="8EDBDAB"/>
    <w:multiLevelType w:val="hybridMultilevel"/>
    <w:lvl w:ilvl="0">
      <w:lvlJc w:val="left"/>
      <w:lvlText w:val="(%1)"/>
      <w:numFmt w:val="lowerLetter"/>
      <w:start w:val="1"/>
    </w:lvl>
  </w:abstractNum>
  <w:abstractNum w:abstractNumId="3">
    <w:nsid w:val="79838CB2"/>
    <w:multiLevelType w:val="hybridMultilevel"/>
    <w:lvl w:ilvl="0">
      <w:lvlJc w:val="left"/>
      <w:lvlText w:val="(%1)"/>
      <w:numFmt w:val="lowerLetter"/>
      <w:start w:val="2"/>
    </w:lvl>
  </w:abstractNum>
  <w:abstractNum w:abstractNumId="4">
    <w:nsid w:val="4353D0CD"/>
    <w:multiLevelType w:val="hybridMultilevel"/>
    <w:lvl w:ilvl="0">
      <w:lvlJc w:val="left"/>
      <w:lvlText w:val="(%1)"/>
      <w:numFmt w:val="lowerLetter"/>
      <w:start w:val="5"/>
    </w:lvl>
  </w:abstractNum>
  <w:abstractNum w:abstractNumId="5">
    <w:nsid w:val="B03E0C6"/>
    <w:multiLevelType w:val="hybridMultilevel"/>
    <w:lvl w:ilvl="0">
      <w:lvlJc w:val="left"/>
      <w:lvlText w:val="(%1)"/>
      <w:numFmt w:val="lowerLetter"/>
      <w:start w:val="8"/>
    </w:lvl>
  </w:abstractNum>
  <w:abstractNum w:abstractNumId="6">
    <w:nsid w:val="189A769B"/>
    <w:multiLevelType w:val="hybridMultilevel"/>
    <w:lvl w:ilvl="0">
      <w:lvlJc w:val="left"/>
      <w:lvlText w:val="(%1)"/>
      <w:numFmt w:val="lowerLetter"/>
      <w:start w:val="10"/>
    </w:lvl>
  </w:abstractNum>
  <w:abstractNum w:abstractNumId="7">
    <w:nsid w:val="54E49EB4"/>
    <w:multiLevelType w:val="hybridMultilevel"/>
    <w:lvl w:ilvl="0">
      <w:lvlJc w:val="left"/>
      <w:lvlText w:val="(%1)"/>
      <w:numFmt w:val="lowerLetter"/>
      <w:start w:val="13"/>
    </w:lvl>
  </w:abstractNum>
  <w:abstractNum w:abstractNumId="8">
    <w:nsid w:val="71F32454"/>
    <w:multiLevelType w:val="hybridMultilevel"/>
    <w:lvl w:ilvl="0">
      <w:lvlJc w:val="left"/>
      <w:lvlText w:val="(%1)"/>
      <w:numFmt w:val="lowerLetter"/>
      <w:start w:val="20"/>
    </w:lvl>
  </w:abstractNum>
  <w:abstractNum w:abstractNumId="9">
    <w:nsid w:val="2CA88611"/>
    <w:multiLevelType w:val="hybridMultilevel"/>
    <w:lvl w:ilvl="0">
      <w:lvlJc w:val="left"/>
      <w:lvlText w:val="(%1)"/>
      <w:numFmt w:val="lowerRoman"/>
      <w:start w:val="2"/>
    </w:lvl>
  </w:abstractNum>
  <w:abstractNum w:abstractNumId="10">
    <w:nsid w:val="836C40E"/>
    <w:multiLevelType w:val="hybridMultilevel"/>
    <w:lvl w:ilvl="0">
      <w:lvlJc w:val="left"/>
      <w:lvlText w:val="(%1)"/>
      <w:numFmt w:val="lowerLetter"/>
      <w:start w:val="24"/>
    </w:lvl>
  </w:abstractNum>
  <w:abstractNum w:abstractNumId="11">
    <w:nsid w:val="2901D82"/>
    <w:multiLevelType w:val="hybridMultilevel"/>
    <w:lvl w:ilvl="0">
      <w:lvlJc w:val="left"/>
      <w:lvlText w:val="(%1)"/>
      <w:numFmt w:val="lowerLetter"/>
      <w:start w:val="27"/>
    </w:lvl>
  </w:abstractNum>
  <w:abstractNum w:abstractNumId="12">
    <w:nsid w:val="3A95F874"/>
    <w:multiLevelType w:val="hybridMultilevel"/>
    <w:lvl w:ilvl="0">
      <w:lvlJc w:val="left"/>
      <w:lvlText w:val="(%1)"/>
      <w:numFmt w:val="lowerLetter"/>
      <w:start w:val="28"/>
    </w:lvl>
  </w:abstractNum>
  <w:abstractNum w:abstractNumId="13">
    <w:nsid w:val="8138641"/>
    <w:multiLevelType w:val="hybridMultilevel"/>
    <w:lvl w:ilvl="0">
      <w:lvlJc w:val="left"/>
      <w:lvlText w:val="(%1)"/>
      <w:numFmt w:val="lowerLetter"/>
      <w:start w:val="33"/>
    </w:lvl>
  </w:abstractNum>
  <w:abstractNum w:abstractNumId="14">
    <w:nsid w:val="1E7FF521"/>
    <w:multiLevelType w:val="hybridMultilevel"/>
    <w:lvl w:ilvl="0">
      <w:lvlJc w:val="left"/>
      <w:lvlText w:val="%1"/>
      <w:numFmt w:val="lowerRoman"/>
      <w:start w:val="1"/>
    </w:lvl>
    <w:lvl w:ilvl="1">
      <w:lvlJc w:val="left"/>
      <w:lvlText w:val="(%2)"/>
      <w:numFmt w:val="lowerLetter"/>
      <w:start w:val="35"/>
    </w:lvl>
  </w:abstractNum>
  <w:abstractNum w:abstractNumId="15">
    <w:nsid w:val="7C3DBD3D"/>
    <w:multiLevelType w:val="hybridMultilevel"/>
    <w:lvl w:ilvl="0">
      <w:lvlJc w:val="left"/>
      <w:lvlText w:val="(%1)"/>
      <w:numFmt w:val="lowerRoman"/>
      <w:start w:val="4"/>
    </w:lvl>
    <w:lvl w:ilvl="1">
      <w:lvlJc w:val="left"/>
      <w:lvlText w:val="%2"/>
      <w:numFmt w:val="lowerLetter"/>
      <w:start w:val="1"/>
    </w:lvl>
  </w:abstractNum>
  <w:abstractNum w:abstractNumId="16">
    <w:nsid w:val="737B8DDC"/>
    <w:multiLevelType w:val="hybridMultilevel"/>
    <w:lvl w:ilvl="0">
      <w:lvlJc w:val="left"/>
      <w:lvlText w:val="(%1)"/>
      <w:numFmt w:val="lowerLetter"/>
      <w:start w:val="38"/>
    </w:lvl>
  </w:abstractNum>
  <w:abstractNum w:abstractNumId="17">
    <w:nsid w:val="6CEAF087"/>
    <w:multiLevelType w:val="hybridMultilevel"/>
    <w:lvl w:ilvl="0">
      <w:lvlJc w:val="left"/>
      <w:lvlText w:val="%1."/>
      <w:numFmt w:val="decimal"/>
      <w:start w:val="2"/>
    </w:lvl>
  </w:abstractNum>
  <w:abstractNum w:abstractNumId="18">
    <w:nsid w:val="22221A70"/>
    <w:multiLevelType w:val="hybridMultilevel"/>
    <w:lvl w:ilvl="0">
      <w:lvlJc w:val="left"/>
      <w:lvlText w:val="%1."/>
      <w:numFmt w:val="decimal"/>
      <w:start w:val="3"/>
    </w:lvl>
  </w:abstractNum>
  <w:abstractNum w:abstractNumId="19">
    <w:nsid w:val="4516DDE9"/>
    <w:multiLevelType w:val="hybridMultilevel"/>
    <w:lvl w:ilvl="0">
      <w:lvlJc w:val="left"/>
      <w:lvlText w:val="(%1)"/>
      <w:numFmt w:val="lowerLetter"/>
      <w:start w:val="2"/>
    </w:lvl>
  </w:abstractNum>
  <w:abstractNum w:abstractNumId="20">
    <w:nsid w:val="3006C83E"/>
    <w:multiLevelType w:val="hybridMultilevel"/>
    <w:lvl w:ilvl="0">
      <w:lvlJc w:val="left"/>
      <w:lvlText w:val="%1."/>
      <w:numFmt w:val="decimal"/>
      <w:start w:val="5"/>
    </w:lvl>
  </w:abstractNum>
  <w:abstractNum w:abstractNumId="21">
    <w:nsid w:val="614FD4A1"/>
    <w:multiLevelType w:val="hybridMultilevel"/>
    <w:lvl w:ilvl="0">
      <w:lvlJc w:val="left"/>
      <w:lvlText w:val="(%1)"/>
      <w:numFmt w:val="lowerLetter"/>
      <w:start w:val="1"/>
    </w:lvl>
  </w:abstractNum>
  <w:abstractNum w:abstractNumId="22">
    <w:nsid w:val="419AC241"/>
    <w:multiLevelType w:val="hybridMultilevel"/>
    <w:lvl w:ilvl="0">
      <w:lvlJc w:val="left"/>
      <w:lvlText w:val="(%1)"/>
      <w:numFmt w:val="lowerLetter"/>
      <w:start w:val="3"/>
    </w:lvl>
  </w:abstractNum>
  <w:abstractNum w:abstractNumId="23">
    <w:nsid w:val="5577F8E1"/>
    <w:multiLevelType w:val="hybridMultilevel"/>
    <w:lvl w:ilvl="0">
      <w:lvlJc w:val="left"/>
      <w:lvlText w:val="(%1)"/>
      <w:numFmt w:val="lowerLetter"/>
      <w:start w:val="6"/>
    </w:lvl>
  </w:abstractNum>
  <w:abstractNum w:abstractNumId="24">
    <w:nsid w:val="440BADFC"/>
    <w:multiLevelType w:val="hybridMultilevel"/>
    <w:lvl w:ilvl="0">
      <w:lvlJc w:val="left"/>
      <w:lvlText w:val="(%1)"/>
      <w:numFmt w:val="lowerLetter"/>
      <w:start w:val="8"/>
    </w:lvl>
  </w:abstractNum>
  <w:abstractNum w:abstractNumId="25">
    <w:nsid w:val="5072367"/>
    <w:multiLevelType w:val="hybridMultilevel"/>
    <w:lvl w:ilvl="0">
      <w:lvlJc w:val="left"/>
      <w:lvlText w:val="%1."/>
      <w:numFmt w:val="decimal"/>
      <w:start w:val="6"/>
    </w:lvl>
  </w:abstractNum>
  <w:abstractNum w:abstractNumId="26">
    <w:nsid w:val="3804823E"/>
    <w:multiLevelType w:val="hybridMultilevel"/>
    <w:lvl w:ilvl="0">
      <w:lvlJc w:val="left"/>
      <w:lvlText w:val="(%1)"/>
      <w:numFmt w:val="lowerLetter"/>
      <w:start w:val="2"/>
    </w:lvl>
  </w:abstractNum>
  <w:abstractNum w:abstractNumId="27">
    <w:nsid w:val="77465F01"/>
    <w:multiLevelType w:val="hybridMultilevel"/>
    <w:lvl w:ilvl="0">
      <w:lvlJc w:val="left"/>
      <w:lvlText w:val="(%1)"/>
      <w:numFmt w:val="lowerLetter"/>
      <w:start w:val="35"/>
    </w:lvl>
    <w:lvl w:ilvl="1">
      <w:lvlJc w:val="left"/>
      <w:lvlText w:val="(%2)"/>
      <w:numFmt w:val="lowerLetter"/>
      <w:start w:val="3"/>
    </w:lvl>
  </w:abstractNum>
  <w:abstractNum w:abstractNumId="28">
    <w:nsid w:val="7724C67E"/>
    <w:multiLevelType w:val="hybridMultilevel"/>
    <w:lvl w:ilvl="0">
      <w:lvlJc w:val="left"/>
      <w:lvlText w:val="%1."/>
      <w:numFmt w:val="decimal"/>
      <w:start w:val="7"/>
    </w:lvl>
  </w:abstractNum>
  <w:abstractNum w:abstractNumId="29">
    <w:nsid w:val="5C482A97"/>
    <w:multiLevelType w:val="hybridMultilevel"/>
    <w:lvl w:ilvl="0">
      <w:lvlJc w:val="left"/>
      <w:lvlText w:val="%1."/>
      <w:numFmt w:val="decimal"/>
      <w:start w:val="8"/>
    </w:lvl>
    <w:lvl w:ilvl="1">
      <w:lvlJc w:val="left"/>
      <w:lvlText w:val="(%2)"/>
      <w:numFmt w:val="lowerLetter"/>
      <w:start w:val="1"/>
    </w:lvl>
  </w:abstractNum>
  <w:abstractNum w:abstractNumId="30">
    <w:nsid w:val="2463B9EA"/>
    <w:multiLevelType w:val="hybridMultilevel"/>
    <w:lvl w:ilvl="0">
      <w:lvlJc w:val="left"/>
      <w:lvlText w:val="(%1)"/>
      <w:numFmt w:val="lowerLetter"/>
      <w:start w:val="2"/>
    </w:lvl>
  </w:abstractNum>
  <w:abstractNum w:abstractNumId="31">
    <w:nsid w:val="5E884ADC"/>
    <w:multiLevelType w:val="hybridMultilevel"/>
    <w:lvl w:ilvl="0">
      <w:lvlJc w:val="left"/>
      <w:lvlText w:val="%1"/>
      <w:numFmt w:val="lowerLetter"/>
      <w:start w:val="1"/>
    </w:lvl>
    <w:lvl w:ilvl="1">
      <w:lvlJc w:val="left"/>
      <w:lvlText w:val="(%2)"/>
      <w:numFmt w:val="lowerLetter"/>
      <w:start w:val="7"/>
    </w:lvl>
  </w:abstractNum>
  <w:abstractNum w:abstractNumId="32">
    <w:nsid w:val="51EAD36B"/>
    <w:multiLevelType w:val="hybridMultilevel"/>
    <w:lvl w:ilvl="0">
      <w:lvlJc w:val="left"/>
      <w:lvlText w:val="(%1)"/>
      <w:numFmt w:val="lowerLetter"/>
      <w:start w:val="22"/>
    </w:lvl>
    <w:lvl w:ilvl="1">
      <w:lvlJc w:val="left"/>
      <w:lvlText w:val="(%2)"/>
      <w:numFmt w:val="lowerLetter"/>
      <w:start w:val="8"/>
    </w:lvl>
  </w:abstractNum>
  <w:abstractNum w:abstractNumId="33">
    <w:nsid w:val="2D517796"/>
    <w:multiLevelType w:val="hybridMultilevel"/>
    <w:lvl w:ilvl="0">
      <w:lvlJc w:val="left"/>
      <w:lvlText w:val="%1"/>
      <w:numFmt w:val="decimal"/>
      <w:start w:val="1"/>
    </w:lvl>
    <w:lvl w:ilvl="1">
      <w:lvlJc w:val="left"/>
      <w:lvlText w:val="(%2)"/>
      <w:numFmt w:val="lowerLetter"/>
      <w:start w:val="12"/>
    </w:lvl>
  </w:abstractNum>
  <w:abstractNum w:abstractNumId="34">
    <w:nsid w:val="580BD78F"/>
    <w:multiLevelType w:val="hybridMultilevel"/>
    <w:lvl w:ilvl="0">
      <w:lvlJc w:val="left"/>
      <w:lvlText w:val="%1."/>
      <w:numFmt w:val="decimal"/>
      <w:start w:val="9"/>
    </w:lvl>
    <w:lvl w:ilvl="1">
      <w:lvlJc w:val="left"/>
      <w:lvlText w:val="%2"/>
      <w:numFmt w:val="lowerLetter"/>
      <w:start w:val="1"/>
    </w:lvl>
  </w:abstractNum>
  <w:abstractNum w:abstractNumId="35">
    <w:nsid w:val="153EA438"/>
    <w:multiLevelType w:val="hybridMultilevel"/>
    <w:lvl w:ilvl="0">
      <w:lvlJc w:val="left"/>
      <w:lvlText w:val="(%1)"/>
      <w:numFmt w:val="lowerLetter"/>
      <w:start w:val="2"/>
    </w:lvl>
  </w:abstractNum>
  <w:abstractNum w:abstractNumId="36">
    <w:nsid w:val="3855585C"/>
    <w:multiLevelType w:val="hybridMultilevel"/>
    <w:lvl w:ilvl="0">
      <w:lvlJc w:val="left"/>
      <w:lvlText w:val="(%1)"/>
      <w:numFmt w:val="lowerLetter"/>
      <w:start w:val="3"/>
    </w:lvl>
  </w:abstractNum>
  <w:abstractNum w:abstractNumId="37">
    <w:nsid w:val="70A64E2A"/>
    <w:multiLevelType w:val="hybridMultilevel"/>
    <w:lvl w:ilvl="0">
      <w:lvlJc w:val="left"/>
      <w:lvlText w:val="(%1)"/>
      <w:numFmt w:val="lowerLetter"/>
      <w:start w:val="5"/>
    </w:lvl>
  </w:abstractNum>
  <w:abstractNum w:abstractNumId="38">
    <w:nsid w:val="6A2342EC"/>
    <w:multiLevelType w:val="hybridMultilevel"/>
    <w:lvl w:ilvl="0">
      <w:lvlJc w:val="left"/>
      <w:lvlText w:val="%1."/>
      <w:numFmt w:val="decimal"/>
      <w:start w:val="10"/>
    </w:lvl>
  </w:abstractNum>
  <w:abstractNum w:abstractNumId="39">
    <w:nsid w:val="2A487CB0"/>
    <w:multiLevelType w:val="hybridMultilevel"/>
    <w:lvl w:ilvl="0">
      <w:lvlJc w:val="left"/>
      <w:lvlText w:val="(%1)"/>
      <w:numFmt w:val="lowerLetter"/>
      <w:start w:val="2"/>
    </w:lvl>
  </w:abstractNum>
  <w:abstractNum w:abstractNumId="40">
    <w:nsid w:val="1D4ED43B"/>
    <w:multiLevelType w:val="hybridMultilevel"/>
    <w:lvl w:ilvl="0">
      <w:lvlJc w:val="left"/>
      <w:lvlText w:val="%1."/>
      <w:numFmt w:val="decimal"/>
      <w:start w:val="11"/>
    </w:lvl>
  </w:abstractNum>
  <w:abstractNum w:abstractNumId="41">
    <w:nsid w:val="725A06FB"/>
    <w:multiLevelType w:val="hybridMultilevel"/>
    <w:lvl w:ilvl="0">
      <w:lvlJc w:val="left"/>
      <w:lvlText w:val="%1"/>
      <w:numFmt w:val="lowerRoman"/>
      <w:start w:val="1"/>
    </w:lvl>
    <w:lvl w:ilvl="1">
      <w:lvlJc w:val="left"/>
      <w:lvlText w:val="%2."/>
      <w:numFmt w:val="decimal"/>
      <w:start w:val="14"/>
    </w:lvl>
  </w:abstractNum>
  <w:abstractNum w:abstractNumId="42">
    <w:nsid w:val="2CD89A32"/>
    <w:multiLevelType w:val="hybridMultilevel"/>
    <w:lvl w:ilvl="0">
      <w:lvlJc w:val="left"/>
      <w:lvlText w:val="(%1)"/>
      <w:numFmt w:val="lowerRoman"/>
      <w:start w:val="2"/>
    </w:lvl>
    <w:lvl w:ilvl="1">
      <w:lvlJc w:val="left"/>
      <w:lvlText w:val="%2"/>
      <w:numFmt w:val="decimal"/>
      <w:start w:val="1"/>
    </w:lvl>
  </w:abstractNum>
  <w:abstractNum w:abstractNumId="43">
    <w:nsid w:val="57E4CCAF"/>
    <w:multiLevelType w:val="hybridMultilevel"/>
    <w:lvl w:ilvl="0">
      <w:lvlJc w:val="left"/>
      <w:lvlText w:val="%1."/>
      <w:numFmt w:val="decimal"/>
      <w:start w:val="17"/>
    </w:lvl>
  </w:abstractNum>
  <w:abstractNum w:abstractNumId="44">
    <w:nsid w:val="7A6D8D3C"/>
    <w:multiLevelType w:val="hybridMultilevel"/>
    <w:lvl w:ilvl="0">
      <w:lvlJc w:val="left"/>
      <w:lvlText w:val="(%1)"/>
      <w:numFmt w:val="lowerLetter"/>
      <w:start w:val="2"/>
    </w:lvl>
  </w:abstractNum>
  <w:abstractNum w:abstractNumId="45">
    <w:nsid w:val="4B588F54"/>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2019-12-09T00:10:41Z</dcterms:created>
  <dcterms:modified xsi:type="dcterms:W3CDTF">2019-12-09T00:10:41Z</dcterms:modified>
</cp:coreProperties>
</file>