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(Names of Filing Persons — Offerors)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Roy Papatheodorou</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Head of Legal, Ethics &amp; Business Integrity</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46, avenue de la Grande Armée, 75017</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Paris, France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Telephone: 011 + 33 1 53 77 40 00</w:t>
      </w:r>
    </w:p>
    <w:p>
      <w:pPr>
        <w:spacing w:after="0" w:line="2"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ind w:left="5384" w:hanging="438"/>
        <w:spacing w:after="0"/>
        <w:tabs>
          <w:tab w:leader="none" w:pos="53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310-8000</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any part of the fee is offset as provided by Rule 0-11(a)(2) and identify the filing with which the offsetting fee was previously</w:t>
      </w:r>
    </w:p>
    <w:p>
      <w:pPr>
        <w:spacing w:after="0" w:line="40" w:lineRule="exact"/>
        <w:rPr>
          <w:rFonts w:ascii="MS PGothic" w:cs="MS PGothic" w:eastAsia="MS PGothic" w:hAnsi="MS PGothic"/>
          <w:sz w:val="17"/>
          <w:szCs w:val="17"/>
          <w:color w:val="auto"/>
        </w:rPr>
      </w:pPr>
    </w:p>
    <w:p>
      <w:pPr>
        <w:ind w:left="424"/>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-300355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8" w:lineRule="exact"/>
        <w:rPr>
          <w:sz w:val="24"/>
          <w:szCs w:val="24"/>
          <w:color w:val="auto"/>
        </w:rPr>
      </w:pPr>
    </w:p>
    <w:p>
      <w:pPr>
        <w:ind w:left="984" w:right="460"/>
        <w:spacing w:after="0" w:line="358" w:lineRule="auto"/>
        <w:rPr>
          <w:sz w:val="20"/>
          <w:szCs w:val="20"/>
          <w:color w:val="auto"/>
        </w:rPr>
      </w:pPr>
      <w:r>
        <w:rPr>
          <w:rFonts w:ascii="Times New Roman" w:cs="Times New Roman" w:eastAsia="Times New Roman" w:hAnsi="Times New Roman"/>
          <w:sz w:val="18"/>
          <w:szCs w:val="18"/>
          <w:color w:val="auto"/>
        </w:rPr>
        <w:t>Amount Previously Paid: 1,465,193.42 Filing Party: Sanofi, Aventis Inc. and Rothko Merger Sub, Inc. Form or Registration No.: Schedule TO-T Date Filed: June 17, 2025 (File No. 005-88827)</w:t>
      </w:r>
    </w:p>
    <w:p>
      <w:pPr>
        <w:spacing w:after="0" w:line="395"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2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31" w:lineRule="exact"/>
        <w:rPr>
          <w:sz w:val="24"/>
          <w:szCs w:val="24"/>
          <w:color w:val="auto"/>
        </w:rPr>
      </w:pPr>
    </w:p>
    <w:p>
      <w:pPr>
        <w:ind w:left="1424" w:hanging="439"/>
        <w:spacing w:after="0"/>
        <w:tabs>
          <w:tab w:leader="none" w:pos="1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31" w:lineRule="exact"/>
        <w:rPr>
          <w:sz w:val="24"/>
          <w:szCs w:val="24"/>
          <w:color w:val="auto"/>
        </w:rPr>
      </w:pPr>
    </w:p>
    <w:p>
      <w:pPr>
        <w:ind w:left="1424" w:hanging="439"/>
        <w:spacing w:after="0"/>
        <w:tabs>
          <w:tab w:leader="none" w:pos="1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30" w:lineRule="exact"/>
        <w:rPr>
          <w:rFonts w:ascii="MS PGothic" w:cs="MS PGothic" w:eastAsia="MS PGothic" w:hAnsi="MS PGothic"/>
          <w:sz w:val="18"/>
          <w:szCs w:val="18"/>
          <w:color w:val="auto"/>
        </w:rPr>
      </w:pPr>
    </w:p>
    <w:p>
      <w:pPr>
        <w:ind w:left="1424" w:hanging="439"/>
        <w:spacing w:after="0"/>
        <w:tabs>
          <w:tab w:leader="none" w:pos="1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1424" w:hanging="439"/>
        <w:spacing w:after="0"/>
        <w:tabs>
          <w:tab w:leader="none" w:pos="1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84"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424" w:hanging="439"/>
        <w:spacing w:after="0"/>
        <w:tabs>
          <w:tab w:leader="none" w:pos="1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1424" w:hanging="439"/>
        <w:spacing w:after="0"/>
        <w:tabs>
          <w:tab w:leader="none" w:pos="1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04"/>
          </w:cols>
          <w:pgMar w:left="436" w:top="376" w:right="759" w:bottom="0" w:gutter="0" w:footer="0" w:header="0"/>
        </w:sectPr>
      </w:pPr>
    </w:p>
    <w:bookmarkStart w:id="1" w:name="page2"/>
    <w:bookmarkEnd w:id="1"/>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Tender Offer Statement on Schedule TO filed by (i)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Parent, and</w:t>
      </w:r>
    </w:p>
    <w:p>
      <w:pPr>
        <w:ind w:left="4" w:right="60" w:hanging="4"/>
        <w:spacing w:after="0" w:line="251" w:lineRule="auto"/>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Aventis Inc., a Pennsylvania corporation and wholly owned subsidiary of Parent and direct parent of Purchaser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on June 17, 2025 (together with any amendments or supplements thereto, including this Amendment,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relating to the offer by Purchaser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CVR Agreement (the CVR, together with the Cash Offer Price, or any other amount paid pursuant to the Offer to the extent permitted under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on the terms and subject to the conditions set forth in the Offer to Purchase, dated June 17, 2025 (together with any amendments or supplements thereto,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accompanying Letter of Transmittal, which are annexed to and filed with the Schedule TO as Exhibits (a)(1)(A) and (a)(1)(B), respectively.</w:t>
      </w:r>
    </w:p>
    <w:p>
      <w:pPr>
        <w:spacing w:after="0" w:line="19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All information set forth in the Offer to Purchase, including Schedule I thereto, is incorporated by reference herein in response to Items 1 through 9 and Item 11 of this Schedule TO and is supplemented by the information specifically provided in this Amendment, except as otherwise set forth below. This Amendment should be read together with the Schedule TO. Capitalized terms used and not otherwise defined in this Amendment have the meanings given to such terms in the Offer to Purchase.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p>
    <w:p>
      <w:pPr>
        <w:spacing w:after="0" w:line="121"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67" w:lineRule="exact"/>
        <w:rPr>
          <w:sz w:val="20"/>
          <w:szCs w:val="20"/>
          <w:color w:val="auto"/>
        </w:rPr>
      </w:pPr>
    </w:p>
    <w:p>
      <w:pPr>
        <w:ind w:left="964" w:right="20" w:hanging="532"/>
        <w:spacing w:after="0" w:line="25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expired at 5:00 P.M., Eastern Time, on July 17, 2025 (such date and time, the “Expiration Time”), and the Offer was not extended. Purchaser was advised by the Depositary that, as of the Expiration Time, a total of 45,991,262 Shares had been validly tendered into and not validly withdrawn pursuant to the Offer, which together with the Shares owned by Parent and its wholly owned subsidiaries (including Purchaser), represent approximately 70.9% of the aggregate number of Shares then outstanding. Accordingly, the number of Shares validly tendered and not validly withdrawn pursuant to the Offer satisfied the Minimum Tender Condition.</w:t>
      </w:r>
    </w:p>
    <w:p>
      <w:pPr>
        <w:spacing w:after="0" w:line="79" w:lineRule="exact"/>
        <w:rPr>
          <w:rFonts w:ascii="Times New Roman" w:cs="Times New Roman" w:eastAsia="Times New Roman" w:hAnsi="Times New Roman"/>
          <w:sz w:val="18"/>
          <w:szCs w:val="18"/>
          <w:color w:val="auto"/>
        </w:rPr>
      </w:pPr>
    </w:p>
    <w:p>
      <w:pPr>
        <w:ind w:left="984"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irrevocably accepted for payment, and has stated it will promptly pay for, all Shares validly tendered and not validly withdrawn pursuant to the Offer.</w:t>
      </w:r>
    </w:p>
    <w:p>
      <w:pPr>
        <w:sectPr>
          <w:pgSz w:w="11900" w:h="16838" w:orient="portrait"/>
          <w:cols w:equalWidth="0" w:num="1">
            <w:col w:w="10964"/>
          </w:cols>
          <w:pgMar w:left="436" w:top="270" w:right="49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of its acceptance of the Shares tendered pursuant to the Offer and in accordance with Section 251(h) of the DGCL, Purchaser owns a number of Shares that, together with the Shares owned by Parent and its wholly owned subsidiaries, is greater than the percentage of Shares that would be required to adopt the Merger Agreement by a vote of the stockholders of the Company. Pursuant to Section 251(h) of the DGCL, subject to the satisfaction of the remaining conditions set forth in the Merger Agreement, Parent, Aventis and Purchaser intend to complete the acquisition of the Company through the Merger, as promptly as practicable and without a meeting of stockholders of the Company. At the Effective Time and as a result of the Merger, each Share issued and outstanding immediately prior to the Effective Time will be converted into the right to receive the Offer Consideration, without interest and subject to any withholding of taxes required by applicable legal requirements, other than Shares (i) held in the treasury of the Company or owned by the Company or any direct or indirect wholly owned subsidiary of the Company, by Parent or any direct or indirect wholly owned subsidiary of Parent (other than Purchaser), or by stockholders of the Company who have properly exercised and perfected their statutory rights of appraisal under Delaware law, or (ii) irrevocably accepted by Purchaser for purchase in the Offer.</w:t>
      </w:r>
    </w:p>
    <w:p>
      <w:pPr>
        <w:spacing w:after="0" w:line="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Following the Merger, the Shares will no longer be listed on the NASDAQ Global Select Market and will be deregistered under the Exchange Act.</w:t>
      </w:r>
    </w:p>
    <w:p>
      <w:pPr>
        <w:sectPr>
          <w:pgSz w:w="11900" w:h="16838" w:orient="portrait"/>
          <w:cols w:equalWidth="0" w:num="1">
            <w:col w:w="9980"/>
          </w:cols>
          <w:pgMar w:left="1420" w:top="270" w:right="49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17, 2025</w:t>
      </w:r>
    </w:p>
    <w:p>
      <w:pPr>
        <w:spacing w:after="0" w:line="24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J.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J. Tolpa</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Roy Papatheodorou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Roy Papatheodorou</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7"/>
          <w:szCs w:val="17"/>
          <w:color w:val="auto"/>
        </w:rPr>
        <w:t>Title:</w:t>
        <w:tab/>
        <w:t>Executive Vice President, General Counsel</w:t>
      </w:r>
    </w:p>
    <w:p>
      <w:pPr>
        <w:spacing w:after="0" w:line="21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Jamie Haney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Jamie Haney</w:t>
      </w:r>
    </w:p>
    <w:p>
      <w:pPr>
        <w:spacing w:after="0" w:line="27"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General Counsel, Secretary</w:t>
      </w:r>
    </w:p>
    <w:sectPr>
      <w:pgSz w:w="11900" w:h="16838" w:orient="portrait"/>
      <w:cols w:equalWidth="0" w:num="1">
        <w:col w:w="10640"/>
      </w:cols>
      <w:pgMar w:left="440" w:top="26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decimal"/>
      <w:start w:val="212"/>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2025-07-18T05:08:51Z</dcterms:created>
  <dcterms:modified xsi:type="dcterms:W3CDTF">2025-07-18T05:08:51Z</dcterms:modified>
</cp:coreProperties>
</file>