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66351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35115"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60325</wp:posOffset>
            </wp:positionV>
            <wp:extent cx="6635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82550</wp:posOffset>
            </wp:positionV>
            <wp:extent cx="1663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104140</wp:posOffset>
            </wp:positionV>
            <wp:extent cx="1663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3" w:lineRule="exact"/>
        <w:rPr>
          <w:sz w:val="24"/>
          <w:szCs w:val="24"/>
          <w:color w:val="auto"/>
        </w:rPr>
      </w:pPr>
    </w:p>
    <w:p>
      <w:pPr>
        <w:ind w:left="1300" w:hanging="648"/>
        <w:spacing w:after="0"/>
        <w:tabs>
          <w:tab w:leader="none" w:pos="1300" w:val="left"/>
        </w:tabs>
        <w:numPr>
          <w:ilvl w:val="0"/>
          <w:numId w:val="1"/>
        </w:numPr>
        <w:rPr>
          <w:rFonts w:ascii="MS PGothic" w:cs="MS PGothic" w:eastAsia="MS PGothic" w:hAnsi="MS PGothic"/>
          <w:sz w:val="32"/>
          <w:szCs w:val="32"/>
          <w:color w:val="auto"/>
          <w:vertAlign w:val="superscript"/>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2020</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0" w:lineRule="exact"/>
        <w:rPr>
          <w:sz w:val="24"/>
          <w:szCs w:val="24"/>
          <w:color w:val="auto"/>
        </w:rPr>
      </w:pPr>
    </w:p>
    <w:p>
      <w:pPr>
        <w:ind w:left="1300" w:hanging="648"/>
        <w:spacing w:after="0"/>
        <w:tabs>
          <w:tab w:leader="none" w:pos="1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69" w:lineRule="exact"/>
        <w:rPr>
          <w:sz w:val="24"/>
          <w:szCs w:val="24"/>
          <w:color w:val="auto"/>
        </w:rPr>
      </w:pPr>
    </w:p>
    <w:p>
      <w:pPr>
        <w:ind w:left="3180"/>
        <w:spacing w:after="0"/>
        <w:tabs>
          <w:tab w:leader="none" w:pos="598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5"/>
          <w:szCs w:val="15"/>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3271520</wp:posOffset>
            </wp:positionH>
            <wp:positionV relativeFrom="paragraph">
              <wp:posOffset>-4445</wp:posOffset>
            </wp:positionV>
            <wp:extent cx="1160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99060</wp:posOffset>
            </wp:positionV>
            <wp:extent cx="16630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25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8"/>
          <w:szCs w:val="28"/>
          <w:b w:val="1"/>
          <w:bCs w:val="1"/>
          <w:color w:val="auto"/>
        </w:rPr>
        <w:t>BLUEPRINT MEDICINES CORPORATION</w:t>
      </w:r>
    </w:p>
    <w:p>
      <w:pPr>
        <w:spacing w:after="0" w:line="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113030</wp:posOffset>
            </wp:positionV>
            <wp:extent cx="16630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065" cy="17145"/>
                    </a:xfrm>
                    <a:prstGeom prst="rect">
                      <a:avLst/>
                    </a:prstGeom>
                    <a:noFill/>
                  </pic:spPr>
                </pic:pic>
              </a:graphicData>
            </a:graphic>
          </wp:anchor>
        </w:drawing>
      </w:r>
    </w:p>
    <w:p>
      <w:pPr>
        <w:spacing w:after="0" w:line="304" w:lineRule="exact"/>
        <w:rPr>
          <w:sz w:val="24"/>
          <w:szCs w:val="24"/>
          <w:color w:val="auto"/>
        </w:rPr>
      </w:pPr>
    </w:p>
    <w:tbl>
      <w:tblPr>
        <w:tblLayout w:type="fixed"/>
        <w:tblInd w:w="1380" w:type="dxa"/>
        <w:tblCellMar>
          <w:top w:w="0" w:type="dxa"/>
          <w:left w:w="0" w:type="dxa"/>
          <w:bottom w:w="0" w:type="dxa"/>
          <w:right w:w="0" w:type="dxa"/>
        </w:tblCellMar>
      </w:tblPr>
      <w:tr>
        <w:trPr>
          <w:trHeight w:val="189"/>
        </w:trPr>
        <w:tc>
          <w:tcPr>
            <w:tcW w:w="424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8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26-3632015</w:t>
            </w:r>
          </w:p>
        </w:tc>
      </w:tr>
      <w:tr>
        <w:trPr>
          <w:trHeight w:val="189"/>
        </w:trPr>
        <w:tc>
          <w:tcPr>
            <w:tcW w:w="4240" w:type="dxa"/>
            <w:vAlign w:val="bottom"/>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tc>
        <w:tc>
          <w:tcPr>
            <w:tcW w:w="2880" w:type="dxa"/>
            <w:vAlign w:val="bottom"/>
          </w:tcPr>
          <w:p>
            <w:pPr>
              <w:jc w:val="center"/>
              <w:ind w:left="1619"/>
              <w:spacing w:after="0"/>
              <w:rPr>
                <w:sz w:val="20"/>
                <w:szCs w:val="20"/>
                <w:color w:val="auto"/>
              </w:rPr>
            </w:pPr>
            <w:r>
              <w:rPr>
                <w:rFonts w:ascii="Times New Roman" w:cs="Times New Roman" w:eastAsia="Times New Roman" w:hAnsi="Times New Roman"/>
                <w:sz w:val="16"/>
                <w:szCs w:val="16"/>
                <w:i w:val="1"/>
                <w:iCs w:val="1"/>
                <w:color w:val="auto"/>
                <w:w w:val="99"/>
              </w:rPr>
              <w:t>(IRS Employer</w:t>
            </w:r>
          </w:p>
        </w:tc>
      </w:tr>
      <w:tr>
        <w:trPr>
          <w:trHeight w:val="212"/>
        </w:trPr>
        <w:tc>
          <w:tcPr>
            <w:tcW w:w="4240" w:type="dxa"/>
            <w:vAlign w:val="bottom"/>
          </w:tcPr>
          <w:p>
            <w:pPr>
              <w:ind w:left="38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tc>
        <w:tc>
          <w:tcPr>
            <w:tcW w:w="2880" w:type="dxa"/>
            <w:vAlign w:val="bottom"/>
          </w:tcPr>
          <w:p>
            <w:pPr>
              <w:jc w:val="center"/>
              <w:ind w:left="1619"/>
              <w:spacing w:after="0"/>
              <w:rPr>
                <w:sz w:val="20"/>
                <w:szCs w:val="20"/>
                <w:color w:val="auto"/>
              </w:rPr>
            </w:pPr>
            <w:r>
              <w:rPr>
                <w:rFonts w:ascii="Times New Roman" w:cs="Times New Roman" w:eastAsia="Times New Roman" w:hAnsi="Times New Roman"/>
                <w:sz w:val="16"/>
                <w:szCs w:val="16"/>
                <w:i w:val="1"/>
                <w:iCs w:val="1"/>
                <w:color w:val="auto"/>
                <w:w w:val="99"/>
              </w:rPr>
              <w:t>Identification No.)</w:t>
            </w:r>
          </w:p>
        </w:tc>
      </w:tr>
      <w:tr>
        <w:trPr>
          <w:trHeight w:val="206"/>
        </w:trPr>
        <w:tc>
          <w:tcPr>
            <w:tcW w:w="4240" w:type="dxa"/>
            <w:vAlign w:val="bottom"/>
          </w:tcPr>
          <w:p>
            <w:pPr>
              <w:jc w:val="center"/>
              <w:ind w:right="1639"/>
              <w:spacing w:after="0"/>
              <w:rPr>
                <w:sz w:val="20"/>
                <w:szCs w:val="20"/>
                <w:color w:val="auto"/>
              </w:rPr>
            </w:pPr>
            <w:r>
              <w:rPr>
                <w:rFonts w:ascii="Times New Roman" w:cs="Times New Roman" w:eastAsia="Times New Roman" w:hAnsi="Times New Roman"/>
                <w:sz w:val="16"/>
                <w:szCs w:val="16"/>
                <w:b w:val="1"/>
                <w:bCs w:val="1"/>
                <w:color w:val="auto"/>
              </w:rPr>
              <w:t>45 Sidney Street</w:t>
            </w:r>
          </w:p>
        </w:tc>
        <w:tc>
          <w:tcPr>
            <w:tcW w:w="2880" w:type="dxa"/>
            <w:vAlign w:val="bottom"/>
          </w:tcPr>
          <w:p>
            <w:pPr>
              <w:spacing w:after="0"/>
              <w:rPr>
                <w:sz w:val="17"/>
                <w:szCs w:val="17"/>
                <w:color w:val="auto"/>
              </w:rPr>
            </w:pPr>
          </w:p>
        </w:tc>
      </w:tr>
      <w:tr>
        <w:trPr>
          <w:trHeight w:val="189"/>
        </w:trPr>
        <w:tc>
          <w:tcPr>
            <w:tcW w:w="4240" w:type="dxa"/>
            <w:vAlign w:val="bottom"/>
          </w:tcPr>
          <w:p>
            <w:pPr>
              <w:jc w:val="center"/>
              <w:ind w:right="1619"/>
              <w:spacing w:after="0"/>
              <w:rPr>
                <w:sz w:val="20"/>
                <w:szCs w:val="20"/>
                <w:color w:val="auto"/>
              </w:rPr>
            </w:pPr>
            <w:r>
              <w:rPr>
                <w:rFonts w:ascii="Times New Roman" w:cs="Times New Roman" w:eastAsia="Times New Roman" w:hAnsi="Times New Roman"/>
                <w:sz w:val="16"/>
                <w:szCs w:val="16"/>
                <w:b w:val="1"/>
                <w:bCs w:val="1"/>
                <w:color w:val="auto"/>
              </w:rPr>
              <w:t>Cambridge, MA</w:t>
            </w:r>
          </w:p>
        </w:tc>
        <w:tc>
          <w:tcPr>
            <w:tcW w:w="28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02139</w:t>
            </w:r>
          </w:p>
        </w:tc>
      </w:tr>
      <w:tr>
        <w:trPr>
          <w:trHeight w:val="212"/>
        </w:trPr>
        <w:tc>
          <w:tcPr>
            <w:tcW w:w="4240" w:type="dxa"/>
            <w:vAlign w:val="bottom"/>
          </w:tcPr>
          <w:p>
            <w:pPr>
              <w:jc w:val="center"/>
              <w:ind w:right="16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w:t>
            </w:r>
          </w:p>
        </w:tc>
        <w:tc>
          <w:tcPr>
            <w:tcW w:w="2880" w:type="dxa"/>
            <w:vAlign w:val="bottom"/>
          </w:tcPr>
          <w:p>
            <w:pPr>
              <w:jc w:val="center"/>
              <w:ind w:left="1619"/>
              <w:spacing w:after="0"/>
              <w:rPr>
                <w:sz w:val="20"/>
                <w:szCs w:val="20"/>
                <w:color w:val="auto"/>
              </w:rPr>
            </w:pPr>
            <w:r>
              <w:rPr>
                <w:rFonts w:ascii="Times New Roman" w:cs="Times New Roman" w:eastAsia="Times New Roman" w:hAnsi="Times New Roman"/>
                <w:sz w:val="16"/>
                <w:szCs w:val="16"/>
                <w:i w:val="1"/>
                <w:iCs w:val="1"/>
                <w:color w:val="auto"/>
              </w:rPr>
              <w:t>(Zip Code)</w:t>
            </w:r>
          </w:p>
        </w:tc>
      </w:tr>
    </w:tbl>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 xml:space="preserve">Registrant’s telephone number, including area code: </w:t>
      </w:r>
      <w:r>
        <w:rPr>
          <w:rFonts w:ascii="Times New Roman" w:cs="Times New Roman" w:eastAsia="Times New Roman" w:hAnsi="Times New Roman"/>
          <w:sz w:val="16"/>
          <w:szCs w:val="16"/>
          <w:b w:val="1"/>
          <w:bCs w:val="1"/>
          <w:color w:val="auto"/>
        </w:rPr>
        <w:t>(617) 374-7580</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Securities registered pursuant to Section 12(b) of the Act:</w:t>
      </w:r>
    </w:p>
    <w:p>
      <w:pPr>
        <w:spacing w:after="0" w:line="68" w:lineRule="exact"/>
        <w:rPr>
          <w:sz w:val="24"/>
          <w:szCs w:val="24"/>
          <w:color w:val="auto"/>
        </w:rPr>
      </w:pPr>
    </w:p>
    <w:tbl>
      <w:tblPr>
        <w:tblLayout w:type="fixed"/>
        <w:tblInd w:w="1150" w:type="dxa"/>
        <w:tblCellMar>
          <w:top w:w="0" w:type="dxa"/>
          <w:left w:w="0" w:type="dxa"/>
          <w:bottom w:w="0" w:type="dxa"/>
          <w:right w:w="0" w:type="dxa"/>
        </w:tblCellMar>
      </w:tblPr>
      <w:tr>
        <w:trPr>
          <w:trHeight w:val="203"/>
        </w:trPr>
        <w:tc>
          <w:tcPr>
            <w:tcW w:w="3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Title of Class</w:t>
            </w:r>
          </w:p>
        </w:tc>
        <w:tc>
          <w:tcPr>
            <w:tcW w:w="1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Trading Symbols</w:t>
            </w:r>
          </w:p>
        </w:tc>
        <w:tc>
          <w:tcPr>
            <w:tcW w:w="3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rPr>
              <w:t>Name of Exchange on Which Registered</w:t>
            </w:r>
          </w:p>
        </w:tc>
      </w:tr>
      <w:tr>
        <w:trPr>
          <w:trHeight w:val="183"/>
        </w:trPr>
        <w:tc>
          <w:tcPr>
            <w:tcW w:w="350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142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BPMC</w:t>
            </w:r>
          </w:p>
        </w:tc>
        <w:tc>
          <w:tcPr>
            <w:tcW w:w="3260" w:type="dxa"/>
            <w:vAlign w:val="bottom"/>
            <w:tcBorders>
              <w:bottom w:val="single" w:sz="8" w:color="auto"/>
              <w:right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5"/>
          <w:szCs w:val="15"/>
          <w:i w:val="1"/>
          <w:iCs w:val="1"/>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2485390</wp:posOffset>
            </wp:positionH>
            <wp:positionV relativeFrom="paragraph">
              <wp:posOffset>83820</wp:posOffset>
            </wp:positionV>
            <wp:extent cx="166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94" w:lineRule="exact"/>
        <w:rPr>
          <w:sz w:val="24"/>
          <w:szCs w:val="24"/>
          <w:color w:val="auto"/>
        </w:rPr>
      </w:pPr>
    </w:p>
    <w:p>
      <w:pPr>
        <w:ind w:left="320" w:right="1240"/>
        <w:spacing w:after="0" w:line="23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240" w:firstLine="324"/>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ind w:right="60" w:firstLine="324"/>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ind w:left="280" w:hanging="276"/>
        <w:spacing w:after="0" w:line="184" w:lineRule="exact"/>
        <w:tabs>
          <w:tab w:leader="none" w:pos="2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2" w:lineRule="exact"/>
        <w:rPr>
          <w:sz w:val="24"/>
          <w:szCs w:val="24"/>
          <w:color w:val="auto"/>
        </w:rPr>
      </w:pPr>
    </w:p>
    <w:p>
      <w:pPr>
        <w:jc w:val="both"/>
        <w:ind w:right="260" w:firstLine="324"/>
        <w:spacing w:after="0" w:line="25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1800"/>
        <w:spacing w:after="0" w:line="184" w:lineRule="exact"/>
        <w:tabs>
          <w:tab w:leader="none" w:pos="712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3" w:lineRule="exact"/>
        <w:rPr>
          <w:sz w:val="24"/>
          <w:szCs w:val="24"/>
          <w:color w:val="auto"/>
        </w:rPr>
      </w:pPr>
    </w:p>
    <w:p>
      <w:pPr>
        <w:ind w:left="1840"/>
        <w:spacing w:after="0" w:line="184" w:lineRule="exact"/>
        <w:tabs>
          <w:tab w:leader="none" w:pos="6780" w:val="left"/>
        </w:tabs>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ind w:left="68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2" w:lineRule="exact"/>
        <w:rPr>
          <w:sz w:val="24"/>
          <w:szCs w:val="24"/>
          <w:color w:val="auto"/>
        </w:rPr>
      </w:pPr>
    </w:p>
    <w:p>
      <w:pPr>
        <w:ind w:right="12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jc w:val="both"/>
        <w:ind w:firstLine="324"/>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360" w:firstLine="324"/>
        <w:spacing w:after="0" w:line="252" w:lineRule="auto"/>
        <w:rPr>
          <w:sz w:val="20"/>
          <w:szCs w:val="20"/>
          <w:color w:val="auto"/>
        </w:rPr>
      </w:pPr>
      <w:r>
        <w:rPr>
          <w:rFonts w:ascii="Times New Roman" w:cs="Times New Roman" w:eastAsia="Times New Roman" w:hAnsi="Times New Roman"/>
          <w:sz w:val="16"/>
          <w:szCs w:val="16"/>
          <w:color w:val="auto"/>
        </w:rPr>
        <w:t>As of June 30, 2020, the aggregate market value of the voting and non-voting common equity held by non-affiliates of the registrant, based on the last reported sales price for the registrant’s common stock, par value $0.001 per share, on the Nasdaq Global Select Market on such date, was approximately $4,234,191,078.</w:t>
      </w:r>
    </w:p>
    <w:p>
      <w:pPr>
        <w:spacing w:after="0" w:line="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Number of shares of the registrant’s common stock, par value $0.001 per share, outstanding on February 15, 2021: 57,957,641</w:t>
      </w:r>
    </w:p>
    <w:p>
      <w:pPr>
        <w:spacing w:after="0" w:line="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ectPr>
          <w:pgSz w:w="11900" w:h="16838" w:orient="portrait"/>
          <w:cols w:equalWidth="0" w:num="1">
            <w:col w:w="10420"/>
          </w:cols>
          <w:pgMar w:left="720" w:top="661" w:right="759" w:bottom="1440" w:gutter="0" w:footer="0" w:header="0"/>
        </w:sectPr>
      </w:pPr>
    </w:p>
    <w:p>
      <w:pPr>
        <w:spacing w:after="0" w:line="52" w:lineRule="exact"/>
        <w:rPr>
          <w:sz w:val="24"/>
          <w:szCs w:val="24"/>
          <w:color w:val="auto"/>
        </w:rPr>
      </w:pPr>
    </w:p>
    <w:p>
      <w:pPr>
        <w:jc w:val="both"/>
        <w:ind w:right="120" w:firstLine="324"/>
        <w:spacing w:after="0" w:line="263"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2021 Annual Meeting of Stockholders, which the registrant intends to file with the Securities and Exchange Commission pursuant to Regulation 14A within 120 days after the end of the registrant’s fiscal year ended December 31, 2020,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66351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511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19050</wp:posOffset>
            </wp:positionV>
            <wp:extent cx="663511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5115"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wp:posOffset>
            </wp:positionV>
            <wp:extent cx="6635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ectPr>
          <w:pgSz w:w="11900" w:h="16838" w:orient="portrait"/>
          <w:cols w:equalWidth="0" w:num="1">
            <w:col w:w="10420"/>
          </w:cols>
          <w:pgMar w:left="720" w:top="661" w:right="75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300" w:type="dxa"/>
            <w:vAlign w:val="bottom"/>
          </w:tcPr>
          <w:p>
            <w:pPr>
              <w:ind w:left="20"/>
              <w:spacing w:after="0"/>
              <w:rPr>
                <w:rFonts w:ascii="Times New Roman" w:cs="Times New Roman" w:eastAsia="Times New Roman" w:hAnsi="Times New Roman"/>
                <w:sz w:val="18"/>
                <w:szCs w:val="18"/>
                <w:u w:val="single" w:color="auto"/>
                <w:color w:val="0000EE"/>
                <w:w w:val="97"/>
              </w:rPr>
            </w:pPr>
            <w:hyperlink w:anchor="page2">
              <w:r>
                <w:rPr>
                  <w:rFonts w:ascii="Times New Roman" w:cs="Times New Roman" w:eastAsia="Times New Roman" w:hAnsi="Times New Roman"/>
                  <w:sz w:val="18"/>
                  <w:szCs w:val="18"/>
                  <w:u w:val="single" w:color="auto"/>
                  <w:color w:val="0000EE"/>
                  <w:w w:val="97"/>
                </w:rPr>
                <w:t>Table of Contents</w:t>
              </w:r>
            </w:hyperlink>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8"/>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3"/>
          </w:tcPr>
          <w:p>
            <w:pPr>
              <w:jc w:val="center"/>
              <w:ind w:right="2760"/>
              <w:spacing w:after="0"/>
              <w:rPr>
                <w:rFonts w:ascii="Times New Roman" w:cs="Times New Roman" w:eastAsia="Times New Roman" w:hAnsi="Times New Roman"/>
                <w:sz w:val="18"/>
                <w:szCs w:val="18"/>
                <w:b w:val="1"/>
                <w:bCs w:val="1"/>
                <w:u w:val="single" w:color="auto"/>
                <w:color w:val="0000EE"/>
                <w:w w:val="95"/>
              </w:rPr>
            </w:pPr>
            <w:hyperlink w:anchor="page7">
              <w:r>
                <w:rPr>
                  <w:rFonts w:ascii="Times New Roman" w:cs="Times New Roman" w:eastAsia="Times New Roman" w:hAnsi="Times New Roman"/>
                  <w:sz w:val="18"/>
                  <w:szCs w:val="18"/>
                  <w:b w:val="1"/>
                  <w:bCs w:val="1"/>
                  <w:u w:val="single" w:color="auto"/>
                  <w:color w:val="0000EE"/>
                  <w:w w:val="95"/>
                </w:rPr>
                <w:t>PART I</w:t>
              </w:r>
            </w:hyperlink>
          </w:p>
        </w:tc>
        <w:tc>
          <w:tcPr>
            <w:tcW w:w="8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0"/>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20" w:type="dxa"/>
            <w:vAlign w:val="bottom"/>
          </w:tcPr>
          <w:p>
            <w:pPr>
              <w:spacing w:after="0"/>
              <w:rPr>
                <w:sz w:val="24"/>
                <w:szCs w:val="24"/>
                <w:color w:val="auto"/>
              </w:rPr>
            </w:pPr>
          </w:p>
        </w:tc>
        <w:tc>
          <w:tcPr>
            <w:tcW w:w="6780" w:type="dxa"/>
            <w:vAlign w:val="bottom"/>
            <w:gridSpan w:val="5"/>
          </w:tcPr>
          <w:p>
            <w:pPr>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Business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2"/>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Item1A.</w:t>
            </w:r>
          </w:p>
        </w:tc>
        <w:tc>
          <w:tcPr>
            <w:tcW w:w="20" w:type="dxa"/>
            <w:vAlign w:val="bottom"/>
          </w:tcPr>
          <w:p>
            <w:pPr>
              <w:spacing w:after="0"/>
              <w:rPr>
                <w:sz w:val="17"/>
                <w:szCs w:val="17"/>
                <w:color w:val="auto"/>
              </w:rPr>
            </w:pPr>
          </w:p>
        </w:tc>
        <w:tc>
          <w:tcPr>
            <w:tcW w:w="6780" w:type="dxa"/>
            <w:vAlign w:val="bottom"/>
            <w:gridSpan w:val="5"/>
          </w:tcPr>
          <w:p>
            <w:pPr>
              <w:spacing w:after="0" w:line="202" w:lineRule="exact"/>
              <w:rPr>
                <w:rFonts w:ascii="Times New Roman" w:cs="Times New Roman" w:eastAsia="Times New Roman" w:hAnsi="Times New Roman"/>
                <w:sz w:val="18"/>
                <w:szCs w:val="18"/>
                <w:u w:val="single" w:color="auto"/>
                <w:color w:val="0000EE"/>
              </w:rPr>
            </w:pPr>
            <w:hyperlink w:anchor="page45">
              <w:r>
                <w:rPr>
                  <w:rFonts w:ascii="Times New Roman" w:cs="Times New Roman" w:eastAsia="Times New Roman" w:hAnsi="Times New Roman"/>
                  <w:sz w:val="18"/>
                  <w:szCs w:val="18"/>
                  <w:u w:val="single" w:color="auto"/>
                  <w:color w:val="0000EE"/>
                </w:rPr>
                <w:t>Risk Factors</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1B.</w:t>
            </w:r>
          </w:p>
        </w:tc>
        <w:tc>
          <w:tcPr>
            <w:tcW w:w="20" w:type="dxa"/>
            <w:vAlign w:val="bottom"/>
          </w:tcPr>
          <w:p>
            <w:pPr>
              <w:spacing w:after="0"/>
              <w:rPr>
                <w:sz w:val="17"/>
                <w:szCs w:val="17"/>
                <w:color w:val="auto"/>
              </w:rPr>
            </w:pPr>
          </w:p>
        </w:tc>
        <w:tc>
          <w:tcPr>
            <w:tcW w:w="6780" w:type="dxa"/>
            <w:vAlign w:val="bottom"/>
            <w:gridSpan w:val="5"/>
          </w:tcPr>
          <w:p>
            <w:pPr>
              <w:spacing w:after="0" w:line="202" w:lineRule="exact"/>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Unresolved Staff Comments</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20" w:type="dxa"/>
            <w:vAlign w:val="bottom"/>
          </w:tcPr>
          <w:p>
            <w:pPr>
              <w:spacing w:after="0"/>
              <w:rPr>
                <w:sz w:val="17"/>
                <w:szCs w:val="17"/>
                <w:color w:val="auto"/>
              </w:rPr>
            </w:pPr>
          </w:p>
        </w:tc>
        <w:tc>
          <w:tcPr>
            <w:tcW w:w="6780" w:type="dxa"/>
            <w:vAlign w:val="bottom"/>
            <w:gridSpan w:val="5"/>
          </w:tcPr>
          <w:p>
            <w:pPr>
              <w:spacing w:after="0" w:line="202" w:lineRule="exact"/>
              <w:rPr>
                <w:rFonts w:ascii="Times New Roman" w:cs="Times New Roman" w:eastAsia="Times New Roman" w:hAnsi="Times New Roman"/>
                <w:sz w:val="18"/>
                <w:szCs w:val="18"/>
                <w:u w:val="single" w:color="auto"/>
                <w:color w:val="0000EE"/>
              </w:rPr>
            </w:pPr>
            <w:hyperlink w:anchor="page85">
              <w:r>
                <w:rPr>
                  <w:rFonts w:ascii="Times New Roman" w:cs="Times New Roman" w:eastAsia="Times New Roman" w:hAnsi="Times New Roman"/>
                  <w:sz w:val="18"/>
                  <w:szCs w:val="18"/>
                  <w:u w:val="single" w:color="auto"/>
                  <w:color w:val="0000EE"/>
                </w:rPr>
                <w:t>Properties</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3.</w:t>
            </w:r>
          </w:p>
        </w:tc>
        <w:tc>
          <w:tcPr>
            <w:tcW w:w="20" w:type="dxa"/>
            <w:vAlign w:val="bottom"/>
          </w:tcPr>
          <w:p>
            <w:pPr>
              <w:spacing w:after="0"/>
              <w:rPr>
                <w:sz w:val="17"/>
                <w:szCs w:val="17"/>
                <w:color w:val="auto"/>
              </w:rPr>
            </w:pPr>
          </w:p>
        </w:tc>
        <w:tc>
          <w:tcPr>
            <w:tcW w:w="6780" w:type="dxa"/>
            <w:vAlign w:val="bottom"/>
            <w:gridSpan w:val="5"/>
          </w:tcPr>
          <w:p>
            <w:pPr>
              <w:spacing w:after="0" w:line="202" w:lineRule="exact"/>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Legal Proceedings</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0" w:type="dxa"/>
            <w:vAlign w:val="bottom"/>
          </w:tcPr>
          <w:p>
            <w:pPr>
              <w:spacing w:after="0"/>
              <w:rPr>
                <w:sz w:val="20"/>
                <w:szCs w:val="20"/>
                <w:color w:val="auto"/>
              </w:rPr>
            </w:pPr>
          </w:p>
        </w:tc>
        <w:tc>
          <w:tcPr>
            <w:tcW w:w="6780" w:type="dxa"/>
            <w:vAlign w:val="bottom"/>
            <w:gridSpan w:val="5"/>
          </w:tcPr>
          <w:p>
            <w:pPr>
              <w:spacing w:after="0"/>
              <w:rPr>
                <w:rFonts w:ascii="Times New Roman" w:cs="Times New Roman" w:eastAsia="Times New Roman" w:hAnsi="Times New Roman"/>
                <w:sz w:val="18"/>
                <w:szCs w:val="18"/>
                <w:u w:val="single" w:color="auto"/>
                <w:color w:val="0000EE"/>
              </w:rPr>
            </w:pPr>
            <w:hyperlink w:anchor="page86">
              <w:r>
                <w:rPr>
                  <w:rFonts w:ascii="Times New Roman" w:cs="Times New Roman" w:eastAsia="Times New Roman" w:hAnsi="Times New Roman"/>
                  <w:sz w:val="18"/>
                  <w:szCs w:val="18"/>
                  <w:u w:val="single" w:color="auto"/>
                  <w:color w:val="0000EE"/>
                </w:rPr>
                <w:t>Mine Safety Disclosures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3"/>
          </w:tcPr>
          <w:p>
            <w:pPr>
              <w:jc w:val="center"/>
              <w:ind w:right="2760"/>
              <w:spacing w:after="0"/>
              <w:rPr>
                <w:rFonts w:ascii="Times New Roman" w:cs="Times New Roman" w:eastAsia="Times New Roman" w:hAnsi="Times New Roman"/>
                <w:sz w:val="18"/>
                <w:szCs w:val="18"/>
                <w:b w:val="1"/>
                <w:bCs w:val="1"/>
                <w:u w:val="single" w:color="auto"/>
                <w:color w:val="0000EE"/>
                <w:w w:val="97"/>
              </w:rPr>
            </w:pPr>
            <w:hyperlink w:anchor="page87">
              <w:r>
                <w:rPr>
                  <w:rFonts w:ascii="Times New Roman" w:cs="Times New Roman" w:eastAsia="Times New Roman" w:hAnsi="Times New Roman"/>
                  <w:sz w:val="18"/>
                  <w:szCs w:val="18"/>
                  <w:b w:val="1"/>
                  <w:bCs w:val="1"/>
                  <w:u w:val="single" w:color="auto"/>
                  <w:color w:val="0000EE"/>
                  <w:w w:val="97"/>
                </w:rPr>
                <w:t>PART II</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6800" w:type="dxa"/>
            <w:vAlign w:val="bottom"/>
            <w:gridSpan w:val="6"/>
          </w:tcPr>
          <w:p>
            <w:pPr>
              <w:ind w:left="20"/>
              <w:spacing w:after="0"/>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Market for Registrant’s Common Equity, Related Stockholder Matters and Issuer Purchases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83"/>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20" w:type="dxa"/>
            <w:vAlign w:val="bottom"/>
            <w:tcBorders>
              <w:top w:val="single" w:sz="8" w:color="0000EE"/>
            </w:tcBorders>
          </w:tcPr>
          <w:p>
            <w:pPr>
              <w:spacing w:after="0"/>
              <w:rPr>
                <w:sz w:val="15"/>
                <w:szCs w:val="15"/>
                <w:color w:val="auto"/>
              </w:rPr>
            </w:pPr>
          </w:p>
        </w:tc>
        <w:tc>
          <w:tcPr>
            <w:tcW w:w="6600" w:type="dxa"/>
            <w:vAlign w:val="bottom"/>
            <w:tcBorders>
              <w:top w:val="single" w:sz="8" w:color="0000EE"/>
            </w:tcBorders>
            <w:gridSpan w:val="3"/>
          </w:tcPr>
          <w:p>
            <w:pPr>
              <w:spacing w:after="0" w:line="182" w:lineRule="exact"/>
              <w:rPr>
                <w:rFonts w:ascii="Times New Roman" w:cs="Times New Roman" w:eastAsia="Times New Roman" w:hAnsi="Times New Roman"/>
                <w:sz w:val="18"/>
                <w:szCs w:val="18"/>
                <w:color w:val="0000EE"/>
              </w:rPr>
            </w:pPr>
            <w:hyperlink w:anchor="page87">
              <w:r>
                <w:rPr>
                  <w:rFonts w:ascii="Times New Roman" w:cs="Times New Roman" w:eastAsia="Times New Roman" w:hAnsi="Times New Roman"/>
                  <w:sz w:val="18"/>
                  <w:szCs w:val="18"/>
                  <w:color w:val="0000EE"/>
                </w:rPr>
                <w:t>of Equity Securities</w:t>
              </w:r>
            </w:hyperlink>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91"/>
        </w:trPr>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tcBorders>
              <w:top w:val="single" w:sz="8" w:color="0000EE"/>
            </w:tcBorders>
            <w:gridSpan w:val="2"/>
          </w:tcPr>
          <w:p>
            <w:pPr>
              <w:spacing w:after="0" w:line="191" w:lineRule="exact"/>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Reserved</w:t>
              </w:r>
            </w:hyperlink>
          </w:p>
        </w:tc>
        <w:tc>
          <w:tcPr>
            <w:tcW w:w="52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6800" w:type="dxa"/>
            <w:vAlign w:val="bottom"/>
            <w:gridSpan w:val="6"/>
          </w:tcPr>
          <w:p>
            <w:pPr>
              <w:ind w:left="20"/>
              <w:spacing w:after="0" w:line="202" w:lineRule="exact"/>
              <w:rPr>
                <w:rFonts w:ascii="Times New Roman" w:cs="Times New Roman" w:eastAsia="Times New Roman" w:hAnsi="Times New Roman"/>
                <w:sz w:val="18"/>
                <w:szCs w:val="18"/>
                <w:u w:val="single" w:color="auto"/>
                <w:color w:val="0000EE"/>
              </w:rPr>
            </w:pPr>
            <w:hyperlink w:anchor="page88">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7A.</w:t>
            </w:r>
          </w:p>
        </w:tc>
        <w:tc>
          <w:tcPr>
            <w:tcW w:w="6800" w:type="dxa"/>
            <w:vAlign w:val="bottom"/>
            <w:gridSpan w:val="6"/>
          </w:tcPr>
          <w:p>
            <w:pPr>
              <w:ind w:left="20"/>
              <w:spacing w:after="0" w:line="202" w:lineRule="exact"/>
              <w:rPr>
                <w:rFonts w:ascii="Times New Roman" w:cs="Times New Roman" w:eastAsia="Times New Roman" w:hAnsi="Times New Roman"/>
                <w:sz w:val="18"/>
                <w:szCs w:val="18"/>
                <w:u w:val="single" w:color="auto"/>
                <w:color w:val="0000EE"/>
              </w:rPr>
            </w:pPr>
            <w:hyperlink w:anchor="page109">
              <w:r>
                <w:rPr>
                  <w:rFonts w:ascii="Times New Roman" w:cs="Times New Roman" w:eastAsia="Times New Roman" w:hAnsi="Times New Roman"/>
                  <w:sz w:val="18"/>
                  <w:szCs w:val="18"/>
                  <w:u w:val="single" w:color="auto"/>
                  <w:color w:val="0000EE"/>
                </w:rPr>
                <w:t>Quantitative and Qualitative Disclosures About Market Risk</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8.</w:t>
            </w:r>
          </w:p>
        </w:tc>
        <w:tc>
          <w:tcPr>
            <w:tcW w:w="6800" w:type="dxa"/>
            <w:vAlign w:val="bottom"/>
            <w:gridSpan w:val="6"/>
          </w:tcPr>
          <w:p>
            <w:pPr>
              <w:ind w:left="20"/>
              <w:spacing w:after="0" w:line="202" w:lineRule="exact"/>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Financial Statements and Supplementary Data</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w:t>
            </w:r>
          </w:p>
        </w:tc>
        <w:tc>
          <w:tcPr>
            <w:tcW w:w="6800" w:type="dxa"/>
            <w:vAlign w:val="bottom"/>
            <w:gridSpan w:val="6"/>
          </w:tcPr>
          <w:p>
            <w:pPr>
              <w:ind w:left="20"/>
              <w:spacing w:after="0" w:line="202" w:lineRule="exact"/>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Change in and Disagreements with Accountants on Accounting and Financial Disclosure.</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9A.</w:t>
            </w:r>
          </w:p>
        </w:tc>
        <w:tc>
          <w:tcPr>
            <w:tcW w:w="6800" w:type="dxa"/>
            <w:vAlign w:val="bottom"/>
            <w:gridSpan w:val="6"/>
          </w:tcPr>
          <w:p>
            <w:pPr>
              <w:ind w:left="20"/>
              <w:spacing w:after="0" w:line="202" w:lineRule="exact"/>
              <w:rPr>
                <w:rFonts w:ascii="Times New Roman" w:cs="Times New Roman" w:eastAsia="Times New Roman" w:hAnsi="Times New Roman"/>
                <w:sz w:val="18"/>
                <w:szCs w:val="18"/>
                <w:u w:val="single" w:color="auto"/>
                <w:color w:val="0000EE"/>
              </w:rPr>
            </w:pPr>
            <w:hyperlink w:anchor="page110">
              <w:r>
                <w:rPr>
                  <w:rFonts w:ascii="Times New Roman" w:cs="Times New Roman" w:eastAsia="Times New Roman" w:hAnsi="Times New Roman"/>
                  <w:sz w:val="18"/>
                  <w:szCs w:val="18"/>
                  <w:u w:val="single" w:color="auto"/>
                  <w:color w:val="0000EE"/>
                </w:rPr>
                <w:t>Controls and Procedures</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6800" w:type="dxa"/>
            <w:vAlign w:val="bottom"/>
            <w:gridSpan w:val="6"/>
          </w:tcPr>
          <w:p>
            <w:pPr>
              <w:ind w:left="20"/>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Other Information</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3"/>
          </w:tcPr>
          <w:p>
            <w:pPr>
              <w:jc w:val="center"/>
              <w:ind w:right="2760"/>
              <w:spacing w:after="0"/>
              <w:rPr>
                <w:rFonts w:ascii="Times New Roman" w:cs="Times New Roman" w:eastAsia="Times New Roman" w:hAnsi="Times New Roman"/>
                <w:sz w:val="18"/>
                <w:szCs w:val="18"/>
                <w:b w:val="1"/>
                <w:bCs w:val="1"/>
                <w:u w:val="single" w:color="auto"/>
                <w:color w:val="0000EE"/>
                <w:w w:val="99"/>
              </w:rPr>
            </w:pPr>
            <w:hyperlink w:anchor="page112">
              <w:r>
                <w:rPr>
                  <w:rFonts w:ascii="Times New Roman" w:cs="Times New Roman" w:eastAsia="Times New Roman" w:hAnsi="Times New Roman"/>
                  <w:sz w:val="18"/>
                  <w:szCs w:val="18"/>
                  <w:b w:val="1"/>
                  <w:bCs w:val="1"/>
                  <w:u w:val="single" w:color="auto"/>
                  <w:color w:val="0000EE"/>
                  <w:w w:val="99"/>
                </w:rPr>
                <w:t>PART III</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20" w:type="dxa"/>
            <w:vAlign w:val="bottom"/>
          </w:tcPr>
          <w:p>
            <w:pPr>
              <w:spacing w:after="0"/>
              <w:rPr>
                <w:sz w:val="24"/>
                <w:szCs w:val="24"/>
                <w:color w:val="auto"/>
              </w:rPr>
            </w:pPr>
          </w:p>
        </w:tc>
        <w:tc>
          <w:tcPr>
            <w:tcW w:w="6780" w:type="dxa"/>
            <w:vAlign w:val="bottom"/>
            <w:gridSpan w:val="5"/>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Directors, Executive Officers and Corporate Governance</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3"/>
        </w:trPr>
        <w:tc>
          <w:tcPr>
            <w:tcW w:w="1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Item 11.</w:t>
            </w:r>
          </w:p>
        </w:tc>
        <w:tc>
          <w:tcPr>
            <w:tcW w:w="20" w:type="dxa"/>
            <w:vAlign w:val="bottom"/>
          </w:tcPr>
          <w:p>
            <w:pPr>
              <w:spacing w:after="0"/>
              <w:rPr>
                <w:sz w:val="17"/>
                <w:szCs w:val="17"/>
                <w:color w:val="auto"/>
              </w:rPr>
            </w:pPr>
          </w:p>
        </w:tc>
        <w:tc>
          <w:tcPr>
            <w:tcW w:w="6780" w:type="dxa"/>
            <w:vAlign w:val="bottom"/>
            <w:gridSpan w:val="5"/>
          </w:tcPr>
          <w:p>
            <w:pPr>
              <w:spacing w:after="0" w:line="202" w:lineRule="exact"/>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Executive Compensation</w:t>
              </w:r>
            </w:hyperlink>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4"/>
        </w:trPr>
        <w:tc>
          <w:tcPr>
            <w:tcW w:w="13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12.</w:t>
            </w:r>
          </w:p>
        </w:tc>
        <w:tc>
          <w:tcPr>
            <w:tcW w:w="20" w:type="dxa"/>
            <w:vAlign w:val="bottom"/>
          </w:tcPr>
          <w:p>
            <w:pPr>
              <w:spacing w:after="0"/>
              <w:rPr>
                <w:sz w:val="16"/>
                <w:szCs w:val="16"/>
                <w:color w:val="auto"/>
              </w:rPr>
            </w:pPr>
          </w:p>
        </w:tc>
        <w:tc>
          <w:tcPr>
            <w:tcW w:w="6780" w:type="dxa"/>
            <w:vAlign w:val="bottom"/>
            <w:gridSpan w:val="5"/>
          </w:tcPr>
          <w:p>
            <w:pPr>
              <w:spacing w:after="0" w:line="194"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Security Ownership of Certain Beneficial Owners and Management and Related Stockholder</w:t>
              </w:r>
            </w:hyperlink>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83"/>
        </w:trPr>
        <w:tc>
          <w:tcPr>
            <w:tcW w:w="1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20" w:type="dxa"/>
            <w:vAlign w:val="bottom"/>
          </w:tcPr>
          <w:p>
            <w:pPr>
              <w:spacing w:after="0"/>
              <w:rPr>
                <w:sz w:val="15"/>
                <w:szCs w:val="15"/>
                <w:color w:val="auto"/>
              </w:rPr>
            </w:pPr>
          </w:p>
        </w:tc>
        <w:tc>
          <w:tcPr>
            <w:tcW w:w="6700" w:type="dxa"/>
            <w:vAlign w:val="bottom"/>
            <w:tcBorders>
              <w:top w:val="single" w:sz="8" w:color="0000EE"/>
            </w:tcBorders>
            <w:gridSpan w:val="4"/>
          </w:tcPr>
          <w:p>
            <w:pPr>
              <w:spacing w:after="0" w:line="182" w:lineRule="exact"/>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Matters</w:t>
              </w:r>
            </w:hyperlink>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1"/>
        </w:trPr>
        <w:tc>
          <w:tcPr>
            <w:tcW w:w="1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Borders>
              <w:top w:val="single" w:sz="8" w:color="0000EE"/>
            </w:tcBorders>
          </w:tcPr>
          <w:p>
            <w:pPr>
              <w:spacing w:after="0" w:line="191" w:lineRule="exact"/>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Certain</w:t>
              </w:r>
            </w:hyperlink>
          </w:p>
        </w:tc>
        <w:tc>
          <w:tcPr>
            <w:tcW w:w="6220" w:type="dxa"/>
            <w:vAlign w:val="bottom"/>
            <w:gridSpan w:val="4"/>
          </w:tcPr>
          <w:p>
            <w:pPr>
              <w:ind w:left="20"/>
              <w:spacing w:after="0" w:line="191" w:lineRule="exact"/>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Relationships and Related Transactions, and Director Independence</w:t>
              </w:r>
            </w:hyperlink>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20" w:type="dxa"/>
            <w:vAlign w:val="bottom"/>
          </w:tcPr>
          <w:p>
            <w:pPr>
              <w:spacing w:after="0"/>
              <w:rPr>
                <w:sz w:val="20"/>
                <w:szCs w:val="20"/>
                <w:color w:val="auto"/>
              </w:rPr>
            </w:pPr>
          </w:p>
        </w:tc>
        <w:tc>
          <w:tcPr>
            <w:tcW w:w="6780" w:type="dxa"/>
            <w:vAlign w:val="bottom"/>
            <w:gridSpan w:val="5"/>
          </w:tcPr>
          <w:p>
            <w:pPr>
              <w:spacing w:after="0"/>
              <w:rPr>
                <w:rFonts w:ascii="Times New Roman" w:cs="Times New Roman" w:eastAsia="Times New Roman" w:hAnsi="Times New Roman"/>
                <w:sz w:val="18"/>
                <w:szCs w:val="18"/>
                <w:u w:val="single" w:color="auto"/>
                <w:color w:val="0000EE"/>
              </w:rPr>
            </w:pPr>
            <w:hyperlink w:anchor="page112">
              <w:r>
                <w:rPr>
                  <w:rFonts w:ascii="Times New Roman" w:cs="Times New Roman" w:eastAsia="Times New Roman" w:hAnsi="Times New Roman"/>
                  <w:sz w:val="18"/>
                  <w:szCs w:val="18"/>
                  <w:u w:val="single" w:color="auto"/>
                  <w:color w:val="0000EE"/>
                </w:rPr>
                <w:t>Principal Accounting Fees and Services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405"/>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340" w:type="dxa"/>
            <w:vAlign w:val="bottom"/>
            <w:gridSpan w:val="3"/>
          </w:tcPr>
          <w:p>
            <w:pPr>
              <w:jc w:val="center"/>
              <w:ind w:right="2760"/>
              <w:spacing w:after="0"/>
              <w:rPr>
                <w:rFonts w:ascii="Times New Roman" w:cs="Times New Roman" w:eastAsia="Times New Roman" w:hAnsi="Times New Roman"/>
                <w:sz w:val="18"/>
                <w:szCs w:val="18"/>
                <w:b w:val="1"/>
                <w:bCs w:val="1"/>
                <w:u w:val="single" w:color="auto"/>
                <w:color w:val="0000EE"/>
                <w:w w:val="95"/>
              </w:rPr>
            </w:pPr>
            <w:hyperlink w:anchor="page113">
              <w:r>
                <w:rPr>
                  <w:rFonts w:ascii="Times New Roman" w:cs="Times New Roman" w:eastAsia="Times New Roman" w:hAnsi="Times New Roman"/>
                  <w:sz w:val="18"/>
                  <w:szCs w:val="18"/>
                  <w:b w:val="1"/>
                  <w:bCs w:val="1"/>
                  <w:u w:val="single" w:color="auto"/>
                  <w:color w:val="0000EE"/>
                  <w:w w:val="95"/>
                </w:rPr>
                <w:t>PART IV</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20" w:type="dxa"/>
            <w:vAlign w:val="bottom"/>
          </w:tcPr>
          <w:p>
            <w:pPr>
              <w:spacing w:after="0"/>
              <w:rPr>
                <w:sz w:val="24"/>
                <w:szCs w:val="24"/>
                <w:color w:val="auto"/>
              </w:rPr>
            </w:pPr>
          </w:p>
        </w:tc>
        <w:tc>
          <w:tcPr>
            <w:tcW w:w="6780" w:type="dxa"/>
            <w:vAlign w:val="bottom"/>
            <w:gridSpan w:val="5"/>
          </w:tcPr>
          <w:p>
            <w:pPr>
              <w:spacing w:after="0"/>
              <w:rPr>
                <w:rFonts w:ascii="Times New Roman" w:cs="Times New Roman" w:eastAsia="Times New Roman" w:hAnsi="Times New Roman"/>
                <w:sz w:val="18"/>
                <w:szCs w:val="18"/>
                <w:u w:val="single" w:color="auto"/>
                <w:color w:val="0000EE"/>
              </w:rPr>
            </w:pPr>
            <w:hyperlink w:anchor="page113">
              <w:r>
                <w:rPr>
                  <w:rFonts w:ascii="Times New Roman" w:cs="Times New Roman" w:eastAsia="Times New Roman" w:hAnsi="Times New Roman"/>
                  <w:sz w:val="18"/>
                  <w:szCs w:val="18"/>
                  <w:u w:val="single" w:color="auto"/>
                  <w:color w:val="0000EE"/>
                </w:rPr>
                <w:t>Exhibits and Financial Statement Schedules</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4"/>
        </w:trPr>
        <w:tc>
          <w:tcPr>
            <w:tcW w:w="1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20" w:type="dxa"/>
            <w:vAlign w:val="bottom"/>
          </w:tcPr>
          <w:p>
            <w:pPr>
              <w:spacing w:after="0"/>
              <w:rPr>
                <w:sz w:val="20"/>
                <w:szCs w:val="20"/>
                <w:color w:val="auto"/>
              </w:rPr>
            </w:pPr>
          </w:p>
        </w:tc>
        <w:tc>
          <w:tcPr>
            <w:tcW w:w="6780" w:type="dxa"/>
            <w:vAlign w:val="bottom"/>
            <w:gridSpan w:val="5"/>
          </w:tcPr>
          <w:p>
            <w:pPr>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Form 10-K Summary</w:t>
              </w:r>
            </w:hyperlink>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965"/>
        </w:trPr>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5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Annual Report on Form 10-K refer to Blueprint Medicines Corporation and its consolidated subsidiaries. Blueprint Medicines, AYVAKIT™, AYVAKYT®, GAVRETO™ and associated logos are trademarks of Blueprint Medicines Corporation. Other brands, names and trademarks contained in this Annual Report on Form 10-K are the property of their respective owners.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16"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under the heading “Risk Factors” and should be carefully considered, together with other information in this Annual Report on Form 10-K in its entirety before making investment decisions regarding our common stock.</w:t>
      </w:r>
    </w:p>
    <w:p>
      <w:pPr>
        <w:spacing w:after="0" w:line="184" w:lineRule="exact"/>
        <w:rPr>
          <w:sz w:val="20"/>
          <w:szCs w:val="20"/>
          <w:color w:val="auto"/>
        </w:rPr>
      </w:pPr>
    </w:p>
    <w:p>
      <w:pPr>
        <w:ind w:left="1380" w:right="299" w:hanging="331"/>
        <w:spacing w:after="0" w:line="250"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experience as a commercial company and the marketing and sale of AYVAKIT™ (avapritinib) (marketed in Europe under the brand name AYVAKYT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GAVRETO™ (pralsetinib) or any future approved drugs may be unsuccessful or less successful than anticipated.</w:t>
      </w:r>
    </w:p>
    <w:p>
      <w:pPr>
        <w:spacing w:after="0" w:line="176" w:lineRule="exact"/>
        <w:rPr>
          <w:rFonts w:ascii="Times New Roman" w:cs="Times New Roman" w:eastAsia="Times New Roman" w:hAnsi="Times New Roman"/>
          <w:sz w:val="18"/>
          <w:szCs w:val="18"/>
          <w:color w:val="auto"/>
        </w:rPr>
      </w:pPr>
    </w:p>
    <w:p>
      <w:pPr>
        <w:ind w:left="1380" w:right="799" w:hanging="331"/>
        <w:spacing w:after="0" w:line="296"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commercial success of our current and future drugs will depend upon the degree of market acceptance by physicians, patients, third-party payors and others in the medical community.</w:t>
      </w:r>
    </w:p>
    <w:p>
      <w:pPr>
        <w:spacing w:after="0" w:line="138" w:lineRule="exact"/>
        <w:rPr>
          <w:rFonts w:ascii="Times New Roman" w:cs="Times New Roman" w:eastAsia="Times New Roman" w:hAnsi="Times New Roman"/>
          <w:sz w:val="17"/>
          <w:szCs w:val="17"/>
          <w:color w:val="auto"/>
        </w:rPr>
      </w:pPr>
    </w:p>
    <w:p>
      <w:pPr>
        <w:ind w:left="1380" w:right="19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additional commercial capabilities and infrastructure, we may be unable to generate sufficient revenue to sustain our business.</w:t>
      </w:r>
    </w:p>
    <w:p>
      <w:pPr>
        <w:spacing w:after="0" w:line="162" w:lineRule="exact"/>
        <w:rPr>
          <w:rFonts w:ascii="Times New Roman" w:cs="Times New Roman" w:eastAsia="Times New Roman" w:hAnsi="Times New Roman"/>
          <w:sz w:val="18"/>
          <w:szCs w:val="18"/>
          <w:color w:val="auto"/>
        </w:rPr>
      </w:pPr>
    </w:p>
    <w:p>
      <w:pPr>
        <w:jc w:val="both"/>
        <w:ind w:left="1380" w:right="179" w:hanging="331"/>
        <w:spacing w:after="0" w:line="250"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6"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substantial competition, which may result in others commercializing, developing or discovering drugs before or more successfully than we do.</w:t>
      </w:r>
    </w:p>
    <w:p>
      <w:pPr>
        <w:spacing w:after="0" w:line="162" w:lineRule="exact"/>
        <w:rPr>
          <w:rFonts w:ascii="Times New Roman" w:cs="Times New Roman" w:eastAsia="Times New Roman" w:hAnsi="Times New Roman"/>
          <w:sz w:val="18"/>
          <w:szCs w:val="18"/>
          <w:color w:val="auto"/>
        </w:rPr>
      </w:pPr>
    </w:p>
    <w:p>
      <w:pPr>
        <w:ind w:left="1380" w:right="73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could limit commercialization of any of our approved drugs or drug candidates that we may develop.</w:t>
      </w:r>
    </w:p>
    <w:p>
      <w:pPr>
        <w:spacing w:after="0" w:line="162" w:lineRule="exact"/>
        <w:rPr>
          <w:rFonts w:ascii="Times New Roman" w:cs="Times New Roman" w:eastAsia="Times New Roman" w:hAnsi="Times New Roman"/>
          <w:sz w:val="18"/>
          <w:szCs w:val="18"/>
          <w:color w:val="auto"/>
        </w:rPr>
      </w:pPr>
    </w:p>
    <w:p>
      <w:pPr>
        <w:ind w:left="1380" w:right="219" w:hanging="331"/>
        <w:spacing w:after="0" w:line="245"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advance our drug candidates to clinical development,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0" w:lineRule="exact"/>
        <w:rPr>
          <w:rFonts w:ascii="Times New Roman" w:cs="Times New Roman" w:eastAsia="Times New Roman" w:hAnsi="Times New Roman"/>
          <w:sz w:val="18"/>
          <w:szCs w:val="18"/>
          <w:color w:val="auto"/>
        </w:rPr>
      </w:pPr>
    </w:p>
    <w:p>
      <w:pPr>
        <w:ind w:left="1380" w:right="639" w:hanging="331"/>
        <w:spacing w:after="0" w:line="266"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enrollment of patients in clinical trials, our receipt of necessary regulatory approvals could be delayed or prevented.</w:t>
      </w:r>
    </w:p>
    <w:p>
      <w:pPr>
        <w:spacing w:after="0" w:line="162" w:lineRule="exact"/>
        <w:rPr>
          <w:rFonts w:ascii="Times New Roman" w:cs="Times New Roman" w:eastAsia="Times New Roman" w:hAnsi="Times New Roman"/>
          <w:sz w:val="18"/>
          <w:szCs w:val="18"/>
          <w:color w:val="auto"/>
        </w:rPr>
      </w:pPr>
    </w:p>
    <w:p>
      <w:pPr>
        <w:ind w:left="1380" w:right="99" w:hanging="331"/>
        <w:spacing w:after="0" w:line="245"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80" w:lineRule="exact"/>
        <w:rPr>
          <w:rFonts w:ascii="Times New Roman" w:cs="Times New Roman" w:eastAsia="Times New Roman" w:hAnsi="Times New Roman"/>
          <w:sz w:val="18"/>
          <w:szCs w:val="18"/>
          <w:color w:val="auto"/>
        </w:rPr>
      </w:pPr>
    </w:p>
    <w:p>
      <w:pPr>
        <w:ind w:left="1380" w:right="99" w:hanging="331"/>
        <w:spacing w:after="0" w:line="250" w:lineRule="auto"/>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expand our pipeline of drug candidates.</w:t>
      </w:r>
    </w:p>
    <w:p>
      <w:pPr>
        <w:spacing w:after="0" w:line="211" w:lineRule="exact"/>
        <w:rPr>
          <w:rFonts w:ascii="Times New Roman" w:cs="Times New Roman" w:eastAsia="Times New Roman" w:hAnsi="Times New Roman"/>
          <w:sz w:val="18"/>
          <w:szCs w:val="18"/>
          <w:color w:val="auto"/>
        </w:rPr>
      </w:pPr>
    </w:p>
    <w:p>
      <w:pPr>
        <w:jc w:val="both"/>
        <w:ind w:left="1380" w:right="479" w:hanging="331"/>
        <w:spacing w:after="0" w:line="296" w:lineRule="auto"/>
        <w:tabs>
          <w:tab w:leader="none" w:pos="13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comply with comprehensive and ongoing regulatory requirements for any of our current or future approved drugs, including conducting confirmatory clinical trials for any drug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59"/>
        <w:spacing w:after="0" w:line="250" w:lineRule="auto"/>
        <w:rPr>
          <w:sz w:val="20"/>
          <w:szCs w:val="20"/>
          <w:color w:val="auto"/>
        </w:rPr>
      </w:pPr>
      <w:r>
        <w:rPr>
          <w:rFonts w:ascii="Times New Roman" w:cs="Times New Roman" w:eastAsia="Times New Roman" w:hAnsi="Times New Roman"/>
          <w:sz w:val="18"/>
          <w:szCs w:val="18"/>
          <w:color w:val="auto"/>
        </w:rPr>
        <w:t>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77" w:lineRule="exact"/>
        <w:rPr>
          <w:sz w:val="20"/>
          <w:szCs w:val="20"/>
          <w:color w:val="auto"/>
        </w:rPr>
      </w:pPr>
    </w:p>
    <w:p>
      <w:pPr>
        <w:ind w:left="1380" w:right="99" w:hanging="331"/>
        <w:spacing w:after="0" w:line="250"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76" w:lineRule="exact"/>
        <w:rPr>
          <w:rFonts w:ascii="Times New Roman" w:cs="Times New Roman" w:eastAsia="Times New Roman" w:hAnsi="Times New Roman"/>
          <w:sz w:val="18"/>
          <w:szCs w:val="18"/>
          <w:color w:val="auto"/>
        </w:rPr>
      </w:pPr>
    </w:p>
    <w:p>
      <w:pPr>
        <w:ind w:left="1380" w:right="219" w:hanging="331"/>
        <w:spacing w:after="0" w:line="272"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58" w:lineRule="exact"/>
        <w:rPr>
          <w:rFonts w:ascii="Times New Roman" w:cs="Times New Roman" w:eastAsia="Times New Roman" w:hAnsi="Times New Roman"/>
          <w:sz w:val="17"/>
          <w:szCs w:val="17"/>
          <w:color w:val="auto"/>
        </w:rPr>
      </w:pPr>
    </w:p>
    <w:p>
      <w:pPr>
        <w:ind w:left="1380" w:right="99" w:hanging="331"/>
        <w:spacing w:after="0" w:line="245"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0" w:lineRule="exact"/>
        <w:rPr>
          <w:rFonts w:ascii="Times New Roman" w:cs="Times New Roman" w:eastAsia="Times New Roman" w:hAnsi="Times New Roman"/>
          <w:sz w:val="18"/>
          <w:szCs w:val="18"/>
          <w:color w:val="auto"/>
        </w:rPr>
      </w:pPr>
    </w:p>
    <w:p>
      <w:pPr>
        <w:ind w:left="1380" w:right="159" w:hanging="331"/>
        <w:spacing w:after="0" w:line="264"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65" w:lineRule="exact"/>
        <w:rPr>
          <w:rFonts w:ascii="Times New Roman" w:cs="Times New Roman" w:eastAsia="Times New Roman" w:hAnsi="Times New Roman"/>
          <w:sz w:val="17"/>
          <w:szCs w:val="17"/>
          <w:color w:val="auto"/>
        </w:rPr>
      </w:pPr>
    </w:p>
    <w:p>
      <w:pPr>
        <w:ind w:left="1380" w:right="339" w:hanging="331"/>
        <w:spacing w:after="0" w:line="24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4" w:lineRule="exact"/>
        <w:rPr>
          <w:rFonts w:ascii="Times New Roman" w:cs="Times New Roman" w:eastAsia="Times New Roman" w:hAnsi="Times New Roman"/>
          <w:sz w:val="18"/>
          <w:szCs w:val="18"/>
          <w:color w:val="auto"/>
        </w:rPr>
      </w:pPr>
    </w:p>
    <w:p>
      <w:pPr>
        <w:ind w:left="1380" w:right="139" w:hanging="331"/>
        <w:spacing w:after="0" w:line="250"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76" w:lineRule="exact"/>
        <w:rPr>
          <w:rFonts w:ascii="Times New Roman" w:cs="Times New Roman" w:eastAsia="Times New Roman" w:hAnsi="Times New Roman"/>
          <w:sz w:val="18"/>
          <w:szCs w:val="18"/>
          <w:color w:val="auto"/>
        </w:rPr>
      </w:pPr>
    </w:p>
    <w:p>
      <w:pPr>
        <w:ind w:left="1380" w:right="639" w:hanging="331"/>
        <w:spacing w:after="0" w:line="266"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future growth prospects could be materially and adversely affected by the COVID-19 pandemic.</w:t>
      </w:r>
    </w:p>
    <w:p>
      <w:pPr>
        <w:spacing w:after="0" w:line="162" w:lineRule="exact"/>
        <w:rPr>
          <w:rFonts w:ascii="Times New Roman" w:cs="Times New Roman" w:eastAsia="Times New Roman" w:hAnsi="Times New Roman"/>
          <w:sz w:val="18"/>
          <w:szCs w:val="18"/>
          <w:color w:val="auto"/>
        </w:rPr>
      </w:pPr>
    </w:p>
    <w:p>
      <w:pPr>
        <w:ind w:left="1380" w:right="79" w:hanging="331"/>
        <w:spacing w:after="0" w:line="272"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58"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left="60" w:right="279" w:firstLine="648"/>
        <w:spacing w:after="0" w:line="24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forward-looking statements in this Annual Report on Form 10-K include, but are not limited to, statements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about:</w:t>
      </w:r>
    </w:p>
    <w:p>
      <w:pPr>
        <w:spacing w:after="0" w:line="192" w:lineRule="exact"/>
        <w:rPr>
          <w:sz w:val="20"/>
          <w:szCs w:val="20"/>
          <w:color w:val="auto"/>
        </w:rPr>
      </w:pPr>
    </w:p>
    <w:p>
      <w:pPr>
        <w:ind w:left="1380" w:right="559" w:hanging="331"/>
        <w:spacing w:after="0" w:line="250"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76" w:lineRule="exact"/>
        <w:rPr>
          <w:rFonts w:ascii="Times New Roman" w:cs="Times New Roman" w:eastAsia="Times New Roman" w:hAnsi="Times New Roman"/>
          <w:sz w:val="18"/>
          <w:szCs w:val="18"/>
          <w:color w:val="auto"/>
        </w:rPr>
      </w:pPr>
    </w:p>
    <w:p>
      <w:pPr>
        <w:jc w:val="both"/>
        <w:ind w:left="1380" w:right="79" w:hanging="331"/>
        <w:spacing w:after="0" w:line="250"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plans in continuing to build out our commercial infrastructure and successfully launching, marketing and selling AYVAKIT/AYVAKYT, GAVRETO and any current and future drug candidates for which we receive marketing approval;</w:t>
      </w:r>
    </w:p>
    <w:p>
      <w:pPr>
        <w:spacing w:after="0" w:line="176" w:lineRule="exact"/>
        <w:rPr>
          <w:rFonts w:ascii="Times New Roman" w:cs="Times New Roman" w:eastAsia="Times New Roman" w:hAnsi="Times New Roman"/>
          <w:sz w:val="18"/>
          <w:szCs w:val="18"/>
          <w:color w:val="auto"/>
        </w:rPr>
      </w:pPr>
    </w:p>
    <w:p>
      <w:pPr>
        <w:ind w:left="1380" w:right="45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AYVAKIT, GAVRETO and any current and future drug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AYVAKIT, GAVRETO and any current and future drug candidates for which we receive marketing approval;</w:t>
      </w:r>
    </w:p>
    <w:p>
      <w:pPr>
        <w:spacing w:after="0" w:line="162" w:lineRule="exact"/>
        <w:rPr>
          <w:rFonts w:ascii="Times New Roman" w:cs="Times New Roman" w:eastAsia="Times New Roman" w:hAnsi="Times New Roman"/>
          <w:sz w:val="18"/>
          <w:szCs w:val="18"/>
          <w:color w:val="auto"/>
        </w:rPr>
      </w:pPr>
    </w:p>
    <w:p>
      <w:pPr>
        <w:jc w:val="both"/>
        <w:ind w:left="1380" w:right="419" w:hanging="331"/>
        <w:spacing w:after="0" w:line="250"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ongoing clinical trials and any planned clinical trials for avapritinib, pralsetinib, and any current and future drug candidates;</w:t>
      </w:r>
    </w:p>
    <w:p>
      <w:pPr>
        <w:spacing w:after="0" w:line="17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211" w:lineRule="exact"/>
        <w:rPr>
          <w:rFonts w:ascii="Times New Roman" w:cs="Times New Roman" w:eastAsia="Times New Roman" w:hAnsi="Times New Roman"/>
          <w:sz w:val="18"/>
          <w:szCs w:val="18"/>
          <w:color w:val="auto"/>
        </w:rPr>
      </w:pPr>
    </w:p>
    <w:p>
      <w:pPr>
        <w:ind w:left="1380" w:right="339" w:hanging="331"/>
        <w:spacing w:after="0" w:line="250"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76"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drugs, drug candidates, platform and technology;</w:t>
      </w:r>
    </w:p>
    <w:p>
      <w:pPr>
        <w:spacing w:after="0" w:line="162" w:lineRule="exact"/>
        <w:rPr>
          <w:rFonts w:ascii="Times New Roman" w:cs="Times New Roman" w:eastAsia="Times New Roman" w:hAnsi="Times New Roman"/>
          <w:sz w:val="18"/>
          <w:szCs w:val="18"/>
          <w:color w:val="auto"/>
        </w:rPr>
      </w:pPr>
    </w:p>
    <w:p>
      <w:pPr>
        <w:ind w:left="1380" w:right="13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current and future drugs, drug candidates and technology;</w:t>
      </w:r>
    </w:p>
    <w:p>
      <w:pPr>
        <w:spacing w:after="0" w:line="162" w:lineRule="exact"/>
        <w:rPr>
          <w:rFonts w:ascii="Times New Roman" w:cs="Times New Roman" w:eastAsia="Times New Roman" w:hAnsi="Times New Roman"/>
          <w:sz w:val="18"/>
          <w:szCs w:val="18"/>
          <w:color w:val="auto"/>
        </w:rPr>
      </w:pPr>
    </w:p>
    <w:p>
      <w:pPr>
        <w:ind w:left="1380" w:right="119" w:hanging="331"/>
        <w:spacing w:after="0" w:line="241"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and our collaboration with CStone Pharmaceuticals to develop and commercialize avapritinib, pralsetinib and fisogatinib in Greater China, as well as our ability to maintain these collaborations and establish additional strategic collaborations;</w:t>
      </w:r>
    </w:p>
    <w:p>
      <w:pPr>
        <w:spacing w:after="0" w:line="183" w:lineRule="exact"/>
        <w:rPr>
          <w:rFonts w:ascii="Times New Roman" w:cs="Times New Roman" w:eastAsia="Times New Roman" w:hAnsi="Times New Roman"/>
          <w:sz w:val="18"/>
          <w:szCs w:val="18"/>
          <w:color w:val="auto"/>
        </w:rPr>
      </w:pPr>
    </w:p>
    <w:p>
      <w:pPr>
        <w:ind w:left="1380" w:right="67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exclusive license agreement with Clementia Pharmaceuticals, Inc. to develop and commercialize BLU-782 for fibrodysplasia ossificans progressiva;</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current or future drugs or drug candidates;</w:t>
      </w:r>
    </w:p>
    <w:p>
      <w:pPr>
        <w:spacing w:after="0" w:line="211"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estimates of our revenues, expenses and capital requirements and our needs for future financing, including our ability to achieve a self-sustainable financial profile;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11" w:lineRule="exact"/>
        <w:rPr>
          <w:rFonts w:ascii="Times New Roman" w:cs="Times New Roman" w:eastAsia="Times New Roman" w:hAnsi="Times New Roman"/>
          <w:sz w:val="18"/>
          <w:szCs w:val="18"/>
          <w:color w:val="auto"/>
        </w:rPr>
      </w:pPr>
    </w:p>
    <w:p>
      <w:pPr>
        <w:ind w:left="1380" w:right="379" w:hanging="331"/>
        <w:spacing w:after="0" w:line="296" w:lineRule="auto"/>
        <w:tabs>
          <w:tab w:leader="none" w:pos="13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actual or potential benefits of designations granted by the U.S. Food and Drug Administration, or FDA, such as orphan drug, fast track and breakthrough therapy designation or priority review; and</w:t>
      </w:r>
    </w:p>
    <w:p>
      <w:pPr>
        <w:spacing w:after="0" w:line="138" w:lineRule="exact"/>
        <w:rPr>
          <w:rFonts w:ascii="Times New Roman" w:cs="Times New Roman" w:eastAsia="Times New Roman" w:hAnsi="Times New Roman"/>
          <w:sz w:val="17"/>
          <w:szCs w:val="17"/>
          <w:color w:val="auto"/>
        </w:rPr>
      </w:pPr>
    </w:p>
    <w:p>
      <w:pPr>
        <w:ind w:left="1380" w:right="119" w:hanging="331"/>
        <w:spacing w:after="0" w:line="242" w:lineRule="auto"/>
        <w:tabs>
          <w:tab w:leader="none" w:pos="1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scope of the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 GAVRETO and any current or future drug candidates for which we receive marketing approval.</w:t>
      </w:r>
    </w:p>
    <w:p>
      <w:pPr>
        <w:spacing w:after="0" w:line="225"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232" w:lineRule="exact"/>
        <w:rPr>
          <w:sz w:val="20"/>
          <w:szCs w:val="20"/>
          <w:color w:val="auto"/>
        </w:rPr>
      </w:pPr>
    </w:p>
    <w:p>
      <w:pPr>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08" w:lineRule="exact"/>
        <w:rPr>
          <w:sz w:val="20"/>
          <w:szCs w:val="20"/>
          <w:color w:val="auto"/>
        </w:rPr>
      </w:pPr>
    </w:p>
    <w:p>
      <w:pPr>
        <w:ind w:left="60" w:right="339" w:firstLine="648"/>
        <w:spacing w:after="0" w:line="239"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87" w:lineRule="exact"/>
        <w:rPr>
          <w:sz w:val="20"/>
          <w:szCs w:val="20"/>
          <w:color w:val="auto"/>
        </w:rPr>
      </w:pPr>
    </w:p>
    <w:p>
      <w:pPr>
        <w:ind w:left="60" w:right="279" w:firstLine="648"/>
        <w:spacing w:after="0" w:line="245" w:lineRule="auto"/>
        <w:rPr>
          <w:sz w:val="20"/>
          <w:szCs w:val="20"/>
          <w:color w:val="auto"/>
        </w:rPr>
      </w:pPr>
      <w:r>
        <w:rPr>
          <w:rFonts w:ascii="Times New Roman" w:cs="Times New Roman" w:eastAsia="Times New Roman" w:hAnsi="Times New Roman"/>
          <w:sz w:val="18"/>
          <w:szCs w:val="18"/>
          <w:color w:val="auto"/>
        </w:rPr>
        <w:t>For purposes of this Annual Report on Form 10-K, including the footnotes to our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7"/>
          <w:szCs w:val="17"/>
          <w:color w:val="auto"/>
        </w:rPr>
        <w:t>We are a global precision therapy company that is inventing transformative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are delivering our approved medicines, AYVAKIT™/AYVAKYT® (avapritinib) and GAVRETO™ (pralsetinib), to patients in the U.S. and Europe, and we are globally advancing multiple programs for genomically defined cancers, systemic mastocytosis, and cancer immunotherapy.</w:t>
      </w:r>
    </w:p>
    <w:p>
      <w:pPr>
        <w:spacing w:after="0" w:line="201"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Our drug discovery approach combines our deep understanding of kinase biology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and other Mast Cell Disorders — Avapritinib and BLU-263</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41" w:lineRule="exact"/>
        <w:rPr>
          <w:sz w:val="20"/>
          <w:szCs w:val="20"/>
          <w:color w:val="auto"/>
        </w:rPr>
      </w:pPr>
    </w:p>
    <w:p>
      <w:pPr>
        <w:jc w:val="both"/>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We are developing avapritinib for the treatment of systemic mastocytosis, or SM, a rare hematologic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21"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7"/>
          <w:szCs w:val="17"/>
          <w:color w:val="auto"/>
        </w:rPr>
        <w:t>In December 2020, we submitted a supplemental new drug application, or NDA, to the U.S. Food and Drug Administration, or FDA, for avapritinib for the treatment of adult patients with advanced SM. In February 2021, the FDA accepted our application and set a Prescription Drug User Fee Act, or PDUFA, action date of June 16, 2021. We also submitted a Type II variation marketing authorization application, or MAA, to the European Medicines Agency, or EMA,</w:t>
      </w:r>
    </w:p>
    <w:p>
      <w:pPr>
        <w:ind w:left="60"/>
        <w:spacing w:after="0"/>
        <w:rPr>
          <w:sz w:val="20"/>
          <w:szCs w:val="20"/>
          <w:color w:val="auto"/>
        </w:rPr>
      </w:pPr>
      <w:r>
        <w:rPr>
          <w:rFonts w:ascii="Times New Roman" w:cs="Times New Roman" w:eastAsia="Times New Roman" w:hAnsi="Times New Roman"/>
          <w:sz w:val="18"/>
          <w:szCs w:val="18"/>
          <w:color w:val="auto"/>
        </w:rPr>
        <w:t>for avapritinib for advanced SM in February 2021.</w:t>
      </w:r>
    </w:p>
    <w:p>
      <w:pPr>
        <w:spacing w:after="0" w:line="266"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We are currently evaluating avapritinib in an ongoing registration-enabling Phase 1 clinical trial in advanced SM, which we refer to as our EXPLORER trial, and an ongoing registration-enabling Phase 2 clinical trial in advanced SM, which we refer to as our PATHFINDER trial. In September 2020, we reported positive top-line data from the EXPLORER and PATHFINDER trials. We plan to present registrational data from the PATHFINDER trial in the first half of 2021. In addition, we are evaluating avapritinib in an ongoing registration-enabling Phase 2 clinical trial in non-advanced SM, which we refer to as our PIONEER trial. In 2020, we reported data from the dose-finding portion (Part 1) of the PIONEER trial and initiated the registration-enabling Part 2 of the PIONEER trial. We expect to complete enrollment of Part 2 of the PIONEER trial in mid-2021.</w:t>
      </w:r>
    </w:p>
    <w:p>
      <w:pPr>
        <w:spacing w:after="0" w:line="214"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BLU-263</w:t>
      </w:r>
    </w:p>
    <w:p>
      <w:pPr>
        <w:spacing w:after="0" w:line="254"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BLU-263 is an investigational, orally available, potent and highly selective KIT inhibitor that we are developing for the treatment of non-advanced SM and other mast cell disorders. BLU-263 is designed to have equivalent potency as avapritinib, with low off-target activity and lower penetration of the central nervous system, or CNS, relative to avapritinib based on preclinical data, which we believe will enable development of BLU-263 in a broad population of patients with non-advanced SM, including patients with lower disease burden requiring potentially life-long chronic therapy, and potentially patients with other mast cell disorders. In January 2021, we announced positive top-line results from a Phase 1 trial of BLU-263 in healthy volunteers. Based on these data, in mid-2021, we plan to initiate a Phase 2 trial of BLU-263 in patients with non-advanced SM, which we refer to as our HARBOR trial.</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 — GAVRETO™ (pralsetinib)</w:t>
      </w:r>
    </w:p>
    <w:p>
      <w:pPr>
        <w:spacing w:after="0" w:line="243" w:lineRule="exact"/>
        <w:rPr>
          <w:sz w:val="20"/>
          <w:szCs w:val="20"/>
          <w:color w:val="auto"/>
        </w:rPr>
      </w:pPr>
    </w:p>
    <w:p>
      <w:pPr>
        <w:ind w:left="60" w:right="239" w:firstLine="648"/>
        <w:spacing w:after="0" w:line="242" w:lineRule="auto"/>
        <w:rPr>
          <w:sz w:val="20"/>
          <w:szCs w:val="20"/>
          <w:color w:val="auto"/>
        </w:rPr>
      </w:pPr>
      <w:r>
        <w:rPr>
          <w:rFonts w:ascii="Times New Roman" w:cs="Times New Roman" w:eastAsia="Times New Roman" w:hAnsi="Times New Roman"/>
          <w:sz w:val="18"/>
          <w:szCs w:val="18"/>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w:t>
      </w:r>
      <w:r>
        <w:rPr>
          <w:rFonts w:ascii="Times New Roman" w:cs="Times New Roman" w:eastAsia="Times New Roman" w:hAnsi="Times New Roman"/>
          <w:sz w:val="18"/>
          <w:szCs w:val="18"/>
          <w:i w:val="1"/>
          <w:iCs w:val="1"/>
          <w:color w:val="auto"/>
        </w:rPr>
        <w:t>—Collaborations and Licenses Summary</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ind w:left="60" w:right="239" w:firstLine="648"/>
        <w:spacing w:after="0" w:line="260" w:lineRule="auto"/>
        <w:rPr>
          <w:sz w:val="20"/>
          <w:szCs w:val="20"/>
          <w:color w:val="auto"/>
        </w:rPr>
      </w:pPr>
      <w:r>
        <w:rPr>
          <w:rFonts w:ascii="Times New Roman" w:cs="Times New Roman" w:eastAsia="Times New Roman" w:hAnsi="Times New Roman"/>
          <w:sz w:val="17"/>
          <w:szCs w:val="17"/>
          <w:color w:val="auto"/>
        </w:rPr>
        <w:t>Pralsetinib is approved in the U.S. with accelerated approval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210"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The EMA is currently reviewing our MAA for pralsetinib for RET fusion-positive NSCLC. If approved by the European Commission, Roche plans to launch pralsetinib in RET fusion-positive NSCLC in Europe in the first half of 2021. Roche also plans to submit a Type II variation MAA to the EMA for pralsetinib for RET-altered thyroid cancers in the second half of 2021, and to submit marketing applications for pralsetinib for RET-altered NSCLC and thyroid cancers across multiple additional global geographies in 2021. In addition, China’s National Medical Products Administration, or NMPA, accepted an NDA submitted by CStone in the third quarter of 2020 for pralsetinib for the treatment of RET fusion-positive NSCLC patients previously treated with platinum-based chemotherapy.</w:t>
      </w:r>
    </w:p>
    <w:p>
      <w:pPr>
        <w:spacing w:after="0" w:line="212"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We are currently evaluating pralsetinib in an ongoing registration-enabling Phase 1/2 clinical trial in patients with RET-altered NSCLC, MTC and other advanced solid tumors, which we refer to as our ARROW trial. Pursuant to our collaboration with Roche, we plan to co-develop pralsetinib globally in RET-altered solid tumors, including NSCLC, MTC and other thyroid cancers, as well as other solid tumors.</w:t>
      </w:r>
    </w:p>
    <w:p>
      <w:pPr>
        <w:spacing w:after="0" w:line="221"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The FDA has granted breakthrough therapy designation to pralsetinib for (i) the treatment of patients with RET fusion-positive NSCLC that has progressed following platinum-based chemotherapy and (b)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PDGFRA-Driven Gastrointestinal Stromal Tumors — AYVAKIT™ / AYVAKYT® (avapritinib)</w:t>
      </w:r>
    </w:p>
    <w:p>
      <w:pPr>
        <w:spacing w:after="0" w:line="243" w:lineRule="exact"/>
        <w:rPr>
          <w:sz w:val="20"/>
          <w:szCs w:val="20"/>
          <w:color w:val="auto"/>
        </w:rPr>
      </w:pPr>
    </w:p>
    <w:p>
      <w:pPr>
        <w:ind w:left="60" w:right="59" w:firstLine="648"/>
        <w:spacing w:after="0"/>
        <w:rPr>
          <w:sz w:val="20"/>
          <w:szCs w:val="20"/>
          <w:color w:val="auto"/>
        </w:rPr>
      </w:pPr>
      <w:r>
        <w:rPr>
          <w:rFonts w:ascii="Times New Roman" w:cs="Times New Roman" w:eastAsia="Times New Roman" w:hAnsi="Times New Roman"/>
          <w:sz w:val="18"/>
          <w:szCs w:val="18"/>
          <w:color w:val="auto"/>
        </w:rPr>
        <w:t>We are commercializing avapritinib for the treatment of patients with PDGFRA exon 18 mutant gastrointestinal stromal tumors, or GIST, a rare disease that is a sarcoma, or tumor of bone or connective tissue, of the gastrointestinal tract. Avapritinib is approved in the U.S. under the brand name AYVAKIT for the treatment of adults with unresectable or metastatic gastrointestinal stromal tumors harboring a PDGFRA exon 18 mutation, including PDGFRA D842V mutations, and is approved in the European Union with conditional marketing authorization under the brand name AYVAKYT as a monotherapy for the treatment of adult patients with unresectable or metastatic GIST harboring a PDGFRA D842V mutation.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color w:val="auto"/>
        </w:rPr>
        <w:t>The European Commission has granted orphan medicinal product designation to avapritinib for the treatment of GIST. In addition, the NMPA accepted an NDA submitted by CStone in the first quarter of 2020 for avapritinib for the treatment of adults with unresectable or metastatic PDGFRA exon 18 mutant GIST. CStone also submitted an NDA to the Taiwan Food and Drug Administration, or the TFDA, for avapritinib for the indication of adult patients with unresectable or metastatic GIST harboring a PDGFRA exon 18 mutation, including PDGFRA D842V mutations, and received priority review designation from the TFDA.</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Treatment-Resistant EGFR-Mutated NSCLC</w:t>
      </w:r>
    </w:p>
    <w:p>
      <w:pPr>
        <w:spacing w:after="0" w:line="256"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We are developing two investigational EGFR inhibitors, BLU-701 and BLU-945, with the goal of addressing the most common on-target resistance mutations to currently available EGFR-targeted therapies. While the introduction of EGFR-targeted therapies, including osimertinib, has transformed the care of patients with EGFR-driven NSCLC, treatment resistance is a significant emerging unmet medical need.</w:t>
      </w:r>
    </w:p>
    <w:p>
      <w:pPr>
        <w:spacing w:after="0" w:line="208" w:lineRule="exact"/>
        <w:rPr>
          <w:sz w:val="20"/>
          <w:szCs w:val="20"/>
          <w:color w:val="auto"/>
        </w:rPr>
      </w:pPr>
    </w:p>
    <w:p>
      <w:pPr>
        <w:ind w:left="60" w:right="619" w:firstLine="648"/>
        <w:spacing w:after="0" w:line="264" w:lineRule="auto"/>
        <w:rPr>
          <w:sz w:val="20"/>
          <w:szCs w:val="20"/>
          <w:color w:val="auto"/>
        </w:rPr>
      </w:pPr>
      <w:r>
        <w:rPr>
          <w:rFonts w:ascii="Times New Roman" w:cs="Times New Roman" w:eastAsia="Times New Roman" w:hAnsi="Times New Roman"/>
          <w:sz w:val="17"/>
          <w:szCs w:val="17"/>
          <w:color w:val="auto"/>
        </w:rPr>
        <w:t>In addition to targeting EGFR resistance mutations, BLU-701 and BLU-945 were specifically designed for selectivity over wild-type EGFR and other kinases to enable potential improved tolerability and also combination strategies. In addition, in preclinical tumor models, both drug candidates have shown CNS activity, highlighting the potential to address CNS metastases which are more common in treatment-experienced NSCLC patients.</w:t>
      </w:r>
    </w:p>
    <w:p>
      <w:pPr>
        <w:spacing w:after="0" w:line="20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plan to initially develop BLU-701 and BLU-945 as monotherapies and in combination with each other and other therapies to overcome treatment resistance in specific patient populations with EGFR-driven NSCLC.</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Double Mutant NSCLC — BLU-701</w:t>
      </w:r>
    </w:p>
    <w:p>
      <w:pPr>
        <w:spacing w:after="0" w:line="214"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7"/>
          <w:szCs w:val="17"/>
          <w:color w:val="auto"/>
        </w:rPr>
        <w:t>BLU-701 is a selective and potent investigational inhibitor of double-mutant EGFR harboring either the activating L858R or exon 19 deletion mutations combined with the acquired C797S mutation, the most common on-target resistance mutation to osimertinib. We plan to initially develop BLU-701 as a monotherapy and in combination with other therapies.</w:t>
      </w:r>
    </w:p>
    <w:p>
      <w:pPr>
        <w:spacing w:after="0" w:line="2" w:lineRule="exact"/>
        <w:rPr>
          <w:sz w:val="20"/>
          <w:szCs w:val="20"/>
          <w:color w:val="auto"/>
        </w:rPr>
      </w:pPr>
    </w:p>
    <w:p>
      <w:pPr>
        <w:jc w:val="both"/>
        <w:ind w:left="60" w:right="79"/>
        <w:spacing w:after="0" w:line="243" w:lineRule="auto"/>
        <w:rPr>
          <w:sz w:val="20"/>
          <w:szCs w:val="20"/>
          <w:color w:val="auto"/>
        </w:rPr>
      </w:pPr>
      <w:r>
        <w:rPr>
          <w:rFonts w:ascii="Times New Roman" w:cs="Times New Roman" w:eastAsia="Times New Roman" w:hAnsi="Times New Roman"/>
          <w:sz w:val="18"/>
          <w:szCs w:val="18"/>
          <w:color w:val="auto"/>
        </w:rPr>
        <w:t>We plan to present foundational preclinical data for BLU-701 in the first half of 2021, and we plan to initiate a Phase 1 trial of BLU-701 in the second half of 2021.</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Triple Mutant NSCLC — BLU-945</w:t>
      </w:r>
    </w:p>
    <w:p>
      <w:pPr>
        <w:spacing w:after="0" w:line="254"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BLU-945 is a selective and potent investigational inhibitor of triple-mutant EGFR harboring either the activating L858R or exon 19 deletion mutations combined with the acquired T790M and C797S mutations, the most common on-target resistance to first-generation EGFR inhibitors and osimertinib, respectively.</w:t>
      </w:r>
    </w:p>
    <w:p>
      <w:pPr>
        <w:spacing w:after="0" w:line="217"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In preclinical data presented in September 2020, BLU-945 inhibited triple mutant EGFR with sub-nanomolar potency and demonstrated greater than 900-fold selectivity over wild-type EGFR along with excellent overall kinome selectivity. In a triple mutant EGFR cell-line, BLU-945 potently inhibited the EGFR pathway, while osimertinib demonstrated limited activity. BLU-945 monotherapy resulted in robust anti-tumor activity in multiple cell line-derived and patient-derived xenograft models of triple mutant EGFR NSCLC. In addition, BLU-945 treatment in combination with osimertinib or gefitinib resulted in tumor regression in a triple mutant EGFR NSCLC patient-derived xenograft model, which was derived from a patient with progressive disease following five lines of prior therapy. BLU-945 was also highly active in an intracranial disease model.</w:t>
      </w:r>
    </w:p>
    <w:p>
      <w:pPr>
        <w:spacing w:after="0" w:line="21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Based on these preclinical proof-of-concept data, we plan to initially develop BLU-945 as a monotherapy and in combination with other agents. We plan to initiate a Phase 1 trial of BLU-945 in patients with EGFR-driven NSCLC, in the first half of 2021.</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Fisogatinib — Hepatocellular Carcinoma</w:t>
      </w:r>
    </w:p>
    <w:p>
      <w:pPr>
        <w:spacing w:after="0" w:line="108"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As part of our collaboration with CStone, we are evaluating fisogatinib as a monotherapy and in combination with sugemalimab, a clinical-stage anti-PDL1 immunotherapy being developed by CStone, for the treatment of locally advanced or metastatic HCC in an</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ongoing Phase 1b/2 trial conducted in multiple clinical sites in China. The FDA has granted orphan drug designation to fisogatinib for the treatment of HCC.</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108" w:lineRule="exact"/>
        <w:rPr>
          <w:sz w:val="20"/>
          <w:szCs w:val="20"/>
          <w:color w:val="auto"/>
        </w:rPr>
      </w:pPr>
    </w:p>
    <w:p>
      <w:pPr>
        <w:jc w:val="both"/>
        <w:ind w:left="60" w:right="319" w:firstLine="648"/>
        <w:spacing w:after="0" w:line="250"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w:t>
      </w:r>
    </w:p>
    <w:p>
      <w:pPr>
        <w:spacing w:after="0" w:line="6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discovery programs for treatment-resistant EGFR-mutated NSCLC, we currently have the following wholly-owned discovery programs:</w:t>
      </w:r>
    </w:p>
    <w:p>
      <w:pPr>
        <w:spacing w:after="0" w:line="52" w:lineRule="exact"/>
        <w:rPr>
          <w:sz w:val="20"/>
          <w:szCs w:val="20"/>
          <w:color w:val="auto"/>
        </w:rPr>
      </w:pPr>
    </w:p>
    <w:p>
      <w:pPr>
        <w:ind w:left="1380" w:right="239" w:hanging="331"/>
        <w:spacing w:after="0" w:line="243"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CDK2 Discovery Program. </w:t>
      </w:r>
      <w:r>
        <w:rPr>
          <w:rFonts w:ascii="Times New Roman" w:cs="Times New Roman" w:eastAsia="Times New Roman" w:hAnsi="Times New Roman"/>
          <w:sz w:val="18"/>
          <w:szCs w:val="18"/>
          <w:color w:val="auto"/>
        </w:rPr>
        <w:t>In February 2021, we announced a discovery program targeting CDK2.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CDK2, a cyclin-dependent kinase involved in cell cycle biology, is activated by its regulatory partner Cyclin E, and can drive cancer cell proliferation when Cyclin E is aberrantly expressed. Dysregulated Cyclin E is associated with multiple malignancies and has been shown to be a mechanism of resistance to targeted therapies, including CDK4/6 inhibitors.</w:t>
      </w:r>
    </w:p>
    <w:p>
      <w:pPr>
        <w:spacing w:after="0" w:line="72" w:lineRule="exact"/>
        <w:rPr>
          <w:rFonts w:ascii="Times New Roman" w:cs="Times New Roman" w:eastAsia="Times New Roman" w:hAnsi="Times New Roman"/>
          <w:sz w:val="18"/>
          <w:szCs w:val="18"/>
          <w:color w:val="auto"/>
        </w:rPr>
      </w:pPr>
    </w:p>
    <w:p>
      <w:pPr>
        <w:ind w:left="1380" w:right="79" w:hanging="331"/>
        <w:spacing w:after="0" w:line="268" w:lineRule="auto"/>
        <w:tabs>
          <w:tab w:leader="none" w:pos="1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Discovery Programs. </w:t>
      </w:r>
      <w:r>
        <w:rPr>
          <w:rFonts w:ascii="Times New Roman" w:cs="Times New Roman" w:eastAsia="Times New Roman" w:hAnsi="Times New Roman"/>
          <w:sz w:val="18"/>
          <w:szCs w:val="18"/>
          <w:color w:val="auto"/>
        </w:rPr>
        <w:t>In addition to the discovery programs described above, we have two wholly-owned pre-development candidate programs for undisclosed kinase targets.</w:t>
      </w:r>
    </w:p>
    <w:p>
      <w:pPr>
        <w:spacing w:after="0" w:line="53" w:lineRule="exact"/>
        <w:rPr>
          <w:sz w:val="20"/>
          <w:szCs w:val="20"/>
          <w:color w:val="auto"/>
        </w:rPr>
      </w:pPr>
    </w:p>
    <w:p>
      <w:pPr>
        <w:ind w:left="60" w:right="399" w:firstLine="648"/>
        <w:spacing w:after="0" w:line="245" w:lineRule="auto"/>
        <w:rPr>
          <w:sz w:val="20"/>
          <w:szCs w:val="20"/>
          <w:color w:val="auto"/>
        </w:rPr>
      </w:pPr>
      <w:r>
        <w:rPr>
          <w:rFonts w:ascii="Times New Roman" w:cs="Times New Roman" w:eastAsia="Times New Roman" w:hAnsi="Times New Roman"/>
          <w:sz w:val="18"/>
          <w:szCs w:val="18"/>
          <w:color w:val="auto"/>
        </w:rPr>
        <w:t>Under our immunotherapy collaboration with Roche, we are conducting activities for up to two discovery programs, including a development candidate for the kinase target MAP4K1. 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below. We plan to present initial preclinical data for our MAP4K1 development candidate in the first 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 Summary</w:t>
      </w:r>
    </w:p>
    <w:p>
      <w:pPr>
        <w:spacing w:after="0" w:line="106" w:lineRule="exact"/>
        <w:rPr>
          <w:sz w:val="20"/>
          <w:szCs w:val="20"/>
          <w:color w:val="auto"/>
        </w:rPr>
      </w:pPr>
    </w:p>
    <w:p>
      <w:pPr>
        <w:ind w:left="60" w:right="2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Roche—Immunotherapy Collaboration</w:t>
      </w:r>
      <w:r>
        <w:rPr>
          <w:rFonts w:ascii="Times New Roman" w:cs="Times New Roman" w:eastAsia="Times New Roman" w:hAnsi="Times New Roman"/>
          <w:sz w:val="18"/>
          <w:szCs w:val="18"/>
          <w:color w:val="auto"/>
        </w:rPr>
        <w:t>. In March 2016, we entered into a collaboration with Roche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up to two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69" w:lineRule="exact"/>
        <w:rPr>
          <w:sz w:val="20"/>
          <w:szCs w:val="20"/>
          <w:color w:val="auto"/>
        </w:rPr>
      </w:pPr>
    </w:p>
    <w:p>
      <w:pPr>
        <w:ind w:left="60" w:right="279" w:firstLine="648"/>
        <w:spacing w:after="0"/>
        <w:rPr>
          <w:sz w:val="20"/>
          <w:szCs w:val="20"/>
          <w:color w:val="auto"/>
        </w:rPr>
      </w:pPr>
      <w:r>
        <w:rPr>
          <w:rFonts w:ascii="Times New Roman" w:cs="Times New Roman" w:eastAsia="Times New Roman" w:hAnsi="Times New Roman"/>
          <w:sz w:val="18"/>
          <w:szCs w:val="18"/>
          <w:i w:val="1"/>
          <w:iCs w:val="1"/>
          <w:color w:val="auto"/>
        </w:rPr>
        <w:t>Roche—Pralsetinib Collaboration</w:t>
      </w:r>
      <w:r>
        <w:rPr>
          <w:rFonts w:ascii="Times New Roman" w:cs="Times New Roman" w:eastAsia="Times New Roman" w:hAnsi="Times New Roman"/>
          <w:sz w:val="18"/>
          <w:szCs w:val="18"/>
          <w:color w:val="auto"/>
        </w:rPr>
        <w:t>. 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also plan to co-develop pralsetinib globally in RET-altered solid tumors, including NSCLC, MTC and other thyroid cancers, and expand development of pralsetinib in multiple treatment settings. Further, we and Roche plan to explore development of a next-generation RET inhibitor as part of the collaboration.</w:t>
      </w:r>
    </w:p>
    <w:p>
      <w:pPr>
        <w:spacing w:after="0" w:line="77" w:lineRule="exact"/>
        <w:rPr>
          <w:sz w:val="20"/>
          <w:szCs w:val="20"/>
          <w:color w:val="auto"/>
        </w:rPr>
      </w:pPr>
    </w:p>
    <w:p>
      <w:pPr>
        <w:ind w:left="60" w:right="43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CStone</w:t>
      </w:r>
      <w:r>
        <w:rPr>
          <w:rFonts w:ascii="Times New Roman" w:cs="Times New Roman" w:eastAsia="Times New Roman" w:hAnsi="Times New Roman"/>
          <w:sz w:val="18"/>
          <w:szCs w:val="18"/>
          <w:color w:val="auto"/>
        </w:rPr>
        <w:t>. 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including back-up forms and certain other forms, in the CStone territory either as a monotherapy or as part of a combination therapy.</w:t>
      </w:r>
    </w:p>
    <w:p>
      <w:pPr>
        <w:spacing w:after="0" w:line="66"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i w:val="1"/>
          <w:iCs w:val="1"/>
          <w:color w:val="auto"/>
        </w:rPr>
        <w:t>Clementia</w:t>
      </w:r>
      <w:r>
        <w:rPr>
          <w:rFonts w:ascii="Times New Roman" w:cs="Times New Roman" w:eastAsia="Times New Roman" w:hAnsi="Times New Roman"/>
          <w:sz w:val="18"/>
          <w:szCs w:val="18"/>
          <w:color w:val="auto"/>
        </w:rPr>
        <w:t>. In October 2019, we entered into a license agreement with Clementia Pharmaceuticals, Inc.,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79"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10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chart summarizes our pipeline of approved drugs and drug candidates as of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77470</wp:posOffset>
            </wp:positionV>
            <wp:extent cx="5417820" cy="1089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17820" cy="1089025"/>
                    </a:xfrm>
                    <a:prstGeom prst="rect">
                      <a:avLst/>
                    </a:prstGeom>
                    <a:noFill/>
                  </pic:spPr>
                </pic:pic>
              </a:graphicData>
            </a:graphic>
          </wp:anchor>
        </w:drawing>
      </w:r>
    </w:p>
    <w:p>
      <w:pPr>
        <w:spacing w:after="0" w:line="102" w:lineRule="exact"/>
        <w:rPr>
          <w:sz w:val="20"/>
          <w:szCs w:val="20"/>
          <w:color w:val="auto"/>
        </w:rPr>
      </w:pPr>
    </w:p>
    <w:tbl>
      <w:tblPr>
        <w:tblLayout w:type="fixed"/>
        <w:tblInd w:w="250" w:type="dxa"/>
        <w:tblCellMar>
          <w:top w:w="0" w:type="dxa"/>
          <w:left w:w="0" w:type="dxa"/>
          <w:bottom w:w="0" w:type="dxa"/>
          <w:right w:w="0" w:type="dxa"/>
        </w:tblCellMar>
      </w:tblPr>
      <w:tr>
        <w:trPr>
          <w:trHeight w:val="223"/>
        </w:trPr>
        <w:tc>
          <w:tcPr>
            <w:tcW w:w="1740" w:type="dxa"/>
            <w:vAlign w:val="bottom"/>
            <w:tcBorders>
              <w:left w:val="single" w:sz="8" w:color="55555A"/>
            </w:tcBorders>
            <w:vMerge w:val="restart"/>
            <w:shd w:val="clear" w:color="auto" w:fill="55555A"/>
          </w:tcPr>
          <w:p>
            <w:pPr>
              <w:ind w:left="120"/>
              <w:spacing w:after="0"/>
              <w:rPr>
                <w:sz w:val="20"/>
                <w:szCs w:val="20"/>
                <w:color w:val="auto"/>
              </w:rPr>
            </w:pPr>
            <w:r>
              <w:rPr>
                <w:rFonts w:ascii="Arial" w:cs="Arial" w:eastAsia="Arial" w:hAnsi="Arial"/>
                <w:sz w:val="16"/>
                <w:szCs w:val="16"/>
                <w:b w:val="1"/>
                <w:bCs w:val="1"/>
                <w:color w:val="FFFFFF"/>
              </w:rPr>
              <w:t>Program</w:t>
            </w:r>
          </w:p>
        </w:tc>
        <w:tc>
          <w:tcPr>
            <w:tcW w:w="1480" w:type="dxa"/>
            <w:vAlign w:val="bottom"/>
            <w:vMerge w:val="restart"/>
            <w:shd w:val="clear" w:color="auto" w:fill="55555A"/>
          </w:tcPr>
          <w:p>
            <w:pPr>
              <w:ind w:left="360"/>
              <w:spacing w:after="0"/>
              <w:rPr>
                <w:sz w:val="20"/>
                <w:szCs w:val="20"/>
                <w:color w:val="auto"/>
              </w:rPr>
            </w:pPr>
            <w:r>
              <w:rPr>
                <w:rFonts w:ascii="Arial" w:cs="Arial" w:eastAsia="Arial" w:hAnsi="Arial"/>
                <w:sz w:val="16"/>
                <w:szCs w:val="16"/>
                <w:b w:val="1"/>
                <w:bCs w:val="1"/>
                <w:color w:val="FFFFFF"/>
              </w:rPr>
              <w:t>Discovery</w:t>
            </w:r>
          </w:p>
        </w:tc>
        <w:tc>
          <w:tcPr>
            <w:tcW w:w="1340" w:type="dxa"/>
            <w:vAlign w:val="bottom"/>
            <w:shd w:val="clear" w:color="auto" w:fill="55555A"/>
          </w:tcPr>
          <w:p>
            <w:pPr>
              <w:jc w:val="center"/>
              <w:spacing w:after="0"/>
              <w:rPr>
                <w:sz w:val="20"/>
                <w:szCs w:val="20"/>
                <w:color w:val="auto"/>
              </w:rPr>
            </w:pPr>
            <w:r>
              <w:rPr>
                <w:rFonts w:ascii="Arial" w:cs="Arial" w:eastAsia="Arial" w:hAnsi="Arial"/>
                <w:sz w:val="16"/>
                <w:szCs w:val="16"/>
                <w:b w:val="1"/>
                <w:bCs w:val="1"/>
                <w:color w:val="FFFFFF"/>
                <w:w w:val="99"/>
              </w:rPr>
              <w:t>Early-Stage</w:t>
            </w:r>
          </w:p>
        </w:tc>
        <w:tc>
          <w:tcPr>
            <w:tcW w:w="1320" w:type="dxa"/>
            <w:vAlign w:val="bottom"/>
            <w:gridSpan w:val="2"/>
            <w:shd w:val="clear" w:color="auto" w:fill="55555A"/>
          </w:tcPr>
          <w:p>
            <w:pPr>
              <w:jc w:val="center"/>
              <w:spacing w:after="0"/>
              <w:rPr>
                <w:sz w:val="20"/>
                <w:szCs w:val="20"/>
                <w:color w:val="auto"/>
              </w:rPr>
            </w:pPr>
            <w:r>
              <w:rPr>
                <w:rFonts w:ascii="Arial" w:cs="Arial" w:eastAsia="Arial" w:hAnsi="Arial"/>
                <w:sz w:val="16"/>
                <w:szCs w:val="16"/>
                <w:b w:val="1"/>
                <w:bCs w:val="1"/>
                <w:color w:val="FFFFFF"/>
              </w:rPr>
              <w:t>Late-Stage</w:t>
            </w:r>
          </w:p>
        </w:tc>
        <w:tc>
          <w:tcPr>
            <w:tcW w:w="1320" w:type="dxa"/>
            <w:vAlign w:val="bottom"/>
            <w:shd w:val="clear" w:color="auto" w:fill="55555A"/>
          </w:tcPr>
          <w:p>
            <w:pPr>
              <w:jc w:val="center"/>
              <w:spacing w:after="0"/>
              <w:rPr>
                <w:sz w:val="20"/>
                <w:szCs w:val="20"/>
                <w:color w:val="auto"/>
              </w:rPr>
            </w:pPr>
            <w:r>
              <w:rPr>
                <w:rFonts w:ascii="Arial" w:cs="Arial" w:eastAsia="Arial" w:hAnsi="Arial"/>
                <w:sz w:val="16"/>
                <w:szCs w:val="16"/>
                <w:b w:val="1"/>
                <w:bCs w:val="1"/>
                <w:color w:val="FFFFFF"/>
              </w:rPr>
              <w:t>Regulatory</w:t>
            </w:r>
          </w:p>
        </w:tc>
        <w:tc>
          <w:tcPr>
            <w:tcW w:w="1320" w:type="dxa"/>
            <w:vAlign w:val="bottom"/>
            <w:tcBorders>
              <w:right w:val="single" w:sz="8" w:color="55555A"/>
            </w:tcBorders>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Approved</w:t>
            </w:r>
          </w:p>
        </w:tc>
        <w:tc>
          <w:tcPr>
            <w:tcW w:w="0" w:type="dxa"/>
            <w:vAlign w:val="bottom"/>
          </w:tcPr>
          <w:p>
            <w:pPr>
              <w:spacing w:after="0"/>
              <w:rPr>
                <w:sz w:val="1"/>
                <w:szCs w:val="1"/>
                <w:color w:val="auto"/>
              </w:rPr>
            </w:pPr>
          </w:p>
        </w:tc>
      </w:tr>
      <w:tr>
        <w:trPr>
          <w:trHeight w:val="134"/>
        </w:trPr>
        <w:tc>
          <w:tcPr>
            <w:tcW w:w="1740" w:type="dxa"/>
            <w:vAlign w:val="bottom"/>
            <w:tcBorders>
              <w:left w:val="single" w:sz="8" w:color="55555A"/>
            </w:tcBorders>
            <w:vMerge w:val="continue"/>
            <w:shd w:val="clear" w:color="auto" w:fill="55555A"/>
          </w:tcPr>
          <w:p>
            <w:pPr>
              <w:spacing w:after="0"/>
              <w:rPr>
                <w:sz w:val="11"/>
                <w:szCs w:val="11"/>
                <w:color w:val="auto"/>
              </w:rPr>
            </w:pPr>
          </w:p>
        </w:tc>
        <w:tc>
          <w:tcPr>
            <w:tcW w:w="1480" w:type="dxa"/>
            <w:vAlign w:val="bottom"/>
            <w:vMerge w:val="continue"/>
            <w:shd w:val="clear" w:color="auto" w:fill="55555A"/>
          </w:tcPr>
          <w:p>
            <w:pPr>
              <w:spacing w:after="0"/>
              <w:rPr>
                <w:sz w:val="11"/>
                <w:szCs w:val="11"/>
                <w:color w:val="auto"/>
              </w:rPr>
            </w:pPr>
          </w:p>
        </w:tc>
        <w:tc>
          <w:tcPr>
            <w:tcW w:w="1340" w:type="dxa"/>
            <w:vAlign w:val="bottom"/>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w w:val="99"/>
              </w:rPr>
              <w:t>Development</w:t>
            </w:r>
          </w:p>
        </w:tc>
        <w:tc>
          <w:tcPr>
            <w:tcW w:w="1320" w:type="dxa"/>
            <w:vAlign w:val="bottom"/>
            <w:gridSpan w:val="2"/>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Development</w:t>
            </w:r>
          </w:p>
        </w:tc>
        <w:tc>
          <w:tcPr>
            <w:tcW w:w="1320" w:type="dxa"/>
            <w:vAlign w:val="bottom"/>
            <w:vMerge w:val="restart"/>
            <w:shd w:val="clear" w:color="auto" w:fill="55555A"/>
          </w:tcPr>
          <w:p>
            <w:pPr>
              <w:jc w:val="center"/>
              <w:spacing w:after="0"/>
              <w:rPr>
                <w:sz w:val="20"/>
                <w:szCs w:val="20"/>
                <w:color w:val="auto"/>
              </w:rPr>
            </w:pPr>
            <w:r>
              <w:rPr>
                <w:rFonts w:ascii="Arial" w:cs="Arial" w:eastAsia="Arial" w:hAnsi="Arial"/>
                <w:sz w:val="16"/>
                <w:szCs w:val="16"/>
                <w:b w:val="1"/>
                <w:bCs w:val="1"/>
                <w:color w:val="FFFFFF"/>
              </w:rPr>
              <w:t>Submission</w:t>
            </w:r>
          </w:p>
        </w:tc>
        <w:tc>
          <w:tcPr>
            <w:tcW w:w="1320" w:type="dxa"/>
            <w:vAlign w:val="bottom"/>
            <w:tcBorders>
              <w:right w:val="single" w:sz="8" w:color="55555A"/>
            </w:tcBorders>
            <w:vMerge w:val="continue"/>
            <w:shd w:val="clear" w:color="auto" w:fill="55555A"/>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1740" w:type="dxa"/>
            <w:vAlign w:val="bottom"/>
            <w:tcBorders>
              <w:left w:val="single" w:sz="8" w:color="55555A"/>
            </w:tcBorders>
            <w:shd w:val="clear" w:color="auto" w:fill="55555A"/>
          </w:tcPr>
          <w:p>
            <w:pPr>
              <w:spacing w:after="0"/>
              <w:rPr>
                <w:sz w:val="8"/>
                <w:szCs w:val="8"/>
                <w:color w:val="auto"/>
              </w:rPr>
            </w:pPr>
          </w:p>
        </w:tc>
        <w:tc>
          <w:tcPr>
            <w:tcW w:w="1480" w:type="dxa"/>
            <w:vAlign w:val="bottom"/>
            <w:shd w:val="clear" w:color="auto" w:fill="55555A"/>
          </w:tcPr>
          <w:p>
            <w:pPr>
              <w:spacing w:after="0"/>
              <w:rPr>
                <w:sz w:val="8"/>
                <w:szCs w:val="8"/>
                <w:color w:val="auto"/>
              </w:rPr>
            </w:pPr>
          </w:p>
        </w:tc>
        <w:tc>
          <w:tcPr>
            <w:tcW w:w="1340" w:type="dxa"/>
            <w:vAlign w:val="bottom"/>
            <w:vMerge w:val="continue"/>
            <w:shd w:val="clear" w:color="auto" w:fill="55555A"/>
          </w:tcPr>
          <w:p>
            <w:pPr>
              <w:spacing w:after="0"/>
              <w:rPr>
                <w:sz w:val="8"/>
                <w:szCs w:val="8"/>
                <w:color w:val="auto"/>
              </w:rPr>
            </w:pPr>
          </w:p>
        </w:tc>
        <w:tc>
          <w:tcPr>
            <w:tcW w:w="1320" w:type="dxa"/>
            <w:vAlign w:val="bottom"/>
            <w:gridSpan w:val="2"/>
            <w:vMerge w:val="continue"/>
            <w:shd w:val="clear" w:color="auto" w:fill="55555A"/>
          </w:tcPr>
          <w:p>
            <w:pPr>
              <w:spacing w:after="0"/>
              <w:rPr>
                <w:sz w:val="8"/>
                <w:szCs w:val="8"/>
                <w:color w:val="auto"/>
              </w:rPr>
            </w:pPr>
          </w:p>
        </w:tc>
        <w:tc>
          <w:tcPr>
            <w:tcW w:w="1320" w:type="dxa"/>
            <w:vAlign w:val="bottom"/>
            <w:vMerge w:val="continue"/>
            <w:shd w:val="clear" w:color="auto" w:fill="55555A"/>
          </w:tcPr>
          <w:p>
            <w:pPr>
              <w:spacing w:after="0"/>
              <w:rPr>
                <w:sz w:val="8"/>
                <w:szCs w:val="8"/>
                <w:color w:val="auto"/>
              </w:rPr>
            </w:pPr>
          </w:p>
        </w:tc>
        <w:tc>
          <w:tcPr>
            <w:tcW w:w="1320" w:type="dxa"/>
            <w:vAlign w:val="bottom"/>
            <w:tcBorders>
              <w:right w:val="single" w:sz="8" w:color="55555A"/>
            </w:tcBorders>
            <w:shd w:val="clear" w:color="auto" w:fill="55555A"/>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740" w:type="dxa"/>
            <w:vAlign w:val="bottom"/>
            <w:tcBorders>
              <w:left w:val="single" w:sz="8" w:color="55555A"/>
            </w:tcBorders>
            <w:shd w:val="clear" w:color="auto" w:fill="55555A"/>
          </w:tcPr>
          <w:p>
            <w:pPr>
              <w:spacing w:after="0"/>
              <w:rPr>
                <w:sz w:val="5"/>
                <w:szCs w:val="5"/>
                <w:color w:val="auto"/>
              </w:rPr>
            </w:pPr>
          </w:p>
        </w:tc>
        <w:tc>
          <w:tcPr>
            <w:tcW w:w="1480" w:type="dxa"/>
            <w:vAlign w:val="bottom"/>
            <w:shd w:val="clear" w:color="auto" w:fill="55555A"/>
          </w:tcPr>
          <w:p>
            <w:pPr>
              <w:spacing w:after="0"/>
              <w:rPr>
                <w:sz w:val="5"/>
                <w:szCs w:val="5"/>
                <w:color w:val="auto"/>
              </w:rPr>
            </w:pPr>
          </w:p>
        </w:tc>
        <w:tc>
          <w:tcPr>
            <w:tcW w:w="1340" w:type="dxa"/>
            <w:vAlign w:val="bottom"/>
            <w:shd w:val="clear" w:color="auto" w:fill="55555A"/>
          </w:tcPr>
          <w:p>
            <w:pPr>
              <w:spacing w:after="0"/>
              <w:rPr>
                <w:sz w:val="5"/>
                <w:szCs w:val="5"/>
                <w:color w:val="auto"/>
              </w:rPr>
            </w:pPr>
          </w:p>
        </w:tc>
        <w:tc>
          <w:tcPr>
            <w:tcW w:w="660" w:type="dxa"/>
            <w:vAlign w:val="bottom"/>
            <w:shd w:val="clear" w:color="auto" w:fill="55555A"/>
          </w:tcPr>
          <w:p>
            <w:pPr>
              <w:spacing w:after="0"/>
              <w:rPr>
                <w:sz w:val="5"/>
                <w:szCs w:val="5"/>
                <w:color w:val="auto"/>
              </w:rPr>
            </w:pPr>
          </w:p>
        </w:tc>
        <w:tc>
          <w:tcPr>
            <w:tcW w:w="660" w:type="dxa"/>
            <w:vAlign w:val="bottom"/>
            <w:shd w:val="clear" w:color="auto" w:fill="55555A"/>
          </w:tcPr>
          <w:p>
            <w:pPr>
              <w:spacing w:after="0"/>
              <w:rPr>
                <w:sz w:val="5"/>
                <w:szCs w:val="5"/>
                <w:color w:val="auto"/>
              </w:rPr>
            </w:pPr>
          </w:p>
        </w:tc>
        <w:tc>
          <w:tcPr>
            <w:tcW w:w="1320" w:type="dxa"/>
            <w:vAlign w:val="bottom"/>
            <w:shd w:val="clear" w:color="auto" w:fill="55555A"/>
          </w:tcPr>
          <w:p>
            <w:pPr>
              <w:spacing w:after="0"/>
              <w:rPr>
                <w:sz w:val="5"/>
                <w:szCs w:val="5"/>
                <w:color w:val="auto"/>
              </w:rPr>
            </w:pPr>
          </w:p>
        </w:tc>
        <w:tc>
          <w:tcPr>
            <w:tcW w:w="1320" w:type="dxa"/>
            <w:vAlign w:val="bottom"/>
            <w:tcBorders>
              <w:right w:val="single" w:sz="8" w:color="55555A"/>
            </w:tcBorders>
            <w:shd w:val="clear" w:color="auto" w:fill="55555A"/>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174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AYVAKIT™</w:t>
            </w:r>
          </w:p>
        </w:tc>
        <w:tc>
          <w:tcPr>
            <w:tcW w:w="148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PDGFRA GIST</w:t>
            </w:r>
            <w:r>
              <w:rPr>
                <w:rFonts w:ascii="Times New Roman" w:cs="Times New Roman" w:eastAsia="Times New Roman" w:hAnsi="Times New Roman"/>
                <w:sz w:val="24"/>
                <w:szCs w:val="24"/>
                <w:color w:val="FFFFFF"/>
                <w:vertAlign w:val="superscript"/>
              </w:rPr>
              <w:t>1,2,3</w:t>
            </w:r>
          </w:p>
        </w:tc>
        <w:tc>
          <w:tcPr>
            <w:tcW w:w="1340" w:type="dxa"/>
            <w:vAlign w:val="bottom"/>
            <w:shd w:val="clear" w:color="auto" w:fill="006E96"/>
          </w:tcPr>
          <w:p>
            <w:pPr>
              <w:spacing w:after="0"/>
              <w:rPr>
                <w:sz w:val="24"/>
                <w:szCs w:val="24"/>
                <w:color w:val="auto"/>
              </w:rPr>
            </w:pPr>
          </w:p>
        </w:tc>
        <w:tc>
          <w:tcPr>
            <w:tcW w:w="660" w:type="dxa"/>
            <w:vAlign w:val="bottom"/>
            <w:shd w:val="clear" w:color="auto" w:fill="006E96"/>
          </w:tcPr>
          <w:p>
            <w:pPr>
              <w:spacing w:after="0"/>
              <w:rPr>
                <w:sz w:val="24"/>
                <w:szCs w:val="24"/>
                <w:color w:val="auto"/>
              </w:rPr>
            </w:pPr>
          </w:p>
        </w:tc>
        <w:tc>
          <w:tcPr>
            <w:tcW w:w="660" w:type="dxa"/>
            <w:vAlign w:val="bottom"/>
            <w:shd w:val="clear" w:color="auto" w:fill="006E96"/>
          </w:tcPr>
          <w:p>
            <w:pPr>
              <w:spacing w:after="0"/>
              <w:rPr>
                <w:sz w:val="24"/>
                <w:szCs w:val="24"/>
                <w:color w:val="auto"/>
              </w:rPr>
            </w:pPr>
          </w:p>
        </w:tc>
        <w:tc>
          <w:tcPr>
            <w:tcW w:w="1320" w:type="dxa"/>
            <w:vAlign w:val="bottom"/>
            <w:shd w:val="clear" w:color="auto" w:fill="006E96"/>
          </w:tcPr>
          <w:p>
            <w:pPr>
              <w:spacing w:after="0"/>
              <w:rPr>
                <w:sz w:val="24"/>
                <w:szCs w:val="24"/>
                <w:color w:val="auto"/>
              </w:rPr>
            </w:pPr>
          </w:p>
        </w:tc>
        <w:tc>
          <w:tcPr>
            <w:tcW w:w="1320" w:type="dxa"/>
            <w:vAlign w:val="bottom"/>
            <w:tcBorders>
              <w:right w:val="single" w:sz="8" w:color="55555A"/>
            </w:tcBorders>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U.S. / Europe</w:t>
            </w:r>
          </w:p>
        </w:tc>
        <w:tc>
          <w:tcPr>
            <w:tcW w:w="0" w:type="dxa"/>
            <w:vAlign w:val="bottom"/>
          </w:tcPr>
          <w:p>
            <w:pPr>
              <w:spacing w:after="0"/>
              <w:rPr>
                <w:sz w:val="1"/>
                <w:szCs w:val="1"/>
                <w:color w:val="auto"/>
              </w:rPr>
            </w:pPr>
          </w:p>
        </w:tc>
      </w:tr>
      <w:tr>
        <w:trPr>
          <w:trHeight w:val="79"/>
        </w:trPr>
        <w:tc>
          <w:tcPr>
            <w:tcW w:w="1740" w:type="dxa"/>
            <w:vAlign w:val="bottom"/>
            <w:tcBorders>
              <w:left w:val="single" w:sz="8" w:color="55555A"/>
            </w:tcBorders>
            <w:vMerge w:val="continue"/>
          </w:tcPr>
          <w:p>
            <w:pPr>
              <w:spacing w:after="0"/>
              <w:rPr>
                <w:sz w:val="6"/>
                <w:szCs w:val="6"/>
                <w:color w:val="auto"/>
              </w:rPr>
            </w:pPr>
          </w:p>
        </w:tc>
        <w:tc>
          <w:tcPr>
            <w:tcW w:w="1480" w:type="dxa"/>
            <w:vAlign w:val="bottom"/>
            <w:vMerge w:val="restart"/>
            <w:shd w:val="clear" w:color="auto" w:fill="006E96"/>
          </w:tcPr>
          <w:p>
            <w:pPr>
              <w:ind w:left="100"/>
              <w:spacing w:after="0" w:line="267" w:lineRule="exact"/>
              <w:rPr>
                <w:sz w:val="20"/>
                <w:szCs w:val="20"/>
                <w:color w:val="auto"/>
              </w:rPr>
            </w:pPr>
            <w:r>
              <w:rPr>
                <w:rFonts w:ascii="Times New Roman" w:cs="Times New Roman" w:eastAsia="Times New Roman" w:hAnsi="Times New Roman"/>
                <w:sz w:val="16"/>
                <w:szCs w:val="16"/>
                <w:color w:val="FFFFFF"/>
              </w:rPr>
              <w:t>Advanced SM</w:t>
            </w:r>
            <w:r>
              <w:rPr>
                <w:rFonts w:ascii="Times New Roman" w:cs="Times New Roman" w:eastAsia="Times New Roman" w:hAnsi="Times New Roman"/>
                <w:sz w:val="24"/>
                <w:szCs w:val="24"/>
                <w:color w:val="FFFFFF"/>
                <w:vertAlign w:val="superscript"/>
              </w:rPr>
              <w:t>2</w:t>
            </w:r>
          </w:p>
        </w:tc>
        <w:tc>
          <w:tcPr>
            <w:tcW w:w="1340" w:type="dxa"/>
            <w:vAlign w:val="bottom"/>
            <w:shd w:val="clear" w:color="auto" w:fill="006E96"/>
          </w:tcPr>
          <w:p>
            <w:pPr>
              <w:spacing w:after="0"/>
              <w:rPr>
                <w:sz w:val="6"/>
                <w:szCs w:val="6"/>
                <w:color w:val="auto"/>
              </w:rPr>
            </w:pPr>
          </w:p>
        </w:tc>
        <w:tc>
          <w:tcPr>
            <w:tcW w:w="660" w:type="dxa"/>
            <w:vAlign w:val="bottom"/>
            <w:shd w:val="clear" w:color="auto" w:fill="006E96"/>
          </w:tcPr>
          <w:p>
            <w:pPr>
              <w:spacing w:after="0"/>
              <w:rPr>
                <w:sz w:val="6"/>
                <w:szCs w:val="6"/>
                <w:color w:val="auto"/>
              </w:rPr>
            </w:pPr>
          </w:p>
        </w:tc>
        <w:tc>
          <w:tcPr>
            <w:tcW w:w="660" w:type="dxa"/>
            <w:vAlign w:val="bottom"/>
            <w:shd w:val="clear" w:color="auto" w:fill="006E96"/>
          </w:tcPr>
          <w:p>
            <w:pPr>
              <w:spacing w:after="0"/>
              <w:rPr>
                <w:sz w:val="6"/>
                <w:szCs w:val="6"/>
                <w:color w:val="auto"/>
              </w:rPr>
            </w:pPr>
          </w:p>
        </w:tc>
        <w:tc>
          <w:tcPr>
            <w:tcW w:w="1320" w:type="dxa"/>
            <w:vAlign w:val="bottom"/>
            <w:shd w:val="clear" w:color="auto" w:fill="006E96"/>
          </w:tcPr>
          <w:p>
            <w:pPr>
              <w:spacing w:after="0"/>
              <w:rPr>
                <w:sz w:val="6"/>
                <w:szCs w:val="6"/>
                <w:color w:val="auto"/>
              </w:rPr>
            </w:pPr>
          </w:p>
        </w:tc>
        <w:tc>
          <w:tcPr>
            <w:tcW w:w="1320" w:type="dxa"/>
            <w:vAlign w:val="bottom"/>
            <w:tcBorders>
              <w:right w:val="single" w:sz="8" w:color="55555A"/>
            </w:tcBorders>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(avapritinib)</w:t>
            </w:r>
          </w:p>
        </w:tc>
        <w:tc>
          <w:tcPr>
            <w:tcW w:w="1480" w:type="dxa"/>
            <w:vAlign w:val="bottom"/>
            <w:vMerge w:val="continue"/>
            <w:shd w:val="clear" w:color="auto" w:fill="006E96"/>
          </w:tcPr>
          <w:p>
            <w:pPr>
              <w:spacing w:after="0"/>
              <w:rPr>
                <w:sz w:val="16"/>
                <w:szCs w:val="16"/>
                <w:color w:val="auto"/>
              </w:rPr>
            </w:pPr>
          </w:p>
        </w:tc>
        <w:tc>
          <w:tcPr>
            <w:tcW w:w="1340" w:type="dxa"/>
            <w:vAlign w:val="bottom"/>
            <w:shd w:val="clear" w:color="auto" w:fill="006E96"/>
          </w:tcPr>
          <w:p>
            <w:pPr>
              <w:spacing w:after="0"/>
              <w:rPr>
                <w:sz w:val="16"/>
                <w:szCs w:val="16"/>
                <w:color w:val="auto"/>
              </w:rPr>
            </w:pPr>
          </w:p>
        </w:tc>
        <w:tc>
          <w:tcPr>
            <w:tcW w:w="660" w:type="dxa"/>
            <w:vAlign w:val="bottom"/>
            <w:shd w:val="clear" w:color="auto" w:fill="006E96"/>
          </w:tcPr>
          <w:p>
            <w:pPr>
              <w:spacing w:after="0"/>
              <w:rPr>
                <w:sz w:val="16"/>
                <w:szCs w:val="16"/>
                <w:color w:val="auto"/>
              </w:rPr>
            </w:pPr>
          </w:p>
        </w:tc>
        <w:tc>
          <w:tcPr>
            <w:tcW w:w="660" w:type="dxa"/>
            <w:vAlign w:val="bottom"/>
            <w:shd w:val="clear" w:color="auto" w:fill="006E96"/>
          </w:tcPr>
          <w:p>
            <w:pPr>
              <w:spacing w:after="0"/>
              <w:rPr>
                <w:sz w:val="16"/>
                <w:szCs w:val="16"/>
                <w:color w:val="auto"/>
              </w:rPr>
            </w:pPr>
          </w:p>
        </w:tc>
        <w:tc>
          <w:tcPr>
            <w:tcW w:w="1320" w:type="dxa"/>
            <w:vAlign w:val="bottom"/>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NDA / MAA</w:t>
            </w:r>
          </w:p>
        </w:tc>
        <w:tc>
          <w:tcPr>
            <w:tcW w:w="1320" w:type="dxa"/>
            <w:vAlign w:val="bottom"/>
            <w:tcBorders>
              <w:right w:val="single" w:sz="8" w:color="55555A"/>
            </w:tcBorders>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1740" w:type="dxa"/>
            <w:vAlign w:val="bottom"/>
            <w:tcBorders>
              <w:left w:val="single" w:sz="8" w:color="55555A"/>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(KIT and PDGFRA)</w:t>
            </w:r>
          </w:p>
        </w:tc>
        <w:tc>
          <w:tcPr>
            <w:tcW w:w="148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Non-advanced SM</w:t>
            </w:r>
            <w:r>
              <w:rPr>
                <w:rFonts w:ascii="Times New Roman" w:cs="Times New Roman" w:eastAsia="Times New Roman" w:hAnsi="Times New Roman"/>
                <w:sz w:val="24"/>
                <w:szCs w:val="24"/>
                <w:color w:val="FFFFFF"/>
                <w:vertAlign w:val="superscript"/>
              </w:rPr>
              <w:t>2</w:t>
            </w:r>
          </w:p>
        </w:tc>
        <w:tc>
          <w:tcPr>
            <w:tcW w:w="1340" w:type="dxa"/>
            <w:vAlign w:val="bottom"/>
            <w:shd w:val="clear" w:color="auto" w:fill="006E96"/>
          </w:tcPr>
          <w:p>
            <w:pPr>
              <w:spacing w:after="0"/>
              <w:rPr>
                <w:sz w:val="10"/>
                <w:szCs w:val="10"/>
                <w:color w:val="auto"/>
              </w:rPr>
            </w:pPr>
          </w:p>
        </w:tc>
        <w:tc>
          <w:tcPr>
            <w:tcW w:w="660" w:type="dxa"/>
            <w:vAlign w:val="bottom"/>
            <w:shd w:val="clear" w:color="auto" w:fill="006E96"/>
          </w:tcPr>
          <w:p>
            <w:pPr>
              <w:spacing w:after="0"/>
              <w:rPr>
                <w:sz w:val="10"/>
                <w:szCs w:val="10"/>
                <w:color w:val="auto"/>
              </w:rPr>
            </w:pPr>
          </w:p>
        </w:tc>
        <w:tc>
          <w:tcPr>
            <w:tcW w:w="660" w:type="dxa"/>
            <w:vAlign w:val="bottom"/>
            <w:shd w:val="clear" w:color="auto" w:fill="006E96"/>
          </w:tcPr>
          <w:p>
            <w:pPr>
              <w:spacing w:after="0"/>
              <w:rPr>
                <w:sz w:val="10"/>
                <w:szCs w:val="10"/>
                <w:color w:val="auto"/>
              </w:rPr>
            </w:pPr>
          </w:p>
        </w:tc>
        <w:tc>
          <w:tcPr>
            <w:tcW w:w="1320" w:type="dxa"/>
            <w:vAlign w:val="bottom"/>
            <w:shd w:val="clear" w:color="auto" w:fill="006E96"/>
          </w:tcPr>
          <w:p>
            <w:pPr>
              <w:spacing w:after="0"/>
              <w:rPr>
                <w:sz w:val="10"/>
                <w:szCs w:val="10"/>
                <w:color w:val="auto"/>
              </w:rPr>
            </w:pPr>
          </w:p>
        </w:tc>
        <w:tc>
          <w:tcPr>
            <w:tcW w:w="1320" w:type="dxa"/>
            <w:vAlign w:val="bottom"/>
            <w:tcBorders>
              <w:right w:val="single" w:sz="8" w:color="55555A"/>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740" w:type="dxa"/>
            <w:vAlign w:val="bottom"/>
            <w:tcBorders>
              <w:left w:val="single" w:sz="8" w:color="55555A"/>
            </w:tcBorders>
            <w:vMerge w:val="continue"/>
          </w:tcPr>
          <w:p>
            <w:pPr>
              <w:spacing w:after="0"/>
              <w:rPr>
                <w:sz w:val="7"/>
                <w:szCs w:val="7"/>
                <w:color w:val="auto"/>
              </w:rPr>
            </w:pPr>
          </w:p>
        </w:tc>
        <w:tc>
          <w:tcPr>
            <w:tcW w:w="1480" w:type="dxa"/>
            <w:vAlign w:val="bottom"/>
            <w:vMerge w:val="continue"/>
            <w:shd w:val="clear" w:color="auto" w:fill="006E96"/>
          </w:tcPr>
          <w:p>
            <w:pPr>
              <w:spacing w:after="0"/>
              <w:rPr>
                <w:sz w:val="7"/>
                <w:szCs w:val="7"/>
                <w:color w:val="auto"/>
              </w:rPr>
            </w:pPr>
          </w:p>
        </w:tc>
        <w:tc>
          <w:tcPr>
            <w:tcW w:w="1340" w:type="dxa"/>
            <w:vAlign w:val="bottom"/>
            <w:shd w:val="clear" w:color="auto" w:fill="006E96"/>
          </w:tcPr>
          <w:p>
            <w:pPr>
              <w:spacing w:after="0"/>
              <w:rPr>
                <w:sz w:val="7"/>
                <w:szCs w:val="7"/>
                <w:color w:val="auto"/>
              </w:rPr>
            </w:pPr>
          </w:p>
        </w:tc>
        <w:tc>
          <w:tcPr>
            <w:tcW w:w="660" w:type="dxa"/>
            <w:vAlign w:val="bottom"/>
            <w:shd w:val="clear" w:color="auto" w:fill="006E96"/>
          </w:tcPr>
          <w:p>
            <w:pPr>
              <w:spacing w:after="0"/>
              <w:rPr>
                <w:sz w:val="7"/>
                <w:szCs w:val="7"/>
                <w:color w:val="auto"/>
              </w:rPr>
            </w:pPr>
          </w:p>
        </w:tc>
        <w:tc>
          <w:tcPr>
            <w:tcW w:w="6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tcBorders>
              <w:right w:val="single" w:sz="8" w:color="55555A"/>
            </w:tcBorders>
          </w:tcPr>
          <w:p>
            <w:pPr>
              <w:spacing w:after="0"/>
              <w:rPr>
                <w:sz w:val="7"/>
                <w:szCs w:val="7"/>
                <w:color w:val="auto"/>
              </w:rPr>
            </w:pPr>
          </w:p>
        </w:tc>
        <w:tc>
          <w:tcPr>
            <w:tcW w:w="0" w:type="dxa"/>
            <w:vAlign w:val="bottom"/>
          </w:tcPr>
          <w:p>
            <w:pPr>
              <w:spacing w:after="0"/>
              <w:rPr>
                <w:sz w:val="1"/>
                <w:szCs w:val="1"/>
                <w:color w:val="auto"/>
              </w:rPr>
            </w:pPr>
          </w:p>
        </w:tc>
      </w:tr>
      <w:tr>
        <w:trPr>
          <w:trHeight w:val="303"/>
        </w:trPr>
        <w:tc>
          <w:tcPr>
            <w:tcW w:w="1740" w:type="dxa"/>
            <w:vAlign w:val="bottom"/>
            <w:tcBorders>
              <w:left w:val="single" w:sz="8" w:color="55555A"/>
            </w:tcBorders>
          </w:tcPr>
          <w:p>
            <w:pPr>
              <w:spacing w:after="0"/>
              <w:rPr>
                <w:sz w:val="24"/>
                <w:szCs w:val="24"/>
                <w:color w:val="auto"/>
              </w:rPr>
            </w:pPr>
          </w:p>
        </w:tc>
        <w:tc>
          <w:tcPr>
            <w:tcW w:w="1480" w:type="dxa"/>
            <w:vAlign w:val="bottom"/>
            <w:vMerge w:val="continue"/>
            <w:shd w:val="clear" w:color="auto" w:fill="006E96"/>
          </w:tcPr>
          <w:p>
            <w:pPr>
              <w:spacing w:after="0"/>
              <w:rPr>
                <w:sz w:val="24"/>
                <w:szCs w:val="24"/>
                <w:color w:val="auto"/>
              </w:rPr>
            </w:pPr>
          </w:p>
        </w:tc>
        <w:tc>
          <w:tcPr>
            <w:tcW w:w="1340" w:type="dxa"/>
            <w:vAlign w:val="bottom"/>
            <w:shd w:val="clear" w:color="auto" w:fill="006E96"/>
          </w:tcPr>
          <w:p>
            <w:pPr>
              <w:spacing w:after="0"/>
              <w:rPr>
                <w:sz w:val="24"/>
                <w:szCs w:val="24"/>
                <w:color w:val="auto"/>
              </w:rPr>
            </w:pPr>
          </w:p>
        </w:tc>
        <w:tc>
          <w:tcPr>
            <w:tcW w:w="660" w:type="dxa"/>
            <w:vAlign w:val="bottom"/>
            <w:shd w:val="clear" w:color="auto" w:fill="006E96"/>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740" w:type="dxa"/>
            <w:vAlign w:val="bottom"/>
            <w:tcBorders>
              <w:left w:val="single" w:sz="8" w:color="55555A"/>
            </w:tcBorders>
          </w:tcPr>
          <w:p>
            <w:pPr>
              <w:spacing w:after="0"/>
              <w:rPr>
                <w:sz w:val="24"/>
                <w:szCs w:val="24"/>
                <w:color w:val="auto"/>
              </w:rPr>
            </w:pPr>
          </w:p>
        </w:tc>
        <w:tc>
          <w:tcPr>
            <w:tcW w:w="148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w w:val="97"/>
              </w:rPr>
              <w:t>RET+ NSCLC</w:t>
            </w:r>
            <w:r>
              <w:rPr>
                <w:rFonts w:ascii="Times New Roman" w:cs="Times New Roman" w:eastAsia="Times New Roman" w:hAnsi="Times New Roman"/>
                <w:sz w:val="24"/>
                <w:szCs w:val="24"/>
                <w:color w:val="FFFFFF"/>
                <w:w w:val="97"/>
                <w:vertAlign w:val="superscript"/>
              </w:rPr>
              <w:t>1,2,4,5</w:t>
            </w:r>
          </w:p>
        </w:tc>
        <w:tc>
          <w:tcPr>
            <w:tcW w:w="1340" w:type="dxa"/>
            <w:vAlign w:val="bottom"/>
            <w:shd w:val="clear" w:color="auto" w:fill="006E96"/>
          </w:tcPr>
          <w:p>
            <w:pPr>
              <w:spacing w:after="0"/>
              <w:rPr>
                <w:sz w:val="24"/>
                <w:szCs w:val="24"/>
                <w:color w:val="auto"/>
              </w:rPr>
            </w:pPr>
          </w:p>
        </w:tc>
        <w:tc>
          <w:tcPr>
            <w:tcW w:w="660" w:type="dxa"/>
            <w:vAlign w:val="bottom"/>
            <w:shd w:val="clear" w:color="auto" w:fill="006E96"/>
          </w:tcPr>
          <w:p>
            <w:pPr>
              <w:spacing w:after="0"/>
              <w:rPr>
                <w:sz w:val="24"/>
                <w:szCs w:val="24"/>
                <w:color w:val="auto"/>
              </w:rPr>
            </w:pPr>
          </w:p>
        </w:tc>
        <w:tc>
          <w:tcPr>
            <w:tcW w:w="660" w:type="dxa"/>
            <w:vAlign w:val="bottom"/>
            <w:shd w:val="clear" w:color="auto" w:fill="006E96"/>
          </w:tcPr>
          <w:p>
            <w:pPr>
              <w:spacing w:after="0"/>
              <w:rPr>
                <w:sz w:val="24"/>
                <w:szCs w:val="24"/>
                <w:color w:val="auto"/>
              </w:rPr>
            </w:pPr>
          </w:p>
        </w:tc>
        <w:tc>
          <w:tcPr>
            <w:tcW w:w="1320" w:type="dxa"/>
            <w:vAlign w:val="bottom"/>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MAA</w:t>
            </w:r>
          </w:p>
        </w:tc>
        <w:tc>
          <w:tcPr>
            <w:tcW w:w="1320" w:type="dxa"/>
            <w:vAlign w:val="bottom"/>
            <w:tcBorders>
              <w:right w:val="single" w:sz="8" w:color="55555A"/>
            </w:tcBorders>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U.S.</w:t>
            </w:r>
          </w:p>
        </w:tc>
        <w:tc>
          <w:tcPr>
            <w:tcW w:w="0" w:type="dxa"/>
            <w:vAlign w:val="bottom"/>
          </w:tcPr>
          <w:p>
            <w:pPr>
              <w:spacing w:after="0"/>
              <w:rPr>
                <w:sz w:val="1"/>
                <w:szCs w:val="1"/>
                <w:color w:val="auto"/>
              </w:rPr>
            </w:pPr>
          </w:p>
        </w:tc>
      </w:tr>
      <w:tr>
        <w:trPr>
          <w:trHeight w:val="173"/>
        </w:trPr>
        <w:tc>
          <w:tcPr>
            <w:tcW w:w="1740" w:type="dxa"/>
            <w:vAlign w:val="bottom"/>
            <w:tcBorders>
              <w:left w:val="single" w:sz="8" w:color="55555A"/>
            </w:tcBorders>
          </w:tcPr>
          <w:p>
            <w:pPr>
              <w:ind w:left="120"/>
              <w:spacing w:after="0" w:line="173" w:lineRule="exact"/>
              <w:rPr>
                <w:sz w:val="20"/>
                <w:szCs w:val="20"/>
                <w:color w:val="auto"/>
              </w:rPr>
            </w:pPr>
            <w:r>
              <w:rPr>
                <w:rFonts w:ascii="Times New Roman" w:cs="Times New Roman" w:eastAsia="Times New Roman" w:hAnsi="Times New Roman"/>
                <w:sz w:val="16"/>
                <w:szCs w:val="16"/>
                <w:b w:val="1"/>
                <w:bCs w:val="1"/>
                <w:color w:val="auto"/>
              </w:rPr>
              <w:t>GAVRETO™</w:t>
            </w:r>
          </w:p>
        </w:tc>
        <w:tc>
          <w:tcPr>
            <w:tcW w:w="2820" w:type="dxa"/>
            <w:vAlign w:val="bottom"/>
            <w:gridSpan w:val="2"/>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RET+ thyroid cancer</w:t>
            </w:r>
            <w:r>
              <w:rPr>
                <w:rFonts w:ascii="Times New Roman" w:cs="Times New Roman" w:eastAsia="Times New Roman" w:hAnsi="Times New Roman"/>
                <w:sz w:val="24"/>
                <w:szCs w:val="24"/>
                <w:color w:val="FFFFFF"/>
                <w:vertAlign w:val="superscript"/>
              </w:rPr>
              <w:t>1,2,4,6</w:t>
            </w:r>
          </w:p>
        </w:tc>
        <w:tc>
          <w:tcPr>
            <w:tcW w:w="660" w:type="dxa"/>
            <w:vAlign w:val="bottom"/>
            <w:shd w:val="clear" w:color="auto" w:fill="006E96"/>
          </w:tcPr>
          <w:p>
            <w:pPr>
              <w:spacing w:after="0"/>
              <w:rPr>
                <w:sz w:val="15"/>
                <w:szCs w:val="15"/>
                <w:color w:val="auto"/>
              </w:rPr>
            </w:pPr>
          </w:p>
        </w:tc>
        <w:tc>
          <w:tcPr>
            <w:tcW w:w="660" w:type="dxa"/>
            <w:vAlign w:val="bottom"/>
            <w:shd w:val="clear" w:color="auto" w:fill="006E96"/>
          </w:tcPr>
          <w:p>
            <w:pPr>
              <w:spacing w:after="0"/>
              <w:rPr>
                <w:sz w:val="15"/>
                <w:szCs w:val="15"/>
                <w:color w:val="auto"/>
              </w:rPr>
            </w:pPr>
          </w:p>
        </w:tc>
        <w:tc>
          <w:tcPr>
            <w:tcW w:w="1320" w:type="dxa"/>
            <w:vAlign w:val="bottom"/>
            <w:vMerge w:val="restart"/>
            <w:shd w:val="clear" w:color="auto" w:fill="65A1B8"/>
          </w:tcPr>
          <w:p>
            <w:pPr>
              <w:jc w:val="center"/>
              <w:spacing w:after="0"/>
              <w:rPr>
                <w:sz w:val="20"/>
                <w:szCs w:val="20"/>
                <w:color w:val="auto"/>
              </w:rPr>
            </w:pPr>
            <w:r>
              <w:rPr>
                <w:rFonts w:ascii="Times New Roman" w:cs="Times New Roman" w:eastAsia="Times New Roman" w:hAnsi="Times New Roman"/>
                <w:sz w:val="16"/>
                <w:szCs w:val="16"/>
                <w:color w:val="FFFFFF"/>
              </w:rPr>
              <w:t>MAA</w:t>
            </w:r>
          </w:p>
        </w:tc>
        <w:tc>
          <w:tcPr>
            <w:tcW w:w="1320" w:type="dxa"/>
            <w:vAlign w:val="bottom"/>
            <w:tcBorders>
              <w:right w:val="single" w:sz="8" w:color="55555A"/>
            </w:tcBorders>
            <w:vMerge w:val="restart"/>
            <w:shd w:val="clear" w:color="auto" w:fill="006E96"/>
          </w:tcPr>
          <w:p>
            <w:pPr>
              <w:jc w:val="center"/>
              <w:spacing w:after="0"/>
              <w:rPr>
                <w:sz w:val="20"/>
                <w:szCs w:val="20"/>
                <w:color w:val="auto"/>
              </w:rPr>
            </w:pPr>
            <w:r>
              <w:rPr>
                <w:rFonts w:ascii="Times New Roman" w:cs="Times New Roman" w:eastAsia="Times New Roman" w:hAnsi="Times New Roman"/>
                <w:sz w:val="16"/>
                <w:szCs w:val="16"/>
                <w:color w:val="FFFFFF"/>
              </w:rPr>
              <w:t>U.S.</w:t>
            </w:r>
          </w:p>
        </w:tc>
        <w:tc>
          <w:tcPr>
            <w:tcW w:w="0" w:type="dxa"/>
            <w:vAlign w:val="bottom"/>
          </w:tcPr>
          <w:p>
            <w:pPr>
              <w:spacing w:after="0"/>
              <w:rPr>
                <w:sz w:val="1"/>
                <w:szCs w:val="1"/>
                <w:color w:val="auto"/>
              </w:rPr>
            </w:pPr>
          </w:p>
        </w:tc>
      </w:tr>
      <w:tr>
        <w:trPr>
          <w:trHeight w:val="198"/>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(pralsetinib) (RET)</w:t>
            </w:r>
          </w:p>
        </w:tc>
        <w:tc>
          <w:tcPr>
            <w:tcW w:w="2820" w:type="dxa"/>
            <w:vAlign w:val="bottom"/>
            <w:tcBorders>
              <w:bottom w:val="single" w:sz="8" w:color="006E96"/>
            </w:tcBorders>
            <w:gridSpan w:val="2"/>
            <w:vMerge w:val="continue"/>
            <w:shd w:val="clear" w:color="auto" w:fill="006E96"/>
          </w:tcPr>
          <w:p>
            <w:pPr>
              <w:spacing w:after="0"/>
              <w:rPr>
                <w:sz w:val="17"/>
                <w:szCs w:val="17"/>
                <w:color w:val="auto"/>
              </w:rPr>
            </w:pPr>
          </w:p>
        </w:tc>
        <w:tc>
          <w:tcPr>
            <w:tcW w:w="660" w:type="dxa"/>
            <w:vAlign w:val="bottom"/>
            <w:tcBorders>
              <w:bottom w:val="single" w:sz="8" w:color="006E96"/>
            </w:tcBorders>
            <w:shd w:val="clear" w:color="auto" w:fill="006E96"/>
          </w:tcPr>
          <w:p>
            <w:pPr>
              <w:spacing w:after="0"/>
              <w:rPr>
                <w:sz w:val="17"/>
                <w:szCs w:val="17"/>
                <w:color w:val="auto"/>
              </w:rPr>
            </w:pPr>
          </w:p>
        </w:tc>
        <w:tc>
          <w:tcPr>
            <w:tcW w:w="660" w:type="dxa"/>
            <w:vAlign w:val="bottom"/>
            <w:tcBorders>
              <w:bottom w:val="single" w:sz="8" w:color="006E96"/>
            </w:tcBorders>
            <w:shd w:val="clear" w:color="auto" w:fill="006E96"/>
          </w:tcPr>
          <w:p>
            <w:pPr>
              <w:spacing w:after="0"/>
              <w:rPr>
                <w:sz w:val="17"/>
                <w:szCs w:val="17"/>
                <w:color w:val="auto"/>
              </w:rPr>
            </w:pPr>
          </w:p>
        </w:tc>
        <w:tc>
          <w:tcPr>
            <w:tcW w:w="1320" w:type="dxa"/>
            <w:vAlign w:val="bottom"/>
            <w:tcBorders>
              <w:bottom w:val="single" w:sz="8" w:color="65A1B8"/>
            </w:tcBorders>
            <w:vMerge w:val="continue"/>
            <w:shd w:val="clear" w:color="auto" w:fill="65A1B8"/>
          </w:tcPr>
          <w:p>
            <w:pPr>
              <w:spacing w:after="0"/>
              <w:rPr>
                <w:sz w:val="17"/>
                <w:szCs w:val="17"/>
                <w:color w:val="auto"/>
              </w:rPr>
            </w:pPr>
          </w:p>
        </w:tc>
        <w:tc>
          <w:tcPr>
            <w:tcW w:w="1320" w:type="dxa"/>
            <w:vAlign w:val="bottom"/>
            <w:tcBorders>
              <w:bottom w:val="single" w:sz="8" w:color="006E96"/>
              <w:right w:val="single" w:sz="8" w:color="55555A"/>
            </w:tcBorders>
            <w:vMerge w:val="continue"/>
            <w:shd w:val="clear" w:color="auto" w:fill="006E96"/>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740" w:type="dxa"/>
            <w:vAlign w:val="bottom"/>
            <w:tcBorders>
              <w:left w:val="single" w:sz="8" w:color="55555A"/>
            </w:tcBorders>
          </w:tcPr>
          <w:p>
            <w:pPr>
              <w:spacing w:after="0"/>
              <w:rPr>
                <w:sz w:val="24"/>
                <w:szCs w:val="24"/>
                <w:color w:val="auto"/>
              </w:rPr>
            </w:pPr>
          </w:p>
        </w:tc>
        <w:tc>
          <w:tcPr>
            <w:tcW w:w="2820" w:type="dxa"/>
            <w:vAlign w:val="bottom"/>
            <w:gridSpan w:val="2"/>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Other RET-altered solid tumors</w:t>
            </w:r>
            <w:r>
              <w:rPr>
                <w:rFonts w:ascii="Times New Roman" w:cs="Times New Roman" w:eastAsia="Times New Roman" w:hAnsi="Times New Roman"/>
                <w:sz w:val="24"/>
                <w:szCs w:val="24"/>
                <w:color w:val="FFFFFF"/>
                <w:vertAlign w:val="superscript"/>
              </w:rPr>
              <w:t>1,2,4</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2820" w:type="dxa"/>
            <w:vAlign w:val="bottom"/>
            <w:gridSpan w:val="2"/>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Fisogatinib (FGFR4)</w:t>
            </w:r>
          </w:p>
        </w:tc>
        <w:tc>
          <w:tcPr>
            <w:tcW w:w="2820" w:type="dxa"/>
            <w:vAlign w:val="bottom"/>
            <w:gridSpan w:val="2"/>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Advanced HCC (+/- sugemalimab)</w:t>
            </w:r>
            <w:r>
              <w:rPr>
                <w:rFonts w:ascii="Times New Roman" w:cs="Times New Roman" w:eastAsia="Times New Roman" w:hAnsi="Times New Roman"/>
                <w:sz w:val="24"/>
                <w:szCs w:val="24"/>
                <w:color w:val="FFFFFF"/>
                <w:vertAlign w:val="superscript"/>
              </w:rPr>
              <w:t>2</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BLU-263 (KIT)</w:t>
            </w:r>
          </w:p>
        </w:tc>
        <w:tc>
          <w:tcPr>
            <w:tcW w:w="1480" w:type="dxa"/>
            <w:vAlign w:val="bottom"/>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Non-advanced SM</w:t>
            </w:r>
          </w:p>
        </w:tc>
        <w:tc>
          <w:tcPr>
            <w:tcW w:w="1340" w:type="dxa"/>
            <w:vAlign w:val="bottom"/>
            <w:shd w:val="clear" w:color="auto" w:fill="006E96"/>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740" w:type="dxa"/>
            <w:vAlign w:val="bottom"/>
            <w:tcBorders>
              <w:left w:val="single" w:sz="8" w:color="55555A"/>
            </w:tcBorders>
          </w:tcPr>
          <w:p>
            <w:pPr>
              <w:spacing w:after="0"/>
              <w:rPr>
                <w:sz w:val="8"/>
                <w:szCs w:val="8"/>
                <w:color w:val="auto"/>
              </w:rPr>
            </w:pPr>
          </w:p>
        </w:tc>
        <w:tc>
          <w:tcPr>
            <w:tcW w:w="1480" w:type="dxa"/>
            <w:vAlign w:val="bottom"/>
            <w:shd w:val="clear" w:color="auto" w:fill="006E96"/>
          </w:tcPr>
          <w:p>
            <w:pPr>
              <w:spacing w:after="0"/>
              <w:rPr>
                <w:sz w:val="8"/>
                <w:szCs w:val="8"/>
                <w:color w:val="auto"/>
              </w:rPr>
            </w:pPr>
          </w:p>
        </w:tc>
        <w:tc>
          <w:tcPr>
            <w:tcW w:w="1340" w:type="dxa"/>
            <w:vAlign w:val="bottom"/>
            <w:shd w:val="clear" w:color="auto" w:fill="006E96"/>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Borders>
              <w:right w:val="single" w:sz="8" w:color="55555A"/>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BLU-945</w:t>
            </w:r>
          </w:p>
        </w:tc>
        <w:tc>
          <w:tcPr>
            <w:tcW w:w="148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EGFR+ NSCLC</w:t>
            </w:r>
            <w:r>
              <w:rPr>
                <w:rFonts w:ascii="Times New Roman" w:cs="Times New Roman" w:eastAsia="Times New Roman" w:hAnsi="Times New Roman"/>
                <w:sz w:val="24"/>
                <w:szCs w:val="24"/>
                <w:color w:val="FFFFFF"/>
                <w:vertAlign w:val="superscript"/>
              </w:rPr>
              <w:t>1</w:t>
            </w:r>
          </w:p>
        </w:tc>
        <w:tc>
          <w:tcPr>
            <w:tcW w:w="1340" w:type="dxa"/>
            <w:vAlign w:val="bottom"/>
            <w:shd w:val="clear" w:color="auto" w:fill="65A1B8"/>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(EGFR+ triple</w:t>
            </w:r>
          </w:p>
        </w:tc>
        <w:tc>
          <w:tcPr>
            <w:tcW w:w="1480" w:type="dxa"/>
            <w:vAlign w:val="bottom"/>
            <w:vMerge w:val="continue"/>
            <w:shd w:val="clear" w:color="auto" w:fill="006E96"/>
          </w:tcPr>
          <w:p>
            <w:pPr>
              <w:spacing w:after="0"/>
              <w:rPr>
                <w:sz w:val="16"/>
                <w:szCs w:val="16"/>
                <w:color w:val="auto"/>
              </w:rPr>
            </w:pPr>
          </w:p>
        </w:tc>
        <w:tc>
          <w:tcPr>
            <w:tcW w:w="1340" w:type="dxa"/>
            <w:vAlign w:val="bottom"/>
            <w:shd w:val="clear" w:color="auto" w:fill="65A1B8"/>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Borders>
              <w:right w:val="single" w:sz="8" w:color="55555A"/>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mutant)</w:t>
            </w:r>
          </w:p>
        </w:tc>
        <w:tc>
          <w:tcPr>
            <w:tcW w:w="1480" w:type="dxa"/>
            <w:vAlign w:val="bottom"/>
            <w:shd w:val="clear" w:color="auto" w:fill="006E96"/>
          </w:tcPr>
          <w:p>
            <w:pPr>
              <w:spacing w:after="0"/>
              <w:rPr>
                <w:sz w:val="20"/>
                <w:szCs w:val="20"/>
                <w:color w:val="auto"/>
              </w:rPr>
            </w:pPr>
          </w:p>
        </w:tc>
        <w:tc>
          <w:tcPr>
            <w:tcW w:w="1340" w:type="dxa"/>
            <w:vAlign w:val="bottom"/>
            <w:shd w:val="clear" w:color="auto" w:fill="65A1B8"/>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Borders>
              <w:right w:val="single" w:sz="8" w:color="55555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BLU-701</w:t>
            </w:r>
          </w:p>
        </w:tc>
        <w:tc>
          <w:tcPr>
            <w:tcW w:w="1480" w:type="dxa"/>
            <w:vAlign w:val="bottom"/>
            <w:vMerge w:val="restart"/>
            <w:shd w:val="clear" w:color="auto" w:fill="006E96"/>
          </w:tcPr>
          <w:p>
            <w:pPr>
              <w:ind w:left="100"/>
              <w:spacing w:after="0"/>
              <w:rPr>
                <w:sz w:val="20"/>
                <w:szCs w:val="20"/>
                <w:color w:val="auto"/>
              </w:rPr>
            </w:pPr>
            <w:r>
              <w:rPr>
                <w:rFonts w:ascii="Times New Roman" w:cs="Times New Roman" w:eastAsia="Times New Roman" w:hAnsi="Times New Roman"/>
                <w:sz w:val="16"/>
                <w:szCs w:val="16"/>
                <w:color w:val="FFFFFF"/>
              </w:rPr>
              <w:t>EGFR+ NSCLC</w:t>
            </w:r>
            <w:r>
              <w:rPr>
                <w:rFonts w:ascii="Times New Roman" w:cs="Times New Roman" w:eastAsia="Times New Roman" w:hAnsi="Times New Roman"/>
                <w:sz w:val="24"/>
                <w:szCs w:val="24"/>
                <w:color w:val="FFFFFF"/>
                <w:vertAlign w:val="superscript"/>
              </w:rPr>
              <w:t>1</w:t>
            </w:r>
          </w:p>
        </w:tc>
        <w:tc>
          <w:tcPr>
            <w:tcW w:w="1340" w:type="dxa"/>
            <w:vAlign w:val="bottom"/>
            <w:shd w:val="clear" w:color="auto" w:fill="65A1B8"/>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(EGFR+ double</w:t>
            </w:r>
          </w:p>
        </w:tc>
        <w:tc>
          <w:tcPr>
            <w:tcW w:w="1480" w:type="dxa"/>
            <w:vAlign w:val="bottom"/>
            <w:vMerge w:val="continue"/>
            <w:shd w:val="clear" w:color="auto" w:fill="006E96"/>
          </w:tcPr>
          <w:p>
            <w:pPr>
              <w:spacing w:after="0"/>
              <w:rPr>
                <w:sz w:val="16"/>
                <w:szCs w:val="16"/>
                <w:color w:val="auto"/>
              </w:rPr>
            </w:pPr>
          </w:p>
        </w:tc>
        <w:tc>
          <w:tcPr>
            <w:tcW w:w="1340" w:type="dxa"/>
            <w:vAlign w:val="bottom"/>
            <w:shd w:val="clear" w:color="auto" w:fill="65A1B8"/>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20" w:type="dxa"/>
            <w:vAlign w:val="bottom"/>
            <w:tcBorders>
              <w:right w:val="single" w:sz="8" w:color="55555A"/>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mutant)</w:t>
            </w:r>
          </w:p>
        </w:tc>
        <w:tc>
          <w:tcPr>
            <w:tcW w:w="1480" w:type="dxa"/>
            <w:vAlign w:val="bottom"/>
            <w:shd w:val="clear" w:color="auto" w:fill="006E96"/>
          </w:tcPr>
          <w:p>
            <w:pPr>
              <w:spacing w:after="0"/>
              <w:rPr>
                <w:sz w:val="20"/>
                <w:szCs w:val="20"/>
                <w:color w:val="auto"/>
              </w:rPr>
            </w:pPr>
          </w:p>
        </w:tc>
        <w:tc>
          <w:tcPr>
            <w:tcW w:w="1340" w:type="dxa"/>
            <w:vAlign w:val="bottom"/>
            <w:shd w:val="clear" w:color="auto" w:fill="65A1B8"/>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Borders>
              <w:right w:val="single" w:sz="8" w:color="55555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(CDK2)</w:t>
            </w:r>
          </w:p>
        </w:tc>
        <w:tc>
          <w:tcPr>
            <w:tcW w:w="1480" w:type="dxa"/>
            <w:vAlign w:val="bottom"/>
            <w:shd w:val="clear" w:color="auto" w:fill="006E96"/>
          </w:tcPr>
          <w:p>
            <w:pPr>
              <w:spacing w:after="0"/>
              <w:rPr>
                <w:sz w:val="24"/>
                <w:szCs w:val="24"/>
                <w:color w:val="auto"/>
              </w:rPr>
            </w:pPr>
          </w:p>
        </w:tc>
        <w:tc>
          <w:tcPr>
            <w:tcW w:w="1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740" w:type="dxa"/>
            <w:vAlign w:val="bottom"/>
            <w:tcBorders>
              <w:left w:val="single" w:sz="8" w:color="55555A"/>
            </w:tcBorders>
          </w:tcPr>
          <w:p>
            <w:pPr>
              <w:spacing w:after="0"/>
              <w:rPr>
                <w:sz w:val="8"/>
                <w:szCs w:val="8"/>
                <w:color w:val="auto"/>
              </w:rPr>
            </w:pPr>
          </w:p>
        </w:tc>
        <w:tc>
          <w:tcPr>
            <w:tcW w:w="1480" w:type="dxa"/>
            <w:vAlign w:val="bottom"/>
            <w:shd w:val="clear" w:color="auto" w:fill="006E96"/>
          </w:tcPr>
          <w:p>
            <w:pPr>
              <w:spacing w:after="0"/>
              <w:rPr>
                <w:sz w:val="8"/>
                <w:szCs w:val="8"/>
                <w:color w:val="auto"/>
              </w:rPr>
            </w:pPr>
          </w:p>
        </w:tc>
        <w:tc>
          <w:tcPr>
            <w:tcW w:w="1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320" w:type="dxa"/>
            <w:vAlign w:val="bottom"/>
            <w:tcBorders>
              <w:right w:val="single" w:sz="8" w:color="55555A"/>
            </w:tcBorders>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(MAP4K1)</w:t>
            </w:r>
            <w:r>
              <w:rPr>
                <w:rFonts w:ascii="Times New Roman" w:cs="Times New Roman" w:eastAsia="Times New Roman" w:hAnsi="Times New Roman"/>
                <w:sz w:val="24"/>
                <w:szCs w:val="24"/>
                <w:b w:val="1"/>
                <w:bCs w:val="1"/>
                <w:color w:val="auto"/>
                <w:vertAlign w:val="superscript"/>
              </w:rPr>
              <w:t>7</w:t>
            </w:r>
          </w:p>
        </w:tc>
        <w:tc>
          <w:tcPr>
            <w:tcW w:w="1480" w:type="dxa"/>
            <w:vAlign w:val="bottom"/>
            <w:shd w:val="clear" w:color="auto" w:fill="006E96"/>
          </w:tcPr>
          <w:p>
            <w:pPr>
              <w:spacing w:after="0"/>
              <w:rPr>
                <w:sz w:val="24"/>
                <w:szCs w:val="24"/>
                <w:color w:val="auto"/>
              </w:rPr>
            </w:pPr>
          </w:p>
        </w:tc>
        <w:tc>
          <w:tcPr>
            <w:tcW w:w="1340" w:type="dxa"/>
            <w:vAlign w:val="bottom"/>
            <w:shd w:val="clear" w:color="auto" w:fill="65A1B8"/>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20" w:type="dxa"/>
            <w:vAlign w:val="bottom"/>
            <w:tcBorders>
              <w:right w:val="single" w:sz="8" w:color="55555A"/>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 undisclosed</w:t>
            </w:r>
          </w:p>
        </w:tc>
        <w:tc>
          <w:tcPr>
            <w:tcW w:w="1480" w:type="dxa"/>
            <w:vAlign w:val="bottom"/>
            <w:shd w:val="clear" w:color="auto" w:fill="006E96"/>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targets)</w:t>
            </w:r>
          </w:p>
        </w:tc>
        <w:tc>
          <w:tcPr>
            <w:tcW w:w="1480" w:type="dxa"/>
            <w:vAlign w:val="bottom"/>
            <w:shd w:val="clear" w:color="auto" w:fill="006E96"/>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20" w:type="dxa"/>
            <w:vAlign w:val="bottom"/>
            <w:tcBorders>
              <w:right w:val="single" w:sz="8" w:color="55555A"/>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left w:val="single" w:sz="8" w:color="55555A"/>
            </w:tcBorders>
            <w:shd w:val="clear" w:color="auto" w:fill="DDD9D3"/>
          </w:tcPr>
          <w:p>
            <w:pPr>
              <w:spacing w:after="0"/>
              <w:rPr>
                <w:sz w:val="21"/>
                <w:szCs w:val="21"/>
                <w:color w:val="auto"/>
              </w:rPr>
            </w:pPr>
          </w:p>
        </w:tc>
        <w:tc>
          <w:tcPr>
            <w:tcW w:w="1480" w:type="dxa"/>
            <w:vAlign w:val="bottom"/>
            <w:shd w:val="clear" w:color="auto" w:fill="DDD9D3"/>
          </w:tcPr>
          <w:p>
            <w:pPr>
              <w:spacing w:after="0"/>
              <w:rPr>
                <w:sz w:val="21"/>
                <w:szCs w:val="21"/>
                <w:color w:val="auto"/>
              </w:rPr>
            </w:pPr>
          </w:p>
        </w:tc>
        <w:tc>
          <w:tcPr>
            <w:tcW w:w="134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660" w:type="dxa"/>
            <w:vAlign w:val="bottom"/>
            <w:shd w:val="clear" w:color="auto" w:fill="DDD9D3"/>
          </w:tcPr>
          <w:p>
            <w:pPr>
              <w:spacing w:after="0"/>
              <w:rPr>
                <w:sz w:val="21"/>
                <w:szCs w:val="21"/>
                <w:color w:val="auto"/>
              </w:rPr>
            </w:pPr>
          </w:p>
        </w:tc>
        <w:tc>
          <w:tcPr>
            <w:tcW w:w="1320" w:type="dxa"/>
            <w:vAlign w:val="bottom"/>
            <w:shd w:val="clear" w:color="auto" w:fill="DDD9D3"/>
          </w:tcPr>
          <w:p>
            <w:pPr>
              <w:spacing w:after="0"/>
              <w:rPr>
                <w:sz w:val="21"/>
                <w:szCs w:val="21"/>
                <w:color w:val="auto"/>
              </w:rPr>
            </w:pPr>
          </w:p>
        </w:tc>
        <w:tc>
          <w:tcPr>
            <w:tcW w:w="1320" w:type="dxa"/>
            <w:vAlign w:val="bottom"/>
            <w:tcBorders>
              <w:right w:val="single" w:sz="8" w:color="55555A"/>
            </w:tcBorders>
            <w:shd w:val="clear" w:color="auto" w:fill="DDD9D3"/>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740" w:type="dxa"/>
            <w:vAlign w:val="bottom"/>
            <w:tcBorders>
              <w:left w:val="single" w:sz="8" w:color="55555A"/>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(1 undisclosed</w:t>
            </w:r>
          </w:p>
        </w:tc>
        <w:tc>
          <w:tcPr>
            <w:tcW w:w="1480" w:type="dxa"/>
            <w:vAlign w:val="bottom"/>
            <w:shd w:val="clear" w:color="auto" w:fill="006E96"/>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20" w:type="dxa"/>
            <w:vAlign w:val="bottom"/>
            <w:tcBorders>
              <w:right w:val="single" w:sz="8" w:color="55555A"/>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55555A"/>
            </w:tcBorders>
          </w:tcPr>
          <w:p>
            <w:pPr>
              <w:ind w:left="120"/>
              <w:spacing w:after="0" w:line="175" w:lineRule="exact"/>
              <w:rPr>
                <w:sz w:val="20"/>
                <w:szCs w:val="20"/>
                <w:color w:val="auto"/>
              </w:rPr>
            </w:pPr>
            <w:r>
              <w:rPr>
                <w:rFonts w:ascii="Times New Roman" w:cs="Times New Roman" w:eastAsia="Times New Roman" w:hAnsi="Times New Roman"/>
                <w:sz w:val="16"/>
                <w:szCs w:val="16"/>
                <w:b w:val="1"/>
                <w:bCs w:val="1"/>
                <w:color w:val="auto"/>
              </w:rPr>
              <w:t>immunokinase</w:t>
            </w:r>
          </w:p>
        </w:tc>
        <w:tc>
          <w:tcPr>
            <w:tcW w:w="1480" w:type="dxa"/>
            <w:vAlign w:val="bottom"/>
            <w:shd w:val="clear" w:color="auto" w:fill="006E96"/>
          </w:tcPr>
          <w:p>
            <w:pPr>
              <w:spacing w:after="0"/>
              <w:rPr>
                <w:sz w:val="15"/>
                <w:szCs w:val="15"/>
                <w:color w:val="auto"/>
              </w:rPr>
            </w:pPr>
          </w:p>
        </w:tc>
        <w:tc>
          <w:tcPr>
            <w:tcW w:w="13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20" w:type="dxa"/>
            <w:vAlign w:val="bottom"/>
            <w:tcBorders>
              <w:right w:val="single" w:sz="8" w:color="55555A"/>
            </w:tcBorders>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1740" w:type="dxa"/>
            <w:vAlign w:val="bottom"/>
            <w:tcBorders>
              <w:left w:val="single" w:sz="8" w:color="55555A"/>
            </w:tcBorders>
          </w:tcPr>
          <w:p>
            <w:pPr>
              <w:ind w:left="120"/>
              <w:spacing w:after="0" w:line="219" w:lineRule="exact"/>
              <w:rPr>
                <w:sz w:val="20"/>
                <w:szCs w:val="20"/>
                <w:color w:val="auto"/>
              </w:rPr>
            </w:pPr>
            <w:r>
              <w:rPr>
                <w:rFonts w:ascii="Times New Roman" w:cs="Times New Roman" w:eastAsia="Times New Roman" w:hAnsi="Times New Roman"/>
                <w:sz w:val="16"/>
                <w:szCs w:val="16"/>
                <w:b w:val="1"/>
                <w:bCs w:val="1"/>
                <w:color w:val="auto"/>
              </w:rPr>
              <w:t>target)</w:t>
            </w:r>
            <w:r>
              <w:rPr>
                <w:rFonts w:ascii="Times New Roman" w:cs="Times New Roman" w:eastAsia="Times New Roman" w:hAnsi="Times New Roman"/>
                <w:sz w:val="24"/>
                <w:szCs w:val="24"/>
                <w:b w:val="1"/>
                <w:bCs w:val="1"/>
                <w:color w:val="auto"/>
                <w:vertAlign w:val="superscript"/>
              </w:rPr>
              <w:t>7</w:t>
            </w:r>
          </w:p>
        </w:tc>
        <w:tc>
          <w:tcPr>
            <w:tcW w:w="1480" w:type="dxa"/>
            <w:vAlign w:val="bottom"/>
            <w:tcBorders>
              <w:bottom w:val="single" w:sz="8" w:color="006E96"/>
            </w:tcBorders>
            <w:shd w:val="clear" w:color="auto" w:fill="006E96"/>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20" w:type="dxa"/>
            <w:vAlign w:val="bottom"/>
            <w:tcBorders>
              <w:right w:val="single" w:sz="8" w:color="55555A"/>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55555A"/>
            </w:tcBorders>
            <w:shd w:val="clear" w:color="auto" w:fill="55555A"/>
          </w:tcPr>
          <w:p>
            <w:pPr>
              <w:spacing w:after="0"/>
              <w:rPr>
                <w:sz w:val="18"/>
                <w:szCs w:val="18"/>
                <w:color w:val="auto"/>
              </w:rPr>
            </w:pPr>
          </w:p>
        </w:tc>
        <w:tc>
          <w:tcPr>
            <w:tcW w:w="1480" w:type="dxa"/>
            <w:vAlign w:val="bottom"/>
            <w:shd w:val="clear" w:color="auto" w:fill="55555A"/>
          </w:tcPr>
          <w:p>
            <w:pPr>
              <w:spacing w:after="0"/>
              <w:rPr>
                <w:sz w:val="18"/>
                <w:szCs w:val="18"/>
                <w:color w:val="auto"/>
              </w:rPr>
            </w:pPr>
          </w:p>
        </w:tc>
        <w:tc>
          <w:tcPr>
            <w:tcW w:w="1340" w:type="dxa"/>
            <w:vAlign w:val="bottom"/>
            <w:shd w:val="clear" w:color="auto" w:fill="55555A"/>
          </w:tcPr>
          <w:p>
            <w:pPr>
              <w:spacing w:after="0"/>
              <w:rPr>
                <w:sz w:val="18"/>
                <w:szCs w:val="18"/>
                <w:color w:val="auto"/>
              </w:rPr>
            </w:pPr>
          </w:p>
        </w:tc>
        <w:tc>
          <w:tcPr>
            <w:tcW w:w="660" w:type="dxa"/>
            <w:vAlign w:val="bottom"/>
            <w:shd w:val="clear" w:color="auto" w:fill="55555A"/>
          </w:tcPr>
          <w:p>
            <w:pPr>
              <w:spacing w:after="0"/>
              <w:rPr>
                <w:sz w:val="18"/>
                <w:szCs w:val="18"/>
                <w:color w:val="auto"/>
              </w:rPr>
            </w:pPr>
          </w:p>
        </w:tc>
        <w:tc>
          <w:tcPr>
            <w:tcW w:w="660" w:type="dxa"/>
            <w:vAlign w:val="bottom"/>
            <w:shd w:val="clear" w:color="auto" w:fill="55555A"/>
          </w:tcPr>
          <w:p>
            <w:pPr>
              <w:spacing w:after="0"/>
              <w:rPr>
                <w:sz w:val="18"/>
                <w:szCs w:val="18"/>
                <w:color w:val="auto"/>
              </w:rPr>
            </w:pPr>
          </w:p>
        </w:tc>
        <w:tc>
          <w:tcPr>
            <w:tcW w:w="1320" w:type="dxa"/>
            <w:vAlign w:val="bottom"/>
            <w:shd w:val="clear" w:color="auto" w:fill="55555A"/>
          </w:tcPr>
          <w:p>
            <w:pPr>
              <w:spacing w:after="0"/>
              <w:rPr>
                <w:sz w:val="18"/>
                <w:szCs w:val="18"/>
                <w:color w:val="auto"/>
              </w:rPr>
            </w:pPr>
          </w:p>
        </w:tc>
        <w:tc>
          <w:tcPr>
            <w:tcW w:w="1320" w:type="dxa"/>
            <w:vAlign w:val="bottom"/>
            <w:tcBorders>
              <w:right w:val="single" w:sz="8" w:color="55555A"/>
            </w:tcBorders>
            <w:shd w:val="clear" w:color="auto" w:fill="55555A"/>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-153670</wp:posOffset>
            </wp:positionV>
            <wp:extent cx="54178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-548005</wp:posOffset>
            </wp:positionV>
            <wp:extent cx="54178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-702310</wp:posOffset>
            </wp:positionV>
            <wp:extent cx="54178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-976630</wp:posOffset>
            </wp:positionV>
            <wp:extent cx="54178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-1379220</wp:posOffset>
            </wp:positionV>
            <wp:extent cx="5417820" cy="283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17820" cy="28321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-1533525</wp:posOffset>
            </wp:positionV>
            <wp:extent cx="54178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-1782445</wp:posOffset>
            </wp:positionV>
            <wp:extent cx="54178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-2331085</wp:posOffset>
            </wp:positionV>
            <wp:extent cx="5417820" cy="428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17820" cy="42862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-2879725</wp:posOffset>
            </wp:positionV>
            <wp:extent cx="5417820" cy="4286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17820" cy="42862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-3282315</wp:posOffset>
            </wp:positionV>
            <wp:extent cx="5417820" cy="282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17820" cy="282575"/>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-3436620</wp:posOffset>
            </wp:positionV>
            <wp:extent cx="54178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-3685540</wp:posOffset>
            </wp:positionV>
            <wp:extent cx="54178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-3839845</wp:posOffset>
            </wp:positionV>
            <wp:extent cx="54178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17820" cy="342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-4585335</wp:posOffset>
            </wp:positionV>
            <wp:extent cx="5417820" cy="531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417820" cy="531495"/>
                    </a:xfrm>
                    <a:prstGeom prst="rect">
                      <a:avLst/>
                    </a:prstGeom>
                    <a:noFill/>
                  </pic:spPr>
                </pic:pic>
              </a:graphicData>
            </a:graphic>
          </wp:anchor>
        </w:drawing>
        <w:drawing>
          <wp:anchor simplePos="0" relativeHeight="251657728" behindDoc="1" locked="0" layoutInCell="0" allowOverlap="1">
            <wp:simplePos x="0" y="0"/>
            <wp:positionH relativeFrom="column">
              <wp:posOffset>116840</wp:posOffset>
            </wp:positionH>
            <wp:positionV relativeFrom="paragraph">
              <wp:posOffset>76835</wp:posOffset>
            </wp:positionV>
            <wp:extent cx="2734310" cy="360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431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Unresectable or metastatic disease.</w:t>
      </w:r>
    </w:p>
    <w:p>
      <w:pPr>
        <w:spacing w:after="0" w:line="13" w:lineRule="exact"/>
        <w:rPr>
          <w:rFonts w:ascii="Times New Roman" w:cs="Times New Roman" w:eastAsia="Times New Roman" w:hAnsi="Times New Roman"/>
          <w:sz w:val="13"/>
          <w:szCs w:val="13"/>
          <w:color w:val="auto"/>
        </w:rPr>
      </w:pPr>
    </w:p>
    <w:p>
      <w:pPr>
        <w:ind w:left="720" w:right="199" w:hanging="319"/>
        <w:spacing w:after="0" w:line="238" w:lineRule="auto"/>
        <w:tabs>
          <w:tab w:leader="none" w:pos="7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CStone has exclusive rights to develop and commercialize avapritinib, pralsetinib and fisogatinib in Mainland China, Hong Kong, Macau and Taiwan, which we refer to as the CStone territory. For more information, see “—Collaborations and Licenses” below.</w:t>
      </w:r>
    </w:p>
    <w:p>
      <w:pPr>
        <w:ind w:left="720" w:right="119" w:hanging="319"/>
        <w:spacing w:after="0" w:line="238" w:lineRule="auto"/>
        <w:tabs>
          <w:tab w:leader="none" w:pos="7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Approved in the U.S. for the treatment of adults with unresectable or metastatic GIST harboring a PDGFRA exon 18 mutation, including PDGFRA D842V mutations. Received conditional marketing authorization in Europe under the brand name AVYAKYT® for the treatment of adults with unresectable or metastatic GIST harboring the PDGFRA D842V mutation.</w:t>
      </w:r>
    </w:p>
    <w:p>
      <w:pPr>
        <w:ind w:left="720" w:right="299" w:hanging="319"/>
        <w:spacing w:after="0" w:line="239" w:lineRule="auto"/>
        <w:tabs>
          <w:tab w:leader="none" w:pos="7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Roche has exclusive rights to develop and commercialize pralsetinib worldwide, excluding the U.S. and the CStone territory. We and Roche have co-exclusive rights to develop and commercialize pralsetinib in the U.S. For more information, see “—Collaborations and Licenses” below.</w:t>
      </w:r>
    </w:p>
    <w:p>
      <w:pPr>
        <w:sectPr>
          <w:pgSz w:w="11900" w:h="16838" w:orient="portrait"/>
          <w:cols w:equalWidth="0" w:num="1">
            <w:col w:w="9019"/>
          </w:cols>
          <w:pgMar w:left="1440" w:top="513" w:right="1440"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20" w:right="259" w:hanging="319"/>
        <w:spacing w:after="0" w:line="245" w:lineRule="auto"/>
        <w:tabs>
          <w:tab w:leader="none" w:pos="7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Received accelerated approval in the U.S. for the treatment of adults with metastatic RET fusion-positive NSCLC. Continued approval may be contingent on a confirmatory trial. The proposed indication for the MAA is locally advanced or metastatic RET fusion-positive NSCLC previously treated with platinum-based chemotherapy.</w:t>
      </w:r>
    </w:p>
    <w:p>
      <w:pPr>
        <w:spacing w:after="0" w:line="1" w:lineRule="exact"/>
        <w:rPr>
          <w:rFonts w:ascii="Times New Roman" w:cs="Times New Roman" w:eastAsia="Times New Roman" w:hAnsi="Times New Roman"/>
          <w:sz w:val="13"/>
          <w:szCs w:val="13"/>
          <w:color w:val="auto"/>
        </w:rPr>
      </w:pPr>
    </w:p>
    <w:p>
      <w:pPr>
        <w:ind w:left="720" w:right="99" w:hanging="319"/>
        <w:spacing w:after="0" w:line="238" w:lineRule="auto"/>
        <w:tabs>
          <w:tab w:leader="none" w:pos="7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Received accelerated approval in the U.S. for the treatment of patients with advanced or metastatic RET-mutant medullary thyroid cancer and RET fusion-positive thyroid cancer. Continued approval may be contingent on confirmatory trials.</w:t>
      </w:r>
    </w:p>
    <w:p>
      <w:pPr>
        <w:ind w:left="720" w:right="239" w:hanging="319"/>
        <w:spacing w:after="0" w:line="268" w:lineRule="auto"/>
        <w:tabs>
          <w:tab w:leader="none" w:pos="7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For one of the programs, Roche will receive exclusive worldwide commercialization rights and (ii) for the other program, we will retain commercialization rights in the U.S. and Roche will receive commercialization rights outside of the U.S. if Roche exercises its option. We retain worldwide rights to any programs for which Roche elects not to exercise its applicable option. For more information, see “—Collaborations and Licenses” below.</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56"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As a fully-integrated, global precision therapy company focused on discovering, developing and commercializing a portfolio of precision therapies, our vision is to bring life-changing precision therapies to as many patients with cancer and hematologic disorders as possible. To achieve this goal, key elements of our strategy are as follows:</w:t>
      </w:r>
    </w:p>
    <w:p>
      <w:pPr>
        <w:spacing w:after="0" w:line="186" w:lineRule="exact"/>
        <w:rPr>
          <w:sz w:val="20"/>
          <w:szCs w:val="20"/>
          <w:color w:val="auto"/>
        </w:rPr>
      </w:pPr>
    </w:p>
    <w:p>
      <w:pPr>
        <w:ind w:left="1340" w:right="199" w:hanging="318"/>
        <w:spacing w:after="0" w:line="245"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global adoption of our approved medicines, AYVAKIT and GAVRETO in the U.S. and AYVAKYT in Europe, by continuing to strengthen and expand our global commercial capabilities and preparing for additional planned commercial launches in additional indications, including advanced and non-advanced SM.</w:t>
      </w:r>
    </w:p>
    <w:p>
      <w:pPr>
        <w:spacing w:after="0" w:line="180" w:lineRule="exact"/>
        <w:rPr>
          <w:rFonts w:ascii="Times New Roman" w:cs="Times New Roman" w:eastAsia="Times New Roman" w:hAnsi="Times New Roman"/>
          <w:sz w:val="18"/>
          <w:szCs w:val="18"/>
          <w:color w:val="auto"/>
        </w:rPr>
      </w:pPr>
    </w:p>
    <w:p>
      <w:pPr>
        <w:ind w:left="1340" w:right="379" w:hanging="318"/>
        <w:spacing w:after="0" w:line="245"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our strategic focus on SM and related mast cell disorders by seeking regulatory approvals for avapritinib for the treatment of advanced and non-advanced SM and developing BLU-263 for the treatment of non-advanced SM, as well as exploring opportunities to address the needs of additional patient populations with adjacent hematologic disorders.</w:t>
      </w:r>
    </w:p>
    <w:p>
      <w:pPr>
        <w:spacing w:after="0" w:line="180" w:lineRule="exact"/>
        <w:rPr>
          <w:rFonts w:ascii="Times New Roman" w:cs="Times New Roman" w:eastAsia="Times New Roman" w:hAnsi="Times New Roman"/>
          <w:sz w:val="18"/>
          <w:szCs w:val="18"/>
          <w:color w:val="auto"/>
        </w:rPr>
      </w:pPr>
    </w:p>
    <w:p>
      <w:pPr>
        <w:ind w:left="1340" w:right="319" w:hanging="318"/>
        <w:spacing w:after="0" w:line="296" w:lineRule="auto"/>
        <w:tabs>
          <w:tab w:leader="none" w:pos="13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the global development and commercialization of pralsetinib and to seek international regulatory approvals under the Roche pralsetinib collaboration as a treatment for RET-altered cancers.</w:t>
      </w:r>
    </w:p>
    <w:p>
      <w:pPr>
        <w:spacing w:after="0" w:line="138" w:lineRule="exact"/>
        <w:rPr>
          <w:rFonts w:ascii="Times New Roman" w:cs="Times New Roman" w:eastAsia="Times New Roman" w:hAnsi="Times New Roman"/>
          <w:sz w:val="17"/>
          <w:szCs w:val="17"/>
          <w:color w:val="auto"/>
        </w:rPr>
      </w:pPr>
    </w:p>
    <w:p>
      <w:pPr>
        <w:ind w:left="1340" w:right="219" w:hanging="318"/>
        <w:spacing w:after="0" w:line="250"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innovative research programs, including BLU-701 and BLU-945, our selective and potent EGFR inhibitors for treatment-resistant EGFR-driven NSCLC, and our other preclinical programs, rapidly through development with plans to seek regulatory approval.</w:t>
      </w:r>
    </w:p>
    <w:p>
      <w:pPr>
        <w:spacing w:after="0" w:line="176" w:lineRule="exact"/>
        <w:rPr>
          <w:rFonts w:ascii="Times New Roman" w:cs="Times New Roman" w:eastAsia="Times New Roman" w:hAnsi="Times New Roman"/>
          <w:sz w:val="18"/>
          <w:szCs w:val="18"/>
          <w:color w:val="auto"/>
        </w:rPr>
      </w:pPr>
    </w:p>
    <w:p>
      <w:pPr>
        <w:ind w:left="1340" w:right="239" w:hanging="318"/>
        <w:spacing w:after="0" w:line="250"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broad, differentiated precision medicine pipeline, with a focus on genomically defined cancers and hematologic disorders and continued internal discovery research and innovation, as well as opportunities to acquire or in-license complementary technologies or therapies.</w:t>
      </w:r>
    </w:p>
    <w:p>
      <w:pPr>
        <w:spacing w:after="0" w:line="176" w:lineRule="exact"/>
        <w:rPr>
          <w:rFonts w:ascii="Times New Roman" w:cs="Times New Roman" w:eastAsia="Times New Roman" w:hAnsi="Times New Roman"/>
          <w:sz w:val="18"/>
          <w:szCs w:val="18"/>
          <w:color w:val="auto"/>
        </w:rPr>
      </w:pPr>
    </w:p>
    <w:p>
      <w:pPr>
        <w:ind w:left="1340" w:right="239" w:hanging="318"/>
        <w:spacing w:after="0" w:line="250"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potential additional collaborations, partnerships and licenses that could maximize the value of our existing programs and allow us to leverage the expertise of strategic collaborators, partners and licensors, including in additional geographies where we may not have current operations or expertise.</w:t>
      </w:r>
    </w:p>
    <w:p>
      <w:pPr>
        <w:spacing w:after="0" w:line="176" w:lineRule="exact"/>
        <w:rPr>
          <w:rFonts w:ascii="Times New Roman" w:cs="Times New Roman" w:eastAsia="Times New Roman" w:hAnsi="Times New Roman"/>
          <w:sz w:val="18"/>
          <w:szCs w:val="18"/>
          <w:color w:val="auto"/>
        </w:rPr>
      </w:pPr>
    </w:p>
    <w:p>
      <w:pPr>
        <w:ind w:left="1340" w:right="59" w:hanging="318"/>
        <w:spacing w:after="0" w:line="250" w:lineRule="auto"/>
        <w:tabs>
          <w:tab w:leader="none" w:pos="1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commitment to building a corporate culture centered by our focus on patient needs, science-driven approach to drug development, and organizational strength through the diversity of experience and perspective across our workforce.</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Precision Therapy Approach</w:t>
      </w:r>
    </w:p>
    <w:p>
      <w:pPr>
        <w:spacing w:after="0" w:line="256"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Our approach is to systematically and reproducibly identify drivers of disease in genomically defined patient populations and to craft drug candidates that provide significant and durable clinical responses to patients. This approach enables us to drug known targets that have been difficult to inhibit selectively and also identify, characterize and design drug candidates to inhibit novel targets. By focusing on diseases in genomically defined patient populations, we believe that we can quickly identify the patients most likely to respond, resulting in a more efficient development path with a greater likelihood of success. To date, our approach has been enabled by our drug discovery platform consisting of two pillars: (1) a proprietary, highly-annotated library of novel compounds; and (2) a novel target discovery engine, which is a comprehensive process that interrogates kinase biology from many angles using genomics, structural biology and cell biology.</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have initially focused our efforts on kinase drug discovery and development. Kinases are enzymes that function in many signaling pathways to regulate critical cellular functions. Kinase-dependent signaling networks are present in multiple different cell types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 sequence; (2) chromosomes become rearranged creating a translocation or a fusion gene; or (3) excessive amounts of protein are created due to gene duplication or dysregulation leading to overexpression. There is a strong link between genomic alterations in kinases and disease, including specific forms of cancer and rare diseases. Several kinases have been validated as oncogenes, which are genes that when altered can initiate and maintain cancer growth. Ongoing genomic analyses of tumor data sets continue to identify new roles for kinases as drivers of disease.</w:t>
      </w:r>
    </w:p>
    <w:p>
      <w:pPr>
        <w:spacing w:after="0" w:line="226"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believe there is substantial opportunity for developing novel and transformative therapies that target well-characterized but currently difficult-to-drug kinases as well as kinases of unknown biology which constitute the majority of the kinome, by:</w:t>
      </w:r>
    </w:p>
    <w:p>
      <w:pPr>
        <w:spacing w:after="0" w:line="213" w:lineRule="exact"/>
        <w:rPr>
          <w:sz w:val="20"/>
          <w:szCs w:val="20"/>
          <w:color w:val="auto"/>
        </w:rPr>
      </w:pPr>
    </w:p>
    <w:p>
      <w:pPr>
        <w:ind w:left="1340" w:right="139" w:hanging="318"/>
        <w:spacing w:after="0" w:line="239"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Crafting very selective kinase drugs. </w:t>
      </w:r>
      <w:r>
        <w:rPr>
          <w:rFonts w:ascii="Times New Roman" w:cs="Times New Roman" w:eastAsia="Times New Roman" w:hAnsi="Times New Roman"/>
          <w:sz w:val="18"/>
          <w:szCs w:val="18"/>
          <w:color w:val="auto"/>
        </w:rPr>
        <w:t>Due to the high degree of homology between kinases, specific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targeting of a given kinase can be 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87" w:lineRule="exact"/>
        <w:rPr>
          <w:rFonts w:ascii="Times New Roman" w:cs="Times New Roman" w:eastAsia="Times New Roman" w:hAnsi="Times New Roman"/>
          <w:sz w:val="18"/>
          <w:szCs w:val="18"/>
          <w:color w:val="auto"/>
        </w:rPr>
      </w:pPr>
    </w:p>
    <w:p>
      <w:pPr>
        <w:ind w:left="1340" w:right="79" w:hanging="318"/>
        <w:spacing w:after="0" w:line="242"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Generating novel chemical matter required to target difficult-to-drug kinases. </w:t>
      </w:r>
      <w:r>
        <w:rPr>
          <w:rFonts w:ascii="Times New Roman" w:cs="Times New Roman" w:eastAsia="Times New Roman" w:hAnsi="Times New Roman"/>
          <w:sz w:val="18"/>
          <w:szCs w:val="18"/>
          <w:color w:val="auto"/>
        </w:rPr>
        <w:t>Novel chemical matter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needed to 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78" w:lineRule="exact"/>
        <w:rPr>
          <w:rFonts w:ascii="Times New Roman" w:cs="Times New Roman" w:eastAsia="Times New Roman" w:hAnsi="Times New Roman"/>
          <w:sz w:val="18"/>
          <w:szCs w:val="18"/>
          <w:color w:val="auto"/>
        </w:rPr>
      </w:pPr>
    </w:p>
    <w:p>
      <w:pPr>
        <w:ind w:left="1340" w:right="79" w:hanging="318"/>
        <w:spacing w:after="0" w:line="246" w:lineRule="auto"/>
        <w:tabs>
          <w:tab w:leader="none" w:pos="1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Overcoming resistance mediated by the alteration of kinase targets. </w:t>
      </w:r>
      <w:r>
        <w:rPr>
          <w:rFonts w:ascii="Times New Roman" w:cs="Times New Roman" w:eastAsia="Times New Roman" w:hAnsi="Times New Roman"/>
          <w:sz w:val="18"/>
          <w:szCs w:val="18"/>
          <w:color w:val="auto"/>
        </w:rPr>
        <w:t>Most approved kinase inhibitors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only temporary disease control. Patients may relapse due to the emergence of on-target resistance mutations. Novel approaches are needed to predict and inhibit resistant mutants thus providing more durable clinical responses.</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Disease Overviews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(SM)</w:t>
      </w:r>
    </w:p>
    <w:p>
      <w:pPr>
        <w:spacing w:after="0" w:line="256"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 advanced forms of SM, abnormal mast cells may also accumulate in the liver, spleen, gastrointestinal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212"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SM comprises a spectrum of disease, with nearly all patients (approximately 95%) having a KIT D816V mutation, the underlying driver of disease for most SM patients. The diagnosis, which is usually made in adulthood, involves a complex diagnostic algorithm that begins with confirmation of SM and subsequently categorizes patients into non-advanced or advanced subtypes of disease. Indolent SM, a subset of non-advanced SM, is the most common form of SM and is characterized by often severe, unpredictable and debilitating symptoms due to mast cell activation. Symptoms may include hypersensitivity reactions, including unpredictable anaphylaxis, gastrointestinal distress including severe nausea, vomiting and diarrhea, and extensive skin rashes that cause pain, discomfort and social isolation. Advanced SM</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366395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2" w:lineRule="auto"/>
        <w:rPr>
          <w:sz w:val="20"/>
          <w:szCs w:val="20"/>
          <w:color w:val="auto"/>
        </w:rPr>
      </w:pPr>
      <w:r>
        <w:rPr>
          <w:rFonts w:ascii="Times New Roman" w:cs="Times New Roman" w:eastAsia="Times New Roman" w:hAnsi="Times New Roman"/>
          <w:sz w:val="18"/>
          <w:szCs w:val="18"/>
          <w:color w:val="auto"/>
        </w:rPr>
        <w:t>is a more rare form of SM associated with mast cell infiltration of organ systems resulting in increasingly severe impact on life expectancy, and includes three subsets: aggressive SM, or ASM, advanced SM with an associated hematologic neoplasm, SM-AHN, and mast cell leukemia, or MCL. These advanced forms of SM have a median overall survival of three to five years and are characterized by prominent organopathy and dysfunction, as well as symptoms of mast cell activation.</w:t>
      </w:r>
    </w:p>
    <w:p>
      <w:pPr>
        <w:spacing w:after="0" w:line="225"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8"/>
          <w:szCs w:val="18"/>
          <w:color w:val="auto"/>
        </w:rPr>
        <w:t>Advanced SM accounts for approximately 5% of the patients, and non-advanced SM, including indolent SM and an intermediate form referred to as smoldering SM, account for the remaining 95% of patients. Population studies estimate the prevalence rate of all subtypes of SM is approximately 9.6 per 100,000 people. We estimate that in the U.S., France, Germany, Italy, Spain, the United Kingdom and Japan, which we collectively refer to as the Major Markets, there are approximately 75,000 patients with SM, including 3,750 patients with advanced SM and 71,250 patients with non-advanced SM.</w:t>
      </w:r>
    </w:p>
    <w:p>
      <w:pPr>
        <w:spacing w:after="0" w:line="224" w:lineRule="exact"/>
        <w:rPr>
          <w:sz w:val="20"/>
          <w:szCs w:val="20"/>
          <w:color w:val="auto"/>
        </w:rPr>
      </w:pPr>
    </w:p>
    <w:p>
      <w:pPr>
        <w:ind w:left="60" w:right="419" w:firstLine="648"/>
        <w:spacing w:after="0" w:line="245" w:lineRule="auto"/>
        <w:rPr>
          <w:sz w:val="20"/>
          <w:szCs w:val="20"/>
          <w:color w:val="auto"/>
        </w:rPr>
      </w:pPr>
      <w:r>
        <w:rPr>
          <w:rFonts w:ascii="Times New Roman" w:cs="Times New Roman" w:eastAsia="Times New Roman" w:hAnsi="Times New Roman"/>
          <w:sz w:val="18"/>
          <w:szCs w:val="18"/>
          <w:color w:val="auto"/>
        </w:rPr>
        <w:t>The current treatment paradigm for SM varies by disease subtype. Currently, there are no approved targeted therapies that address the approximately 95% of SM patients with the KIT D816V mutation. There are two approved therapies for advanced SM: midostaurin and imatinib. Midostaurin is a multi-kinase inhibitor with limited KIT D816V inhibitory activity. Imatinib is approved only for patients who do not harbor the KIT D816V mutation.</w:t>
      </w:r>
    </w:p>
    <w:p>
      <w:pPr>
        <w:spacing w:after="0" w:line="208"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For patients with non-advanced SM, management is symptom-directed and includes avoidance of triggers of mast cell activation (such as insect stings). Treatments for non-advanced SM include histamine blockers, cromolyn, epinephrine, corticosteroids, and, in cases of refractory patients, cytoreductive agents. Patients often take multiple symptom-directed treatments to manage their disease, and a reduction in polypharmacy burden is an important treatment goal. Within non-advanced SM, key opinion leaders see the greatest degree of unmet need for a significant portion of patients who have a heavy symptom burden that current therapies fail to address.</w:t>
      </w:r>
    </w:p>
    <w:p>
      <w:pPr>
        <w:spacing w:after="0" w:line="22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For patients with advanced SM, treatments include midostaurin, interferon-alpha or cytoreductive agents to reduce mast cell burden or treatments aimed at addressing the associated blood disorder. Historical data have shown overall survival of approximately three to five years in patients with advanced SM.</w:t>
      </w:r>
    </w:p>
    <w:p>
      <w:pPr>
        <w:spacing w:after="0" w:line="217"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We are developing avapritinib for the treatment of systemic mastocytosis and BLU-263 for the treatment of non-advanced SM and other mast cell disorders. Previously reported clinical data of avapritinib for patients with SM are described below. In January 2021, we announced positive top-line results of BLU-263 in a Phase 1 healthy volunteer trial. Based on the top-line results, we plan to initiate a Phase 2 trial of BLU-263 in patients with non-advanced SM in mid-2021.</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Data in SM</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Avapritinib—Phase 1 EXPLORER Trial and Phase 2 PATHFINDER Trial</w:t>
      </w:r>
    </w:p>
    <w:p>
      <w:pPr>
        <w:spacing w:after="0" w:line="254"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We are evaluating avapritinib for the treatment of patients with advanced SM in our registration-enabling EXPLORER and PATHFINDER clinical trials. The EXPLORER trial is an open-label, single-arm Phase 1 trial. The PATHFINDER trial is an open-label, single-arm Phase 2 trial. Both trials have completed enrollment. For both the EXPLORER and PATHFINDER trials, key endpoints include overall response rate, or ORR, duration of response, or DOR, quantitative measures of mast cell burden, patient-reported outcomes and safety.</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Top-line Data Announced in September 2020</w:t>
      </w:r>
    </w:p>
    <w:p>
      <w:pPr>
        <w:spacing w:after="0" w:line="254"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Across both trials, 85 patients were evaluable for response per the modified IWG-MRT-ECNM criteria, or IWG criteria, including 44 patients treated with a starting dose of 200 mg once daily, or QD. Top-line results were reported as of a data cutoff date of May 27, 2020 in the EXPLORER trial and a data cutoff date of June 23, 2020 in the PATHFINDER trial, with response assessments per central review completed in September 2020. Registrational endpoints are ORR and DOR based on central review. ORR was defined as complete remission with full or partial</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recovery of peripheral blood counts, or CR/CRh, partial remission or clinical improvement. The confidence interval, or CI, represents the confidence interval of the reported endpoints. All reported clinical responses were confirmed.</w:t>
      </w:r>
    </w:p>
    <w:p>
      <w:pPr>
        <w:spacing w:after="0" w:line="201" w:lineRule="exact"/>
        <w:rPr>
          <w:sz w:val="20"/>
          <w:szCs w:val="20"/>
          <w:color w:val="auto"/>
        </w:rPr>
      </w:pPr>
    </w:p>
    <w:p>
      <w:pPr>
        <w:ind w:left="60" w:right="19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Clinical Activity Data. </w:t>
      </w:r>
      <w:r>
        <w:rPr>
          <w:rFonts w:ascii="Times New Roman" w:cs="Times New Roman" w:eastAsia="Times New Roman" w:hAnsi="Times New Roman"/>
          <w:sz w:val="18"/>
          <w:szCs w:val="18"/>
          <w:color w:val="auto"/>
        </w:rPr>
        <w:t>In the EXPLORER trial, 53 patients were response evaluable, with a median follow-up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27.3 months. In EXPLORER, the ORR was 76 percent (95% CI: 62%, 86%), and 36 percent of patients had a CR/CRh. The median DOR was 38.3 months (95% CI: 21.7 months, not estimable). The median overall survival, or OS, was not estimable (95% CI: 46.9 months, not estimable).</w:t>
      </w:r>
    </w:p>
    <w:p>
      <w:pPr>
        <w:spacing w:after="0" w:line="220"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In a pre-specified interim analysis from the PATHFINDER trial, 32 patients were response evaluable, with a median follow-up of 10.4 months. The ORR was 75 percent (95% CI: 57%, 89%), and 19 percent of patients had a CR/CRh. In addition, the data showed that responses are continuing to deepen over time, at a rate consistent with the EXPLORER trial. The median DOR was not estimable (95% CI: not estimable, not estimable), and OS was not assessed due to the length of time patients have been enrolled in PATHFINDER. The top-line PATHFINDER results were based on a pre-planned analysis designed to assess the superiority of avapritinib versus the ORR per IWG criteria previously reported for the multi-kinase inhibitor midostaurin. The interim analysis achieved its primary endpoint with a p-value of p=0.0000000016.</w:t>
      </w:r>
    </w:p>
    <w:p>
      <w:pPr>
        <w:spacing w:after="0" w:line="214"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In a pooled efficacy analysis from the 200 mg QD dose group, 44 patients were response evaluable, with a median follow-up of 10.4 months. In this group, the ORR was 68 percent, and 18 percent of patients had a CR/CRh.</w:t>
      </w:r>
    </w:p>
    <w:p>
      <w:pPr>
        <w:spacing w:after="0" w:line="201" w:lineRule="exact"/>
        <w:rPr>
          <w:sz w:val="20"/>
          <w:szCs w:val="20"/>
          <w:color w:val="auto"/>
        </w:rPr>
      </w:pPr>
    </w:p>
    <w:p>
      <w:pPr>
        <w:ind w:left="60" w:right="15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Safety Data. </w:t>
      </w:r>
      <w:r>
        <w:rPr>
          <w:rFonts w:ascii="Times New Roman" w:cs="Times New Roman" w:eastAsia="Times New Roman" w:hAnsi="Times New Roman"/>
          <w:sz w:val="18"/>
          <w:szCs w:val="18"/>
          <w:color w:val="auto"/>
        </w:rPr>
        <w:t>Avapritinib was generally well-tolerated with most adverse events, or AEs, reported as Grade 1 or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EXPLORER and PATHFINDER trials, avapritinib demonstrated improved tolerability at a starting dose of 200 mg QD, compared to all doses. Across both trials, 8.1 percent of patients discontinued avapritinib due to treatment-related AEs.</w:t>
      </w:r>
    </w:p>
    <w:p>
      <w:pPr>
        <w:spacing w:after="0" w:line="220" w:lineRule="exact"/>
        <w:rPr>
          <w:sz w:val="20"/>
          <w:szCs w:val="20"/>
          <w:color w:val="auto"/>
        </w:rPr>
      </w:pPr>
    </w:p>
    <w:p>
      <w:pPr>
        <w:ind w:left="60" w:right="219" w:firstLine="648"/>
        <w:spacing w:after="0" w:line="239" w:lineRule="auto"/>
        <w:rPr>
          <w:sz w:val="20"/>
          <w:szCs w:val="20"/>
          <w:color w:val="auto"/>
        </w:rPr>
      </w:pPr>
      <w:r>
        <w:rPr>
          <w:rFonts w:ascii="Times New Roman" w:cs="Times New Roman" w:eastAsia="Times New Roman" w:hAnsi="Times New Roman"/>
          <w:sz w:val="18"/>
          <w:szCs w:val="18"/>
          <w:color w:val="auto"/>
        </w:rPr>
        <w:t>Previously reported results from the EXPLORER trial showed that pre-existing severe thrombocytopenia, which occurs in approximately 10 to 15 percent of advanced SM patients based on our estimates, and starting doses of 300 mg QD or higher were contributing risk factors for intracranial bleeding, or ICB. Based on these data, we implemented treatment management guidelines in the EXPLORER and PATHFINDER trials, including exclusion criteria for pre-existing severe thrombocytopenia, routine platelet monitoring and dose interruption guidelines for emergent severe thrombocytopenia. In 76 EXPLORER and PATHFINDER trial patients without pre-existing severe thrombocytopenia treated at the 200 mg QD dose, two patients (2.6 percent) had ICB events. Both AEs were Grade 1 and asymptomatic. These safety data validate the clinical impact of the treatment management guidelines.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Phase 2 PIONEER Trial</w:t>
      </w:r>
    </w:p>
    <w:p>
      <w:pPr>
        <w:spacing w:after="0" w:line="254"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auto"/>
        </w:rPr>
        <w:t xml:space="preserve">PIONEER is a randomized, double-blind, placebo-controlled, registration-enabling trial evaluating avapritinib in patients with indolent and smoldering SM. The trial includes three parts: dose-finding Part 1, registration-enabling Part 2 and long-term treatment Part 3. All patients who complete Parts 1 or 2 will have an opportunity to continue to receive treatment with avapritinib in Part 3. Key trial endpoints include the change in patient-reported disease symptoms as measured by the Indolent SM Symptom Assessment Form </w:t>
      </w:r>
      <w:r>
        <w:rPr>
          <w:rFonts w:ascii="Times New Roman" w:cs="Times New Roman" w:eastAsia="Times New Roman" w:hAnsi="Times New Roman"/>
          <w:sz w:val="18"/>
          <w:szCs w:val="18"/>
          <w:color w:val="0A0A0A"/>
        </w:rPr>
        <w:t>Total Symptom Score, or</w:t>
      </w:r>
      <w:r>
        <w:rPr>
          <w:rFonts w:ascii="Times New Roman" w:cs="Times New Roman" w:eastAsia="Times New Roman" w:hAnsi="Times New Roman"/>
          <w:sz w:val="18"/>
          <w:szCs w:val="18"/>
          <w:color w:val="auto"/>
        </w:rPr>
        <w:t xml:space="preserve"> ISM-SAF TSS, quantitative measures of mast cell burden and safety. Part 1 has completed patient enrollment. We expect to complete enrollment of Part 2 of the PIONEER trial in mid-2021.</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American Academy of Allergy, Asthma &amp; Immunology Virtual Forum in March 2020</w:t>
      </w:r>
    </w:p>
    <w:p>
      <w:pPr>
        <w:spacing w:after="0" w:line="241"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auto"/>
        </w:rPr>
        <w:t>Part 1 of the PIONEER trial was designed to determine the recommended phase 2 dose, or RP2D, by evaluating three doses of avapritinib (25 mg, 50 mg and 100 mg QD) versus placebo. Key eligibility criteria include adults with indolent SM confirmed by central pathology review and moderate-to-severe symptom burden despite best supportive care medicines. Overall, 39 patients were enrolled in Part 1 across four concurrent cohorts, consisting of 10 patients each in the avapritinib dose cohorts and nine patients in the placebo cohort. Patient-reported outcomes, or PRO, data were collected using the ISM-SAF, which was designed with input from disease experts, patients and regulatory authorities to support registration. All results were as of a data cutoff date of December 27, 2019.</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i w:val="1"/>
          <w:iCs w:val="1"/>
          <w:color w:val="0A0A0A"/>
        </w:rPr>
        <w:t xml:space="preserve">Baseline Patient Characteristics. </w:t>
      </w:r>
      <w:r>
        <w:rPr>
          <w:rFonts w:ascii="Times New Roman" w:cs="Times New Roman" w:eastAsia="Times New Roman" w:hAnsi="Times New Roman"/>
          <w:sz w:val="18"/>
          <w:szCs w:val="18"/>
          <w:color w:val="0A0A0A"/>
        </w:rPr>
        <w:t>Patients had high symptom burden at baseline, with a mean ISM-SAF TSS of 53</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on a scale of 0 to 110. Eight patients (21 percent) had an Eastern Cooperative Oncology Group Performance Status of 2, reflecting the inability to carry out any work activities. Patients received a median of four best supportive care medicines at baseline (range: 2-9). Median serum tryptase was 45 micrograms per liter (the upper limit of normal is 11.4 micrograms per liter). A high sensitivity polymerase chain reaction assay on peripheral blood detected the KIT D816V mutation in 37 patients (95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-778510</wp:posOffset>
            </wp:positionV>
            <wp:extent cx="5657850" cy="23831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383155"/>
                    </a:xfrm>
                    <a:prstGeom prst="rect">
                      <a:avLst/>
                    </a:prstGeom>
                    <a:noFill/>
                  </pic:spPr>
                </pic:pic>
              </a:graphicData>
            </a:graphic>
          </wp:anchor>
        </w:drawing>
      </w:r>
    </w:p>
    <w:p>
      <w:pPr>
        <w:spacing w:after="0" w:line="204"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i w:val="1"/>
          <w:iCs w:val="1"/>
          <w:color w:val="0A0A0A"/>
        </w:rPr>
        <w:t>Clinical Activity Data</w:t>
      </w:r>
      <w:r>
        <w:rPr>
          <w:rFonts w:ascii="Times New Roman" w:cs="Times New Roman" w:eastAsia="Times New Roman" w:hAnsi="Times New Roman"/>
          <w:sz w:val="18"/>
          <w:szCs w:val="18"/>
          <w:color w:val="0A0A0A"/>
        </w:rPr>
        <w:t>. Avapritinib showed broad activity across measures of mast cell burden, the patient reports</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outcomes, or PRO, clinical benefit measure and quality of life. The consistency of results observed across multiple measures of disease burden support the further evaluation of avapritinib in indolent SM. At 16 weeks, patients had a statistically significant reduction in ISM-SAF TSS, with a mean improvement of approximately 30 percent across all avapritinib dose cohorts compared to approximately 3 percent in the placebo cohort (p=0.001). As of the data cutoff date, 37 patients (95 percent) have remained on study with a median follow-up of 18 weeks.</w:t>
      </w:r>
    </w:p>
    <w:p>
      <w:pPr>
        <w:spacing w:after="0" w:line="226" w:lineRule="exact"/>
        <w:rPr>
          <w:sz w:val="20"/>
          <w:szCs w:val="20"/>
          <w:color w:val="auto"/>
        </w:rPr>
      </w:pPr>
    </w:p>
    <w:p>
      <w:pPr>
        <w:ind w:left="60" w:right="59" w:firstLine="648"/>
        <w:spacing w:after="0" w:line="245" w:lineRule="auto"/>
        <w:rPr>
          <w:sz w:val="20"/>
          <w:szCs w:val="20"/>
          <w:color w:val="auto"/>
        </w:rPr>
      </w:pPr>
      <w:r>
        <w:rPr>
          <w:rFonts w:ascii="Times New Roman" w:cs="Times New Roman" w:eastAsia="Times New Roman" w:hAnsi="Times New Roman"/>
          <w:sz w:val="18"/>
          <w:szCs w:val="18"/>
          <w:color w:val="0A0A0A"/>
        </w:rPr>
        <w:t>Results from the 25 mg QD dose cohort show important clinical activity, including meaningful declines in serum tryptase, bone marrow mast cells and KIT D816V allele burden. Treatment with avapritinib led to consistent reductions in the ISM-SAF TSS, gastrointestinal domain, skin domain and each individual symptom. Symptom improvements in patients treated at 25 mg QD continued to deepen over time.</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Mean Percent Changes in ISM-SAF at 16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-94615</wp:posOffset>
            </wp:positionV>
            <wp:extent cx="3951605" cy="934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51605" cy="93472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4"/>
          <w:szCs w:val="14"/>
          <w:b w:val="1"/>
          <w:bCs w:val="1"/>
          <w:color w:val="auto"/>
        </w:rPr>
        <w:t>(negative change = improved symptoms)</w:t>
      </w:r>
    </w:p>
    <w:p>
      <w:pPr>
        <w:spacing w:after="0" w:line="8" w:lineRule="exact"/>
        <w:rPr>
          <w:sz w:val="20"/>
          <w:szCs w:val="20"/>
          <w:color w:val="auto"/>
        </w:rPr>
      </w:pPr>
    </w:p>
    <w:tbl>
      <w:tblPr>
        <w:tblLayout w:type="fixed"/>
        <w:tblInd w:w="1400" w:type="dxa"/>
        <w:tblCellMar>
          <w:top w:w="0" w:type="dxa"/>
          <w:left w:w="0" w:type="dxa"/>
          <w:bottom w:w="0" w:type="dxa"/>
          <w:right w:w="0" w:type="dxa"/>
        </w:tblCellMar>
      </w:tblPr>
      <w:tr>
        <w:trPr>
          <w:trHeight w:val="158"/>
        </w:trPr>
        <w:tc>
          <w:tcPr>
            <w:tcW w:w="3140" w:type="dxa"/>
            <w:vAlign w:val="bottom"/>
            <w:tcBorders>
              <w:top w:val="single" w:sz="8" w:color="auto"/>
              <w:right w:val="single" w:sz="8" w:color="auto"/>
            </w:tcBorders>
          </w:tcPr>
          <w:p>
            <w:pPr>
              <w:spacing w:after="0"/>
              <w:rPr>
                <w:sz w:val="13"/>
                <w:szCs w:val="13"/>
                <w:color w:val="auto"/>
              </w:rPr>
            </w:pPr>
          </w:p>
        </w:tc>
        <w:tc>
          <w:tcPr>
            <w:tcW w:w="1540" w:type="dxa"/>
            <w:vAlign w:val="bottom"/>
            <w:tcBorders>
              <w:top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Avapritinib</w:t>
            </w:r>
          </w:p>
        </w:tc>
        <w:tc>
          <w:tcPr>
            <w:tcW w:w="1540" w:type="dxa"/>
            <w:vAlign w:val="bottom"/>
            <w:tcBorders>
              <w:top w:val="single" w:sz="8" w:color="auto"/>
            </w:tcBorders>
          </w:tcPr>
          <w:p>
            <w:pPr>
              <w:spacing w:after="0"/>
              <w:rPr>
                <w:sz w:val="13"/>
                <w:szCs w:val="13"/>
                <w:color w:val="auto"/>
              </w:rPr>
            </w:pPr>
          </w:p>
        </w:tc>
      </w:tr>
      <w:tr>
        <w:trPr>
          <w:trHeight w:val="187"/>
        </w:trPr>
        <w:tc>
          <w:tcPr>
            <w:tcW w:w="3140" w:type="dxa"/>
            <w:vAlign w:val="bottom"/>
            <w:tcBorders>
              <w:bottom w:val="single" w:sz="8" w:color="auto"/>
              <w:right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25 mg QD</w:t>
            </w:r>
          </w:p>
        </w:tc>
        <w:tc>
          <w:tcPr>
            <w:tcW w:w="15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Placebo</w:t>
            </w:r>
          </w:p>
        </w:tc>
      </w:tr>
      <w:tr>
        <w:trPr>
          <w:trHeight w:val="169"/>
        </w:trPr>
        <w:tc>
          <w:tcPr>
            <w:tcW w:w="31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TSS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-31%</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69"/>
        </w:trPr>
        <w:tc>
          <w:tcPr>
            <w:tcW w:w="31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Skin domain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-37%</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69"/>
        </w:trPr>
        <w:tc>
          <w:tcPr>
            <w:tcW w:w="31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Gastrointestinal domain</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-25%</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w:t>
            </w:r>
          </w:p>
        </w:tc>
      </w:tr>
      <w:tr>
        <w:trPr>
          <w:trHeight w:val="169"/>
        </w:trPr>
        <w:tc>
          <w:tcPr>
            <w:tcW w:w="314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Neurological symptoms</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-26%</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w:t>
            </w:r>
          </w:p>
        </w:tc>
      </w:tr>
    </w:tbl>
    <w:p>
      <w:pPr>
        <w:spacing w:after="0" w:line="225"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0A0A0A"/>
        </w:rPr>
        <w:t>Data from the Mastocytosis Quality of Life, or MC-QoL, questionnaire, a PRO tool developed for mast cell disorders, show improvements in quality of life for patients receiving avapritinib and support the results observed with the ISM-SAF. Patients in the 25 mg QD dose cohort had a mean reduction of 34 percent in the total MC-QoL score and improvements in all four domains assessed (symptoms, social life functioning, emotions and skin). A 7 percent increase from baseline was observed in the placebo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-650240</wp:posOffset>
            </wp:positionV>
            <wp:extent cx="5657850" cy="1448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448435"/>
                    </a:xfrm>
                    <a:prstGeom prst="rect">
                      <a:avLst/>
                    </a:prstGeom>
                    <a:noFill/>
                  </pic:spPr>
                </pic:pic>
              </a:graphicData>
            </a:graphic>
          </wp:anchor>
        </w:drawing>
      </w:r>
    </w:p>
    <w:p>
      <w:pPr>
        <w:spacing w:after="0" w:line="203" w:lineRule="exact"/>
        <w:rPr>
          <w:sz w:val="20"/>
          <w:szCs w:val="20"/>
          <w:color w:val="auto"/>
        </w:rPr>
      </w:pPr>
    </w:p>
    <w:p>
      <w:pPr>
        <w:ind w:left="60" w:right="139" w:firstLine="648"/>
        <w:spacing w:after="0" w:line="243" w:lineRule="auto"/>
        <w:rPr>
          <w:sz w:val="20"/>
          <w:szCs w:val="20"/>
          <w:color w:val="auto"/>
        </w:rPr>
      </w:pPr>
      <w:r>
        <w:rPr>
          <w:rFonts w:ascii="Times New Roman" w:cs="Times New Roman" w:eastAsia="Times New Roman" w:hAnsi="Times New Roman"/>
          <w:sz w:val="18"/>
          <w:szCs w:val="18"/>
          <w:i w:val="1"/>
          <w:iCs w:val="1"/>
          <w:color w:val="0A0A0A"/>
        </w:rPr>
        <w:t>Safety Data</w:t>
      </w:r>
      <w:r>
        <w:rPr>
          <w:rFonts w:ascii="Times New Roman" w:cs="Times New Roman" w:eastAsia="Times New Roman" w:hAnsi="Times New Roman"/>
          <w:sz w:val="18"/>
          <w:szCs w:val="18"/>
          <w:color w:val="0A0A0A"/>
        </w:rPr>
        <w:t>. The safety profile of avapritinib supports chronic dosing in indolent SM. All doses of avapritinib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were well-tolerated and no patients discontinued treatment due to AEs. No patients treated with avapritinib in the 25 mg QD dose cohort had serious AEs, Grade 3 or higher AEs, or dose modifications. In the placebo cohort, two patients (22 percent) had Grade 3 AEs, one with seizure and one with diffuse cutaneous mastocytosis; these events also met criteria for serious AEs.</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European Academy of Allergy and Clinical Immunology Digital Congress in June 2020</w:t>
      </w:r>
    </w:p>
    <w:p>
      <w:pPr>
        <w:spacing w:after="0" w:line="241"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Previously reported data from Part 1 of the PIONEER trial showed that treatment with avapritinib was well-tolerated and resulted in robust and clinically meaningful improvements on measures of mast cell burden, disease symptoms and patient-reported quality of life through 16 weeks. Based on these data, avapritinib 25 mg QD was selected as the RP2D. Updated data on disease symptoms through 24 weeks and new skin assessment results were reported in June 2020.</w:t>
      </w:r>
    </w:p>
    <w:p>
      <w:pPr>
        <w:spacing w:after="0" w:line="223" w:lineRule="exact"/>
        <w:rPr>
          <w:sz w:val="20"/>
          <w:szCs w:val="20"/>
          <w:color w:val="auto"/>
        </w:rPr>
      </w:pPr>
    </w:p>
    <w:p>
      <w:pPr>
        <w:ind w:left="60" w:right="119" w:firstLine="648"/>
        <w:spacing w:after="0" w:line="243" w:lineRule="auto"/>
        <w:rPr>
          <w:sz w:val="20"/>
          <w:szCs w:val="20"/>
          <w:color w:val="auto"/>
        </w:rPr>
      </w:pPr>
      <w:r>
        <w:rPr>
          <w:rFonts w:ascii="Times New Roman" w:cs="Times New Roman" w:eastAsia="Times New Roman" w:hAnsi="Times New Roman"/>
          <w:sz w:val="18"/>
          <w:szCs w:val="18"/>
          <w:i w:val="1"/>
          <w:iCs w:val="1"/>
          <w:color w:val="0A0A0A"/>
        </w:rPr>
        <w:t>Clinical Activity Data</w:t>
      </w:r>
      <w:r>
        <w:rPr>
          <w:rFonts w:ascii="Times New Roman" w:cs="Times New Roman" w:eastAsia="Times New Roman" w:hAnsi="Times New Roman"/>
          <w:sz w:val="18"/>
          <w:szCs w:val="18"/>
          <w:color w:val="0A0A0A"/>
        </w:rPr>
        <w:t>. As of a data cutoff date of March 31, 2020, updated data from Part 1 of the PIONEER trial</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showed a deepening of symptom reductions in patients treated with avapritinib through 24 weeks of follow-up. The mean percent change from baseline in ISM-SAF TSS was -35 percent in patients treated with avapritinib 25 mg QD (n=10) compared to -4 percent in patients treated with placebo. In addition, the mean percent change from baseline in ISM-SAF skin domain score was -38 percent for avapritinib 25 mg QD versus +11 percent for placebo.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-652145</wp:posOffset>
            </wp:positionV>
            <wp:extent cx="5657850" cy="805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8058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firstLine="648"/>
        <w:spacing w:after="0" w:line="250" w:lineRule="auto"/>
        <w:rPr>
          <w:sz w:val="20"/>
          <w:szCs w:val="20"/>
          <w:color w:val="auto"/>
        </w:rPr>
      </w:pPr>
      <w:r>
        <w:rPr>
          <w:rFonts w:ascii="Times New Roman" w:cs="Times New Roman" w:eastAsia="Times New Roman" w:hAnsi="Times New Roman"/>
          <w:sz w:val="18"/>
          <w:szCs w:val="18"/>
          <w:color w:val="0A0A0A"/>
        </w:rPr>
        <w:t>The updated data also showed a 60 percent response rate in patients treated with avapritinib 25 mg QD compared to a zero percent response rate in patients treated with placebo at 24 weeks, with response defined as a 30 percent or greater reduction in ISM-SAF TSS.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-398145</wp:posOffset>
            </wp:positionV>
            <wp:extent cx="5657850" cy="2957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957830"/>
                    </a:xfrm>
                    <a:prstGeom prst="rect">
                      <a:avLst/>
                    </a:prstGeom>
                    <a:noFill/>
                  </pic:spPr>
                </pic:pic>
              </a:graphicData>
            </a:graphic>
          </wp:anchor>
        </w:drawing>
      </w:r>
    </w:p>
    <w:p>
      <w:pPr>
        <w:spacing w:after="0" w:line="197"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0A0A0A"/>
        </w:rPr>
        <w:t>High resolution skin photographs were taken at baseline and every 12 weeks during treatment for patients with significant cutaneous involvement who consented to photography. To assess changes in skin disease, photographs were assessed by a blinded independent review committee and a computational image analysis algorithm. Images and data as of a cutoff of March 31, 2020 were evaluated by the independent committee.</w:t>
      </w:r>
    </w:p>
    <w:p>
      <w:pPr>
        <w:spacing w:after="0" w:line="221"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0A0A0A"/>
        </w:rPr>
        <w:t>Based on skin photography at 24 weeks or the last available assessment, results showed that skin lesions lightened in 71 percent of patients treated with avapritinib (n=17; all doses) compared to 25 percent of patients treated with placebo (n=8), per blinded review by the independent committee. In addition, the median percent change from baseline in most affected surface area was -35 percent for avapritinib (n=18; all doses) compared to -8 percent for placebo (n=8), based on a computational image analysis algorithm.</w:t>
      </w:r>
    </w:p>
    <w:p>
      <w:pPr>
        <w:spacing w:after="0" w:line="212"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0A0A0A"/>
        </w:rPr>
        <w:t>Mast cell infiltration in skin lesions was also assessed by lesional skin biopsies obtained at baseline and 12 weeks. The median percent change from baseline in mast cell infiltration was -46 percent for avapritinib (n=18; all doses) compared to +51 percent for placebo (n=7).</w:t>
      </w:r>
    </w:p>
    <w:p>
      <w:pPr>
        <w:spacing w:after="0" w:line="215" w:lineRule="exact"/>
        <w:rPr>
          <w:sz w:val="20"/>
          <w:szCs w:val="20"/>
          <w:color w:val="auto"/>
        </w:rPr>
      </w:pPr>
    </w:p>
    <w:p>
      <w:pPr>
        <w:ind w:left="60" w:right="219" w:firstLine="648"/>
        <w:spacing w:after="0" w:line="251" w:lineRule="auto"/>
        <w:rPr>
          <w:sz w:val="20"/>
          <w:szCs w:val="20"/>
          <w:color w:val="auto"/>
        </w:rPr>
      </w:pPr>
      <w:r>
        <w:rPr>
          <w:rFonts w:ascii="Times New Roman" w:cs="Times New Roman" w:eastAsia="Times New Roman" w:hAnsi="Times New Roman"/>
          <w:sz w:val="18"/>
          <w:szCs w:val="18"/>
          <w:i w:val="1"/>
          <w:iCs w:val="1"/>
          <w:color w:val="0A0A0A"/>
        </w:rPr>
        <w:t>Safety Data</w:t>
      </w:r>
      <w:r>
        <w:rPr>
          <w:rFonts w:ascii="Times New Roman" w:cs="Times New Roman" w:eastAsia="Times New Roman" w:hAnsi="Times New Roman"/>
          <w:sz w:val="18"/>
          <w:szCs w:val="18"/>
          <w:color w:val="0A0A0A"/>
        </w:rPr>
        <w:t>. As of a data cutoff date of March 31, 2020, avapritinib 25 mg QD was well-tolerated and safety</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results were consistent with previously reported data, with no Grade ≥3 adverse events or discontinuations due to adverse events.</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w:t>
      </w:r>
    </w:p>
    <w:p>
      <w:pPr>
        <w:spacing w:after="0" w:line="243"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MTC (approximately 90% of patients), and RET fusions are implicated in several cancers, including papillary thyroid carcinoma (approximately 10- 20% of patients) and NSCLC (1-2% of patients). We estimate that in the Major Markets, there are approximately 8,900 first-and second-line patients with RET-altered NSCLC and 1,300 patients with MTC, regardless of line of therapy or alteration. In addition, oncogenic RET alterations are observed at low frequencies in colorectal, breast, pancreatic and other cancers, providing a therapeutic rationale for the use of RET inhibitors in multiple patient subpopulations.</w:t>
      </w:r>
    </w:p>
    <w:p>
      <w:pPr>
        <w:spacing w:after="0" w:line="23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For example, currently approved therapies such as vandetanib and cabozantinib demonstrate lower objective response rates and DOR in patients with RET-altered NSCLC compared to selective kinase inhibitors targeting other kinase drivers such as EGFR, ALK and ROS1.</w:t>
      </w:r>
    </w:p>
    <w:p>
      <w:pPr>
        <w:spacing w:after="0" w:line="224"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One of the greatest challenges in treating cancer is the ability of tumor cells to become resistant to therapy. Kinase reactivation via mutation to evade small molecule inhibition is a common mechanism of resistance. We have predicted future resistance mutations of drugs with RET inhibitory activity. Thus, there is a clear need for a selective RET inhibitor that targets both oncogenic RET fusions and activating mutations and their predicted RET resistance mutations.</w:t>
      </w:r>
    </w:p>
    <w:p>
      <w:pPr>
        <w:spacing w:after="0" w:line="208"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Currently, pralsetinib (under the brand name GAVRETO) is the only once-daily RET-targeted therapy approved by the FDA for the treatment of certain RET-altered NSCLC and thyroid cancers in the U.S. Previously reported clinical data of pralsetinib in patients with RET-altered cancers are described below. Pursuant to our collaboration with Roche, we plan to co-develop pralsetinib globally in RET-altered solid tumors, including NSCLC, MTC and other thyroid cancers, as well as other solid tumors.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Data in RET-altered NSCLC and Thyroid Cancers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GAVRETO (pralsetinib)—Phase 1/2 ARROW Trial</w:t>
      </w:r>
    </w:p>
    <w:p>
      <w:pPr>
        <w:spacing w:after="0" w:line="254" w:lineRule="exact"/>
        <w:rPr>
          <w:sz w:val="20"/>
          <w:szCs w:val="20"/>
          <w:color w:val="auto"/>
        </w:rPr>
      </w:pPr>
    </w:p>
    <w:p>
      <w:pPr>
        <w:ind w:left="60" w:right="119" w:firstLine="648"/>
        <w:spacing w:after="0" w:line="264" w:lineRule="auto"/>
        <w:rPr>
          <w:sz w:val="20"/>
          <w:szCs w:val="20"/>
          <w:color w:val="auto"/>
        </w:rPr>
      </w:pPr>
      <w:r>
        <w:rPr>
          <w:rFonts w:ascii="Times New Roman" w:cs="Times New Roman" w:eastAsia="Times New Roman" w:hAnsi="Times New Roman"/>
          <w:sz w:val="17"/>
          <w:szCs w:val="17"/>
          <w:color w:val="0A0A0A"/>
        </w:rPr>
        <w:t>The ARROW trial is a Phase 1/2 open-label, registration-enabling trial designed to evaluate the safety, tolerability and efficacy of pralsetinib in adults with RET-altered cancers. The trial consists of two parts: a dose escalation portion and an expansion portion in patients treated at 400 mg QD. The dose-</w:t>
      </w:r>
      <w:r>
        <w:rPr>
          <w:rFonts w:ascii="Times New Roman" w:cs="Times New Roman" w:eastAsia="Times New Roman" w:hAnsi="Times New Roman"/>
          <w:sz w:val="17"/>
          <w:szCs w:val="17"/>
          <w:color w:val="000000"/>
        </w:rPr>
        <w:t>escalation portion</w:t>
      </w:r>
      <w:r>
        <w:rPr>
          <w:rFonts w:ascii="Times New Roman" w:cs="Times New Roman" w:eastAsia="Times New Roman" w:hAnsi="Times New Roman"/>
          <w:sz w:val="17"/>
          <w:szCs w:val="17"/>
          <w:color w:val="0A0A0A"/>
        </w:rPr>
        <w:t xml:space="preserve"> of the ARROW trial is complete, and the expansion portion is actively enrolling patients at multiple sites in the United States, European Union and Asia.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-534035</wp:posOffset>
            </wp:positionV>
            <wp:extent cx="5657850" cy="514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514350"/>
                    </a:xfrm>
                    <a:prstGeom prst="rect">
                      <a:avLst/>
                    </a:prstGeom>
                    <a:noFill/>
                  </pic:spPr>
                </pic:pic>
              </a:graphicData>
            </a:graphic>
          </wp:anchor>
        </w:drawing>
      </w:r>
    </w:p>
    <w:p>
      <w:pPr>
        <w:spacing w:after="0" w:line="17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Top-Line Data in RET-Altered Thyroid Cancers Announced in April 2020</w:t>
      </w:r>
    </w:p>
    <w:p>
      <w:pPr>
        <w:spacing w:after="0" w:line="254" w:lineRule="exact"/>
        <w:rPr>
          <w:sz w:val="20"/>
          <w:szCs w:val="20"/>
          <w:color w:val="auto"/>
        </w:rPr>
      </w:pPr>
    </w:p>
    <w:p>
      <w:pPr>
        <w:ind w:left="60" w:right="519" w:firstLine="648"/>
        <w:spacing w:after="0" w:line="250" w:lineRule="auto"/>
        <w:rPr>
          <w:sz w:val="20"/>
          <w:szCs w:val="20"/>
          <w:color w:val="auto"/>
        </w:rPr>
      </w:pPr>
      <w:r>
        <w:rPr>
          <w:rFonts w:ascii="Times New Roman" w:cs="Times New Roman" w:eastAsia="Times New Roman" w:hAnsi="Times New Roman"/>
          <w:sz w:val="18"/>
          <w:szCs w:val="18"/>
          <w:color w:val="auto"/>
        </w:rPr>
        <w:t>Top-line efficacy data were reported for patients treated with pralsetinib who were evaluable for response assessment per RECIST 1.1, as determined by blinded independent central review. All patients received the proposed indicated dose of 400 mg QD. All results were as of a data cutoff date of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-398145</wp:posOffset>
            </wp:positionV>
            <wp:extent cx="5657850" cy="2408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408555"/>
                    </a:xfrm>
                    <a:prstGeom prst="rect">
                      <a:avLst/>
                    </a:prstGeom>
                    <a:noFill/>
                  </pic:spPr>
                </pic:pic>
              </a:graphicData>
            </a:graphic>
          </wp:anchor>
        </w:drawing>
      </w:r>
    </w:p>
    <w:p>
      <w:pPr>
        <w:spacing w:after="0" w:line="195" w:lineRule="exact"/>
        <w:rPr>
          <w:sz w:val="20"/>
          <w:szCs w:val="20"/>
          <w:color w:val="auto"/>
        </w:rPr>
      </w:pPr>
    </w:p>
    <w:p>
      <w:pPr>
        <w:ind w:left="60" w:right="119" w:firstLine="648"/>
        <w:spacing w:after="0" w:line="246" w:lineRule="auto"/>
        <w:rPr>
          <w:sz w:val="20"/>
          <w:szCs w:val="20"/>
          <w:color w:val="auto"/>
        </w:rPr>
      </w:pPr>
      <w:r>
        <w:rPr>
          <w:rFonts w:ascii="Times New Roman" w:cs="Times New Roman" w:eastAsia="Times New Roman" w:hAnsi="Times New Roman"/>
          <w:sz w:val="18"/>
          <w:szCs w:val="18"/>
          <w:i w:val="1"/>
          <w:iCs w:val="1"/>
          <w:color w:val="0A0A0A"/>
        </w:rPr>
        <w:t>Clinical Activity Data</w:t>
      </w:r>
      <w:r>
        <w:rPr>
          <w:rFonts w:ascii="Times New Roman" w:cs="Times New Roman" w:eastAsia="Times New Roman" w:hAnsi="Times New Roman"/>
          <w:sz w:val="18"/>
          <w:szCs w:val="18"/>
          <w:color w:val="0A0A0A"/>
        </w:rPr>
        <w:t>. In 53 patients with RET-mutant MTC previously treated with cabozantinib or vandetanib,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the ORR was 60 percent (95% CI: 46%,74%) with one response pending confirmation. Nearly all patients (98 percent) had tumor shrinkage. The median DOR was not reached (95% CI: not estimable, not estimable), and the 18-month DOR rate was 90 percent (95% CI: 77%, 100%).</w:t>
      </w:r>
    </w:p>
    <w:p>
      <w:pPr>
        <w:spacing w:after="0" w:line="206"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0A0A0A"/>
        </w:rPr>
        <w:t>In addition, the top-line data showed robust clinical activity in treatment-naïve patients, supporting the potential of pralsetinib across lines of therapy. In 19 patients with RET-mutant MTC who had not received prior systemic treatment, the confirmed ORR was 74 percent (95% CI: 49%, 91%), and all patients had tumor shrinkage. The median DOR was not reached (95% CI: 7 months, not estimable), with 12 of 14 responders remaining in response for up to 15 months as of the data cutoff date.</w:t>
      </w:r>
    </w:p>
    <w:p>
      <w:pPr>
        <w:spacing w:after="0" w:line="225" w:lineRule="exact"/>
        <w:rPr>
          <w:sz w:val="20"/>
          <w:szCs w:val="20"/>
          <w:color w:val="auto"/>
        </w:rPr>
      </w:pPr>
    </w:p>
    <w:p>
      <w:pPr>
        <w:ind w:left="60" w:right="259" w:firstLine="648"/>
        <w:spacing w:after="0" w:line="250" w:lineRule="auto"/>
        <w:rPr>
          <w:sz w:val="20"/>
          <w:szCs w:val="20"/>
          <w:color w:val="auto"/>
        </w:rPr>
      </w:pPr>
      <w:r>
        <w:rPr>
          <w:rFonts w:ascii="Times New Roman" w:cs="Times New Roman" w:eastAsia="Times New Roman" w:hAnsi="Times New Roman"/>
          <w:sz w:val="18"/>
          <w:szCs w:val="18"/>
          <w:color w:val="0A0A0A"/>
        </w:rPr>
        <w:t>In nine patients with RET fusion-positive thyroid cancer, the confirmed ORR was 89 percent (95% CI: 52%, 100%), and all patients had tumor shrinkage. The median DOR was not reached (95% CI: 8 months, not estimable), with seven of eight responders remaining in response for up to 20 months as of the data cutoff date.</w:t>
      </w:r>
    </w:p>
    <w:p>
      <w:pPr>
        <w:spacing w:after="0" w:line="215" w:lineRule="exact"/>
        <w:rPr>
          <w:sz w:val="20"/>
          <w:szCs w:val="20"/>
          <w:color w:val="auto"/>
        </w:rPr>
      </w:pPr>
    </w:p>
    <w:p>
      <w:pPr>
        <w:ind w:left="60" w:right="79" w:firstLine="648"/>
        <w:spacing w:after="0" w:line="273" w:lineRule="auto"/>
        <w:rPr>
          <w:sz w:val="20"/>
          <w:szCs w:val="20"/>
          <w:color w:val="auto"/>
        </w:rPr>
      </w:pPr>
      <w:r>
        <w:rPr>
          <w:rFonts w:ascii="Times New Roman" w:cs="Times New Roman" w:eastAsia="Times New Roman" w:hAnsi="Times New Roman"/>
          <w:sz w:val="17"/>
          <w:szCs w:val="17"/>
          <w:i w:val="1"/>
          <w:iCs w:val="1"/>
          <w:color w:val="0A0A0A"/>
        </w:rPr>
        <w:t>Safety Data</w:t>
      </w:r>
      <w:r>
        <w:rPr>
          <w:rFonts w:ascii="Times New Roman" w:cs="Times New Roman" w:eastAsia="Times New Roman" w:hAnsi="Times New Roman"/>
          <w:sz w:val="17"/>
          <w:szCs w:val="17"/>
          <w:color w:val="0A0A0A"/>
        </w:rPr>
        <w:t>. Top-line safety data were consistent with those previously reported. Pralsetinib was well-tolerated,</w:t>
      </w:r>
      <w:r>
        <w:rPr>
          <w:rFonts w:ascii="Times New Roman" w:cs="Times New Roman" w:eastAsia="Times New Roman" w:hAnsi="Times New Roman"/>
          <w:sz w:val="17"/>
          <w:szCs w:val="17"/>
          <w:i w:val="1"/>
          <w:iCs w:val="1"/>
          <w:color w:val="0A0A0A"/>
        </w:rPr>
        <w:t xml:space="preserve"> </w:t>
      </w:r>
      <w:r>
        <w:rPr>
          <w:rFonts w:ascii="Times New Roman" w:cs="Times New Roman" w:eastAsia="Times New Roman" w:hAnsi="Times New Roman"/>
          <w:sz w:val="17"/>
          <w:szCs w:val="17"/>
          <w:color w:val="0A0A0A"/>
        </w:rPr>
        <w:t>and most treatment-related AEs were Grade 1 or 2. Across all patients enrolled in the ARROW trial treated at the proposed indicated dose of 400 mg QD (n=438), only 4 percent discontinued treatment with pralsetinib due to treatment-related AEs.</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American Society of Clinical Oncology 2020 Virtual Scientific Program in May 2020</w:t>
      </w:r>
    </w:p>
    <w:p>
      <w:pPr>
        <w:spacing w:after="0" w:line="254"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The reported data included response-evaluable populations comprising 116 patients with NSCLC who received a starting dose of 400 mg QD, including 80 patients with NSCLC previously treated with platinum-based chemotherapy and 26 patients with treatment-naïve NSCLC, 11 patients with RET fusion-positive thyroid cancer, and 12 patients with other RET fusion-positive cancers. Tumor response was assessed by blinded, independent central review using RECIST version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-650240</wp:posOffset>
            </wp:positionV>
            <wp:extent cx="5657850" cy="1731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31645"/>
                    </a:xfrm>
                    <a:prstGeom prst="rect">
                      <a:avLst/>
                    </a:prstGeom>
                    <a:noFill/>
                  </pic:spPr>
                </pic:pic>
              </a:graphicData>
            </a:graphic>
          </wp:anchor>
        </w:drawing>
      </w:r>
    </w:p>
    <w:p>
      <w:pPr>
        <w:spacing w:after="0" w:line="203" w:lineRule="exact"/>
        <w:rPr>
          <w:sz w:val="20"/>
          <w:szCs w:val="20"/>
          <w:color w:val="auto"/>
        </w:rPr>
      </w:pPr>
    </w:p>
    <w:p>
      <w:pPr>
        <w:jc w:val="both"/>
        <w:ind w:left="60" w:right="519" w:firstLine="648"/>
        <w:spacing w:after="0" w:line="251" w:lineRule="auto"/>
        <w:rPr>
          <w:sz w:val="20"/>
          <w:szCs w:val="20"/>
          <w:color w:val="auto"/>
        </w:rPr>
      </w:pPr>
      <w:r>
        <w:rPr>
          <w:rFonts w:ascii="Times New Roman" w:cs="Times New Roman" w:eastAsia="Times New Roman" w:hAnsi="Times New Roman"/>
          <w:sz w:val="18"/>
          <w:szCs w:val="18"/>
          <w:i w:val="1"/>
          <w:iCs w:val="1"/>
          <w:color w:val="0A0A0A"/>
        </w:rPr>
        <w:t>Clinical Activity Data – RET Fusion-Positive NSCLC</w:t>
      </w:r>
      <w:r>
        <w:rPr>
          <w:rFonts w:ascii="Times New Roman" w:cs="Times New Roman" w:eastAsia="Times New Roman" w:hAnsi="Times New Roman"/>
          <w:sz w:val="18"/>
          <w:szCs w:val="18"/>
          <w:color w:val="0A0A0A"/>
        </w:rPr>
        <w:t>. As of a data cutoff of November 18, 2019, pralsetinib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demonstrated consistent and robust clinical activity in RET fusion-positive NSCLC, regardless of prior therapy, RET fusion partner or CNS involvement.</w:t>
      </w:r>
    </w:p>
    <w:p>
      <w:pPr>
        <w:spacing w:after="0" w:line="203" w:lineRule="exact"/>
        <w:rPr>
          <w:sz w:val="20"/>
          <w:szCs w:val="20"/>
          <w:color w:val="auto"/>
        </w:rPr>
      </w:pPr>
    </w:p>
    <w:p>
      <w:pPr>
        <w:ind w:left="60" w:right="339" w:firstLine="648"/>
        <w:spacing w:after="0" w:line="272" w:lineRule="auto"/>
        <w:rPr>
          <w:sz w:val="20"/>
          <w:szCs w:val="20"/>
          <w:color w:val="auto"/>
        </w:rPr>
      </w:pPr>
      <w:r>
        <w:rPr>
          <w:rFonts w:ascii="Times New Roman" w:cs="Times New Roman" w:eastAsia="Times New Roman" w:hAnsi="Times New Roman"/>
          <w:sz w:val="17"/>
          <w:szCs w:val="17"/>
          <w:color w:val="0A0A0A"/>
        </w:rPr>
        <w:t>In 80 patients who previously received platinum-based chemotherapy, the ORR was 61 percent (95% CI: 50%, 72%). Two partial responses, or PRs, were pending confirmation at the time of the data cut off and were subsequently confirmed. Five percent of patients had a complete response, or CR, and 14 percent of patients had complete regression</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0A0A0A"/>
        </w:rPr>
        <w:t>of target tumors. In 26 patients with no prior systemic therapy, the confirmed ORR was 73 percent (95% CI: 52%, 88%), and the CR rate was 12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-278765</wp:posOffset>
            </wp:positionV>
            <wp:extent cx="5657850" cy="2922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922905"/>
                    </a:xfrm>
                    <a:prstGeom prst="rect">
                      <a:avLst/>
                    </a:prstGeom>
                    <a:noFill/>
                  </pic:spPr>
                </pic:pic>
              </a:graphicData>
            </a:graphic>
          </wp:anchor>
        </w:drawing>
      </w:r>
    </w:p>
    <w:p>
      <w:pPr>
        <w:spacing w:after="0" w:line="183" w:lineRule="exact"/>
        <w:rPr>
          <w:sz w:val="20"/>
          <w:szCs w:val="20"/>
          <w:color w:val="auto"/>
        </w:rPr>
      </w:pPr>
    </w:p>
    <w:p>
      <w:pPr>
        <w:jc w:val="both"/>
        <w:ind w:left="60" w:right="299" w:firstLine="648"/>
        <w:spacing w:after="0" w:line="250" w:lineRule="auto"/>
        <w:rPr>
          <w:sz w:val="20"/>
          <w:szCs w:val="20"/>
          <w:color w:val="auto"/>
        </w:rPr>
      </w:pPr>
      <w:r>
        <w:rPr>
          <w:rFonts w:ascii="Times New Roman" w:cs="Times New Roman" w:eastAsia="Times New Roman" w:hAnsi="Times New Roman"/>
          <w:sz w:val="18"/>
          <w:szCs w:val="18"/>
          <w:color w:val="0A0A0A"/>
        </w:rPr>
        <w:t>Across all 116 patients, regardless of prior therapy, the median DOR was not reached (95% CI: 11 months, not reached), and the 6-month DOR was 86 percent. Overall, 74 percent of confirmed responders, including all patients with CRs, were on treatment as of the data cutoff.</w:t>
      </w:r>
    </w:p>
    <w:p>
      <w:pPr>
        <w:spacing w:after="0" w:line="217"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0A0A0A"/>
        </w:rPr>
        <w:t>Robust and durable intracranial activity was shown in nine patients with measurable CNS metastases at baseline. All patients had shrinkage of CNS metastases, with an intracranial CR rate of 33 percent. No CNS responders experienced CNS progressive events. The median CNS DOR was not reached, with ongoing treatment durations up to 12 months in patients with measurable CNS metastases. Among patients without a history of CNS metastases, none have developed new CNS metastases on study as of the data cutoff date.</w:t>
      </w:r>
    </w:p>
    <w:p>
      <w:pPr>
        <w:spacing w:after="0" w:line="210"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i w:val="1"/>
          <w:iCs w:val="1"/>
          <w:color w:val="0A0A0A"/>
        </w:rPr>
        <w:t>Clinical Activity Data – Other RET Fusion-Positive Cancers</w:t>
      </w:r>
      <w:r>
        <w:rPr>
          <w:rFonts w:ascii="Times New Roman" w:cs="Times New Roman" w:eastAsia="Times New Roman" w:hAnsi="Times New Roman"/>
          <w:sz w:val="18"/>
          <w:szCs w:val="18"/>
          <w:color w:val="0A0A0A"/>
        </w:rPr>
        <w:t>. As of a data cutoff of February 13, 2020, pralsetinib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demonstrated robust clinical activity in a range of additional RET fusion-positive cancers. In 11 patients with RET fusion-positive thyroid cancer (10 previously treated with systemic therapy), the centrally confirmed ORR was 91 percent (95% CI: 59%, 100%), and the disease control rate, or DCR, was 100 percent (95% CI: 72%, 100%). Overall, 70 percent of responders remain on therapy with ongoing treatment durations up to 22 months as of the data cutoff. Across 12 patients with other RET fusion-positive cancers previously treated with systemic therapy, the investigator-assessed ORR was 50 percent (95% CI: 21%, 79%), with one PR pending confirmation as of the data cutoff. Responses were observed in all evaluable patients with pancreatic adenocarcinoma (n=3) and cholangiocarcinoma (n=2), tumor types with a typically poor prognosis.</w:t>
      </w:r>
    </w:p>
    <w:p>
      <w:pPr>
        <w:spacing w:after="0" w:line="224" w:lineRule="exact"/>
        <w:rPr>
          <w:sz w:val="20"/>
          <w:szCs w:val="20"/>
          <w:color w:val="auto"/>
        </w:rPr>
      </w:pPr>
    </w:p>
    <w:p>
      <w:pPr>
        <w:ind w:left="60" w:right="579" w:firstLine="648"/>
        <w:spacing w:after="0" w:line="251" w:lineRule="auto"/>
        <w:rPr>
          <w:sz w:val="20"/>
          <w:szCs w:val="20"/>
          <w:color w:val="auto"/>
        </w:rPr>
      </w:pPr>
      <w:r>
        <w:rPr>
          <w:rFonts w:ascii="Times New Roman" w:cs="Times New Roman" w:eastAsia="Times New Roman" w:hAnsi="Times New Roman"/>
          <w:sz w:val="18"/>
          <w:szCs w:val="18"/>
          <w:i w:val="1"/>
          <w:iCs w:val="1"/>
          <w:color w:val="0A0A0A"/>
        </w:rPr>
        <w:t>Safety Data</w:t>
      </w:r>
      <w:r>
        <w:rPr>
          <w:rFonts w:ascii="Times New Roman" w:cs="Times New Roman" w:eastAsia="Times New Roman" w:hAnsi="Times New Roman"/>
          <w:sz w:val="18"/>
          <w:szCs w:val="18"/>
          <w:color w:val="0A0A0A"/>
        </w:rPr>
        <w:t>. As of the data cutoff date of November 18, 2019, a total of 354 patients were enrolled in the</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ARROW trial at a starting dose of 400 mg QD. Overall, safety results were consistent with previously reported data. Pralsetinib was well-tolerated across tumor types, and most treatment-related AEs were Grade 1 or 2.</w:t>
      </w:r>
    </w:p>
    <w:p>
      <w:pPr>
        <w:spacing w:after="0" w:line="217"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0A0A0A"/>
        </w:rPr>
        <w:t>The most common treatment-related AEs reported by investigators (≥15 percent) were increased aspartate aminotransferase, anemia, increased alanine aminotransferase, constipation, hypertension and neutropenia. Investigator-reported Grade 3 or higher treatment-related AEs (≥5 percent) were hypertension, neutropenia and anemia. Only 4 percent of patients discontinued pralsetinib due to treatment-related AEs.</w:t>
      </w:r>
    </w:p>
    <w:p>
      <w:pPr>
        <w:spacing w:after="0" w:line="20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u w:val="single" w:color="auto"/>
          <w:color w:val="auto"/>
        </w:rPr>
        <w:t>Data Presented at European Society for Medical Oncology Virtual Congress 2020 in September 2020</w:t>
      </w:r>
    </w:p>
    <w:p>
      <w:pPr>
        <w:spacing w:after="0" w:line="254"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The presented data included response-evaluable patients with RET-mutant MTC who were previously treated with cabozantinib or vandetanib, or naïve to systemic treatment. Tumor response was assessed by blinded, independent central review using RECIST version 1.1. All patients received a pralsetinib starting dose of 400 mg QD, and results were reported as of a data cutoff date of 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-524510</wp:posOffset>
            </wp:positionV>
            <wp:extent cx="5657850" cy="25374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37460"/>
                    </a:xfrm>
                    <a:prstGeom prst="rect">
                      <a:avLst/>
                    </a:prstGeom>
                    <a:noFill/>
                  </pic:spPr>
                </pic:pic>
              </a:graphicData>
            </a:graphic>
          </wp:anchor>
        </w:drawing>
      </w:r>
    </w:p>
    <w:p>
      <w:pPr>
        <w:spacing w:after="0" w:line="19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i w:val="1"/>
          <w:iCs w:val="1"/>
          <w:color w:val="0A0A0A"/>
        </w:rPr>
        <w:t>Clinical Activity Data – RET-Mutant MTC</w:t>
      </w:r>
      <w:r>
        <w:rPr>
          <w:rFonts w:ascii="Times New Roman" w:cs="Times New Roman" w:eastAsia="Times New Roman" w:hAnsi="Times New Roman"/>
          <w:sz w:val="18"/>
          <w:szCs w:val="18"/>
          <w:color w:val="0A0A0A"/>
        </w:rPr>
        <w:t>.</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00000"/>
        </w:rPr>
        <w:t>Pralsetinib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demonstrated broad clinical activity in patients with RET-mutant MTC with or without prior systemic therapy. In 53 patients previously treated with cabozantinib or vandetanib, the ORR was 60 percent (95% CI: 46%, 74%) with one response pending confirmation, and the DCR was 96 percent (95% CI: 87%, 100%). The median DOR was not reached (95% CI: not reached, not reached), with 94 percent of responders remaining on treatment. The median progression-free survival, or PFS, was not reached (95% CI: not reached, not reached) in patients previously treated with cabozantinib or vandetanib.</w:t>
      </w:r>
    </w:p>
    <w:p>
      <w:pPr>
        <w:spacing w:after="0" w:line="213"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0A0A0A"/>
        </w:rPr>
        <w:t>In 19 systemic treatment-naïve patients who were ineligible for standard therapy per the study protocol, the confirmed ORR was 74 percent (95% CI: 49%, 91%), and the DCR was 100 percent (95% CI: 82%, 100%). The median DOR was not reached (95% CI: 7 months, not reached), with 93 percent of responders remaining on treatment. The median PFS was not reached (95% CI: not reached, not reached) in systemic treatment-naïve patients.</w:t>
      </w:r>
    </w:p>
    <w:p>
      <w:pPr>
        <w:spacing w:after="0" w:line="22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0A0A0A"/>
        </w:rPr>
        <w:t>Five of six patients whose tumors had a RET V804M or V804L gatekeeper mutation achieved a clinical response. Three patients previously treated with multi-kinase inhibitors had a RET M918T activating mutation and a</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0A0A0A"/>
        </w:rPr>
        <w:t>RET V804M or V804L gatekeeper resistance mutation at baseline, and all three of these patients had a clinical response following pralsetinib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-278765</wp:posOffset>
            </wp:positionV>
            <wp:extent cx="565785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7175"/>
                    </a:xfrm>
                    <a:prstGeom prst="rect">
                      <a:avLst/>
                    </a:prstGeom>
                    <a:noFill/>
                  </pic:spPr>
                </pic:pic>
              </a:graphicData>
            </a:graphic>
          </wp:anchor>
        </w:drawing>
      </w:r>
    </w:p>
    <w:p>
      <w:pPr>
        <w:spacing w:after="0" w:line="181"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i w:val="1"/>
          <w:iCs w:val="1"/>
          <w:color w:val="0A0A0A"/>
        </w:rPr>
        <w:t>Safety Data</w:t>
      </w:r>
      <w:r>
        <w:rPr>
          <w:rFonts w:ascii="Times New Roman" w:cs="Times New Roman" w:eastAsia="Times New Roman" w:hAnsi="Times New Roman"/>
          <w:sz w:val="18"/>
          <w:szCs w:val="18"/>
          <w:color w:val="0A0A0A"/>
        </w:rPr>
        <w:t>. The reported safety data included a total of 438 patients enrolled in the ARROW trial at a pralsetinib</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A0A0A"/>
        </w:rPr>
        <w:t>starting dose of 400 mg QD, regardless of tumor type. Pralsetinib was well-tolerated with safety results consistent with previously reported data. Overall, treatment-related AEs were primarily Grade 1 or 2. The most common treatment-related AEs reported by investigators (≥15 percent) were increased aspartate aminotransferase, anemia, increased alanine aminotransferase, hypertension, constipation, decreased white blood cell count, neutropenia, decreased neutrophil count and hyperphosphatemia. Investigator-reported Grade 3 or higher treatment-related AEs (≥5 percent) were hypertension, neutropenia, anemia and decreased neutrophil count. Four percent of patients discontinued pralsetinib due to treatment-related AEs.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Gastrointestinal Stromal Tumors (GIST)</w:t>
      </w:r>
    </w:p>
    <w:p>
      <w:pPr>
        <w:spacing w:after="0" w:line="243"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GIST is a rare disease that is a sarcoma of the gastrointestinal tract. Tumors arise within cells in the wall of the gastrointestinal tract and occur most often in the stomach or small intestine. Most patients are diagnosed between the ages of 50-80 with diagnosis triggered by gastrointestinal bleeding, incidental findings during surgery or imaging, or in rare cases acute presentation due to tumor rupture or gastrointestinal obstruction. The standard workup at primary presentation includes pathologic confirmation and imaging to assess extent of disease.</w:t>
      </w:r>
    </w:p>
    <w:p>
      <w:pPr>
        <w:spacing w:after="0" w:line="225"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GIST treatment paradigm has advanced dramatically over the past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five-year median overall survival. Unresectable or metastatic patients typically receive imatinib, followed by sunitinib and regorafenib as the disease progresses.</w:t>
      </w:r>
    </w:p>
    <w:p>
      <w:pPr>
        <w:spacing w:after="0" w:line="225"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GIST is a tumor type that depends on continued signaling of a single, aberrantly active kinase. About 5 to 6 percent of primary GIST cases are caused by a PDGFRA D842V mutation, the most common PDGFRA exon 18 mutation. Published data have shown poor outcomes in patients with PDGFRA D842V mutant GIST treated with imatinib and other approved therapies that do not specifically target PDGFRA mutations. Progression can occur within as little as three months, and the median overall survival is 15 months for patients with advanced disease. Currently, AYVAKIT is the only FDA-approved treatment for patients with D842V mutant PDGFRA-driven GIST.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Hepatocellular Carcinoma (HCC)</w:t>
      </w:r>
    </w:p>
    <w:p>
      <w:pPr>
        <w:spacing w:after="0" w:line="256"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Liver cancer is the second leading cause of cancer-related deaths worldwide, and HCC accounts for most liver cancers. The highest incidence of HCC occurs in regions with endemic hepatitis B virus, or HBV, including Southeast Asia and sub-Saharan Africa. Cirrhosis is a key risk factor for HCC —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the European Union, the main risk factors for cirrhosis are HCV, HBV and alcohol consumption. In Asia and sub-Saharan Africa, the major risk factor is chronic HBV infection.</w:t>
      </w:r>
    </w:p>
    <w:p>
      <w:pPr>
        <w:spacing w:after="0" w:line="225" w:lineRule="exact"/>
        <w:rPr>
          <w:sz w:val="20"/>
          <w:szCs w:val="20"/>
          <w:color w:val="auto"/>
        </w:rPr>
      </w:pPr>
    </w:p>
    <w:p>
      <w:pPr>
        <w:ind w:left="60" w:right="199" w:firstLine="648"/>
        <w:spacing w:after="0" w:line="272" w:lineRule="auto"/>
        <w:rPr>
          <w:sz w:val="20"/>
          <w:szCs w:val="20"/>
          <w:color w:val="auto"/>
        </w:rPr>
      </w:pPr>
      <w:r>
        <w:rPr>
          <w:rFonts w:ascii="Times New Roman" w:cs="Times New Roman" w:eastAsia="Times New Roman" w:hAnsi="Times New Roman"/>
          <w:sz w:val="17"/>
          <w:szCs w:val="17"/>
          <w:color w:val="auto"/>
        </w:rPr>
        <w:t>The FGFR4 signaling pathway is a potential driver of disease in a subset of HCC patients. In these patients, FGF19 (the ligand that activates FGFR4) is overexpressed in hepatocytes, which do not normally express FGF19, leading to autocrine signaling and tumor growth. We estimate that approximately 30% of patients have FGFR4-activated HCC.</w:t>
      </w:r>
    </w:p>
    <w:p>
      <w:pPr>
        <w:spacing w:after="0" w:line="186"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As part of our collaboration with CStone, we are evaluating fisogatinib as a monotherapy and in combination with sugemalimab for the treatment of locally advanced or metastatic HCC.</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Treatment-Resistant EGFR-Mutated NSCLC</w:t>
      </w:r>
    </w:p>
    <w:p>
      <w:pPr>
        <w:spacing w:after="0" w:line="256"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Among the 80 to 85 percent of lung cancers classified as NSCLC, it is estimated that about 10-15% of cases in the U.S. and Europe and about 40-50% of cases in Asia are caused by activating EGFR mutations. In recent years, the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0" w:lineRule="auto"/>
        <w:rPr>
          <w:sz w:val="20"/>
          <w:szCs w:val="20"/>
          <w:color w:val="auto"/>
        </w:rPr>
      </w:pPr>
      <w:r>
        <w:rPr>
          <w:rFonts w:ascii="Times New Roman" w:cs="Times New Roman" w:eastAsia="Times New Roman" w:hAnsi="Times New Roman"/>
          <w:sz w:val="18"/>
          <w:szCs w:val="18"/>
          <w:color w:val="auto"/>
        </w:rPr>
        <w:t>introduction of EGFR targeted therapies including osimertinib has dramatically improved outcomes in patients with EGFR-mutated NSCLC. However, the emergence of tumor resistance represents an urgent medical need and there are no approved therapies for osimertinib-resistant EGFR-mutated NSCLC.</w:t>
      </w:r>
    </w:p>
    <w:p>
      <w:pPr>
        <w:spacing w:after="0" w:line="217"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We are developing BLU-701 and BLU-945, each as a monotherapy and/or in combination with other agents, for the treatment of patients with treatment-resistant EGFR-mutated NSCLC. We plan to initiate a Phase 1 trial of BLU-701 in patients with treatment-resistant EGFR-driven NSCLC by the end of 2021, and to initiate a Phase 1 trial of BLU-945 in patients with treatment-resistant EGFR-driven NSCLC in the first half of 2021.</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Collaborations and Licenses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56"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7"/>
          <w:szCs w:val="17"/>
          <w:color w:val="212529"/>
        </w:rPr>
        <w:t xml:space="preserve">In March 2016, we entered into a collaboration and license agreement, or </w:t>
      </w:r>
      <w:r>
        <w:rPr>
          <w:rFonts w:ascii="Times New Roman" w:cs="Times New Roman" w:eastAsia="Times New Roman" w:hAnsi="Times New Roman"/>
          <w:sz w:val="17"/>
          <w:szCs w:val="17"/>
          <w:color w:val="000000"/>
        </w:rPr>
        <w:t>the Roche immunotherapy agreement</w:t>
      </w:r>
      <w:r>
        <w:rPr>
          <w:rFonts w:ascii="Times New Roman" w:cs="Times New Roman" w:eastAsia="Times New Roman" w:hAnsi="Times New Roman"/>
          <w:sz w:val="17"/>
          <w:szCs w:val="17"/>
          <w:color w:val="212529"/>
        </w:rPr>
        <w:t>, as may be amended from time to time, with Roche for the discovery, development and commercialization of small molecule therapeutics targeting kinases believed to be important in cancer immunotherapy, as single products or possibly in combination with other therapeutics. As a result of an amendment to the Roche immunotherapy agreement in the first quarter of 2021, we and Roche are currently conducting activities for up to two programs under the collaboration, including the previously announced program for the kinase target MAP4K1, which is believed to play a role in T cell regulation.</w:t>
      </w:r>
    </w:p>
    <w:p>
      <w:pPr>
        <w:spacing w:after="0" w:line="211" w:lineRule="exact"/>
        <w:rPr>
          <w:sz w:val="20"/>
          <w:szCs w:val="20"/>
          <w:color w:val="auto"/>
        </w:rPr>
      </w:pPr>
    </w:p>
    <w:p>
      <w:pPr>
        <w:ind w:left="60" w:right="79" w:firstLine="693"/>
        <w:spacing w:after="0"/>
        <w:rPr>
          <w:sz w:val="20"/>
          <w:szCs w:val="20"/>
          <w:color w:val="auto"/>
        </w:rPr>
      </w:pPr>
      <w:r>
        <w:rPr>
          <w:rFonts w:ascii="Times New Roman" w:cs="Times New Roman" w:eastAsia="Times New Roman" w:hAnsi="Times New Roman"/>
          <w:sz w:val="18"/>
          <w:szCs w:val="18"/>
          <w:color w:val="auto"/>
        </w:rPr>
        <w:t>Under the Roche immunotherapy agreement, as amended, Roche was granted two option rights to obtain an exclusive license to exploit products derived from the collaboration programs in the field of cancer immunotherapy. Such option rights are triggered upon the achievement of Phase 1 proof-of-concept. For one of the collaboration programs, if Roche exercises its option, Roche will receive worldwide, exclusive commercialization rights for the licensed product. For the other collaboration program, if Roche exercises its option, we will retain commercialization rights in the U.S. for the licensed product, and Roche will receive commercialization rights outside of the U.S. for the licensed product. We will also retain worldwide rights to any products for which Roche elects not to exercise its applicable option.</w:t>
      </w:r>
    </w:p>
    <w:p>
      <w:pPr>
        <w:spacing w:after="0" w:line="185"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Prior to Roche’s exercise of an option, we have the lead responsibility for drug discovery and pre-clinical development of all collaboration programs. In addition, we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U.S.</w:t>
      </w:r>
    </w:p>
    <w:p>
      <w:pPr>
        <w:spacing w:after="0" w:line="187"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 xml:space="preserve">We received an upfront cash payment of $45.0 million in March 2016 upon execution of the Roche immunotherapy agreement, and through December 31, 2020, we have achieved $19.5 million in milestone payments under this collaboration. Subject to the terms of the Roche immunotherapy agreement, as amended, in addition to upfront and milestone payments received through December 31, 2020, we are eligible to receive </w:t>
      </w:r>
      <w:r>
        <w:rPr>
          <w:rFonts w:ascii="Times New Roman" w:cs="Times New Roman" w:eastAsia="Times New Roman" w:hAnsi="Times New Roman"/>
          <w:sz w:val="18"/>
          <w:szCs w:val="18"/>
          <w:color w:val="212529"/>
        </w:rPr>
        <w:t>up to approximately $323.3 million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in contingent option fees and milestone payments related to specified research, pre-clinical, clinical, regulatory and sales-based milestones</w:t>
      </w:r>
      <w:r>
        <w:rPr>
          <w:rFonts w:ascii="Times New Roman" w:cs="Times New Roman" w:eastAsia="Times New Roman" w:hAnsi="Times New Roman"/>
          <w:sz w:val="18"/>
          <w:szCs w:val="18"/>
          <w:color w:val="000000"/>
        </w:rPr>
        <w:t>. In addition, for any licensed product for which Roche retains worldwide commercialization rights, we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will be eligible to receive tiered royalties ranging from low double-digits to high-teens on future net sales of the licensed product. For any licensed product for which we retain commercialization rights in the U.S.,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213"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Under the Roche immunotherapy agreement, each party has granted the other party specified intellectual property licenses to enable the other party to perform its obligations and exercise its rights under the Roche immunotherapy agreement, including license grants to enable each party to conduct research, development and commercialization activities pursuant to the terms of the Roche immunotherapy agreement. Following Roche’s exercise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41" w:lineRule="auto"/>
        <w:rPr>
          <w:sz w:val="20"/>
          <w:szCs w:val="20"/>
          <w:color w:val="auto"/>
        </w:rPr>
      </w:pPr>
      <w:r>
        <w:rPr>
          <w:rFonts w:ascii="Times New Roman" w:cs="Times New Roman" w:eastAsia="Times New Roman" w:hAnsi="Times New Roman"/>
          <w:sz w:val="18"/>
          <w:szCs w:val="18"/>
          <w:color w:val="auto"/>
        </w:rPr>
        <w:t>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U.S. for the collaboration programs on which we will retain rights in the U.S., with Roche receiving a license under our intellectual property to develop and commercialize such licensed products outside of the U.S.</w:t>
      </w:r>
    </w:p>
    <w:p>
      <w:pPr>
        <w:spacing w:after="0" w:line="224"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Subject to the terms and conditions of the Roche immunotherapy agreement, we have agreed to work exclusively with Roche with respect to each collaboration target. We are not obligated to work exclusively with Roche within the field of cancer immunotherapy. In addition, subject to specified exceptions, Roche has a right of first negotiation in the event that we desire to grant any third party rights to develop or commercialize a licensed product for which we retain commercialization rights in the U.S. Roche’s right of first negotiation will not apply in connection with a change of control of us, an assignment by us in accordance with the terms of the Roche immunotherapy agreement or certain agreements with contract research organizations, contract manufacturing organizations, academic institutions, not-for-profit third parties or distributors.</w:t>
      </w:r>
    </w:p>
    <w:p>
      <w:pPr>
        <w:spacing w:after="0" w:line="22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us.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56"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On July 13, 2020, we entered into a collaboration agreement, or the Roche pralsetinib collaboration agreement, with Roche pursuant to which we granted Roche exclusive rights to develop and commercialize pralsetinib worldwide, excluding the CStone territory, and a co-exclusive license in the U.S. to develop and commercialize pralsetinib. In addition, Roche has the right to opt in to a next-generation RET compound co-developed by Roche and us.</w:t>
      </w:r>
    </w:p>
    <w:p>
      <w:pPr>
        <w:spacing w:after="0" w:line="181"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Under the Roche pralsetinib collaboration agreement, we received upfront cash payments of $775.0 million in the third quarter of 2020, including an upfront payment of $675.0 million and the $100.0 million equity investment by Roche described below. Through December 31, 2020, we have received $55.0 million in specified regulatory and commercialization milestones. In addition to the upfront and milestone payments received through December 31, 2020, we are eligible to receive up to $872.0 million in contingent payments, including specified development, regulatory and sales-based milestones for pralsetinib and any licensed product containing a next-generation RET compound.</w:t>
      </w:r>
    </w:p>
    <w:p>
      <w:pPr>
        <w:spacing w:after="0" w:line="184"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In the U.S., we and Roche are working together to co-commercialize pralsetinib and will equally share responsibilities, profits and losses. In addition, we are eligible to receive tiered royalties ranging from high-teens to mid-twenties on annual net sales of pralsetinib outside the U.S., excluding the CStone territory, which we refer to as the Roche territory. We and Roche have also agreed to co-develop pralsetinib globally in RET-altered solid tumors, including NSCLC, MTC and other thyroid cancers, as well as other solid tumors. We and Roche will share global development costs for pralsetinib at a rate of 45 percent for us and 55 percent for Roche up to a specified amount of aggregate joint development costs, after which our share of global development costs for pralsetinib will be reduced by a specified percentage. We and Roche will also share specified global development costs for any next-generation RET compound co-developed under the collaboration in a similar manner.</w:t>
      </w:r>
    </w:p>
    <w:p>
      <w:pPr>
        <w:spacing w:after="0" w:line="191"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5" w:lineRule="auto"/>
        <w:rPr>
          <w:sz w:val="20"/>
          <w:szCs w:val="20"/>
          <w:color w:val="auto"/>
        </w:rPr>
      </w:pPr>
      <w:r>
        <w:rPr>
          <w:rFonts w:ascii="Times New Roman" w:cs="Times New Roman" w:eastAsia="Times New Roman" w:hAnsi="Times New Roman"/>
          <w:sz w:val="18"/>
          <w:szCs w:val="18"/>
          <w:color w:val="auto"/>
        </w:rPr>
        <w:t>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we are entitled to retain specified licenses to be able to continue to exploit the licensed products.</w:t>
      </w:r>
    </w:p>
    <w:p>
      <w:pPr>
        <w:spacing w:after="0" w:line="181"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we also entered into a stock purchase agreement with Roche Holdings, Inc., or Roche Holdings, pursuant to which we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w:t>
      </w:r>
    </w:p>
    <w:p>
      <w:pPr>
        <w:spacing w:after="0" w:line="256"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On June 1, 2018, we entered into a collaboration and license agreement, or the CStone agreement, with CStone pursuant to which we granted CStone exclusive rights to develop and commercialize avapritinib, pralsetinib and fisogatinib, including certain back-up forms and certain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21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7"/>
          <w:szCs w:val="17"/>
          <w:color w:val="auto"/>
        </w:rPr>
        <w:t>We received an upfront cash payment of $40.0 million, and through December 31, 2020, we have received $14.0 million in milestone payments under this collaboration. Subject to the terms of the CStone agreement, in addition to upfront and milestone payments received through December 31, 2020, we will be eligible to receive up to approximately $332.0 million in milestone payments, including $104.5 million related to development and regulatory milestones and $227.5 million related to sales-based milestones.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us and CStone.</w:t>
      </w:r>
    </w:p>
    <w:p>
      <w:pPr>
        <w:spacing w:after="0" w:line="217"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228"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3" w:name="page24"/>
    <w:bookmarkEnd w:id="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56"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212529"/>
        </w:rPr>
        <w:t xml:space="preserve">On October 15, 2019, we entered into a license agreement, or the Clementia agreement, with Clementia, a wholly-owned subsidiary of Ipsen S.A. </w:t>
      </w:r>
      <w:r>
        <w:rPr>
          <w:rFonts w:ascii="Times New Roman" w:cs="Times New Roman" w:eastAsia="Times New Roman" w:hAnsi="Times New Roman"/>
          <w:sz w:val="18"/>
          <w:szCs w:val="18"/>
          <w:color w:val="000000"/>
        </w:rPr>
        <w:t>Under the Clementia agreement, we granted an exclusive, worldwide, royalty-bearing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license to Clementia to develop and commercialize BLU-782, an oral, highly selective investigational ALK2 inhibitor in Phase 1 clinical development for the treatment of FOP, as well as specified other compounds related to the BLU-782 program, which we refer to as the Clementia licensed products.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received an upfront cash payment of $25.0 million in the fourth quarter of 2019, and through</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 we have received $20.0 million in milestone payments under this license agreement. Subject to the</w:t>
      </w:r>
    </w:p>
    <w:p>
      <w:pPr>
        <w:ind w:left="60"/>
        <w:spacing w:after="0" w:line="234" w:lineRule="auto"/>
        <w:rPr>
          <w:sz w:val="20"/>
          <w:szCs w:val="20"/>
          <w:color w:val="auto"/>
        </w:rPr>
      </w:pPr>
      <w:r>
        <w:rPr>
          <w:rFonts w:ascii="Times New Roman" w:cs="Times New Roman" w:eastAsia="Times New Roman" w:hAnsi="Times New Roman"/>
          <w:sz w:val="18"/>
          <w:szCs w:val="18"/>
          <w:color w:val="auto"/>
        </w:rPr>
        <w:t>terms of the Clementia agreement, in addition to the upfront and milestone payments received, we will be eligible to</w:t>
      </w:r>
    </w:p>
    <w:p>
      <w:pPr>
        <w:ind w:left="60"/>
        <w:spacing w:after="0" w:line="235" w:lineRule="auto"/>
        <w:rPr>
          <w:sz w:val="20"/>
          <w:szCs w:val="20"/>
          <w:color w:val="auto"/>
        </w:rPr>
      </w:pPr>
      <w:r>
        <w:rPr>
          <w:rFonts w:ascii="Times New Roman" w:cs="Times New Roman" w:eastAsia="Times New Roman" w:hAnsi="Times New Roman"/>
          <w:sz w:val="18"/>
          <w:szCs w:val="18"/>
          <w:color w:val="auto"/>
        </w:rPr>
        <w:t>receive up to $</w:t>
      </w:r>
      <w:r>
        <w:rPr>
          <w:rFonts w:ascii="Times New Roman" w:cs="Times New Roman" w:eastAsia="Times New Roman" w:hAnsi="Times New Roman"/>
          <w:sz w:val="18"/>
          <w:szCs w:val="18"/>
          <w:color w:val="1F2328"/>
        </w:rPr>
        <w:t>490.0</w:t>
      </w:r>
      <w:r>
        <w:rPr>
          <w:rFonts w:ascii="Times New Roman" w:cs="Times New Roman" w:eastAsia="Times New Roman" w:hAnsi="Times New Roman"/>
          <w:sz w:val="18"/>
          <w:szCs w:val="18"/>
          <w:color w:val="auto"/>
        </w:rPr>
        <w:t xml:space="preserve"> million in development, regulatory and sales-based milestone payments for the Clementia licensed</w:t>
      </w:r>
    </w:p>
    <w:p>
      <w:pPr>
        <w:ind w:left="60"/>
        <w:spacing w:after="0" w:line="235" w:lineRule="auto"/>
        <w:rPr>
          <w:sz w:val="20"/>
          <w:szCs w:val="20"/>
          <w:color w:val="auto"/>
        </w:rPr>
      </w:pPr>
      <w:r>
        <w:rPr>
          <w:rFonts w:ascii="Times New Roman" w:cs="Times New Roman" w:eastAsia="Times New Roman" w:hAnsi="Times New Roman"/>
          <w:sz w:val="18"/>
          <w:szCs w:val="18"/>
          <w:color w:val="auto"/>
        </w:rPr>
        <w:t>products. In addition, Clementia is obligated to pay to us royalties on aggregate annual worldwide net sales of Clementia</w:t>
      </w:r>
    </w:p>
    <w:p>
      <w:pPr>
        <w:ind w:left="60"/>
        <w:spacing w:after="0" w:line="235" w:lineRule="auto"/>
        <w:rPr>
          <w:sz w:val="20"/>
          <w:szCs w:val="20"/>
          <w:color w:val="auto"/>
        </w:rPr>
      </w:pPr>
      <w:r>
        <w:rPr>
          <w:rFonts w:ascii="Times New Roman" w:cs="Times New Roman" w:eastAsia="Times New Roman" w:hAnsi="Times New Roman"/>
          <w:sz w:val="18"/>
          <w:szCs w:val="18"/>
          <w:color w:val="auto"/>
        </w:rPr>
        <w:t>licensed products at tiered percentage rates ranging from the low- to mid-teens, subject to adjustment in specified</w:t>
      </w:r>
    </w:p>
    <w:p>
      <w:pPr>
        <w:ind w:left="60"/>
        <w:spacing w:after="0"/>
        <w:rPr>
          <w:sz w:val="20"/>
          <w:szCs w:val="20"/>
          <w:color w:val="auto"/>
        </w:rPr>
      </w:pPr>
      <w:r>
        <w:rPr>
          <w:rFonts w:ascii="Times New Roman" w:cs="Times New Roman" w:eastAsia="Times New Roman" w:hAnsi="Times New Roman"/>
          <w:sz w:val="18"/>
          <w:szCs w:val="18"/>
          <w:color w:val="auto"/>
        </w:rPr>
        <w:t>circumstances under the Clementia agreement, and to purchase specified manufacturing inventory from our company.</w:t>
      </w:r>
    </w:p>
    <w:p>
      <w:pPr>
        <w:spacing w:after="0" w:line="219" w:lineRule="exact"/>
        <w:rPr>
          <w:sz w:val="20"/>
          <w:szCs w:val="20"/>
          <w:color w:val="auto"/>
        </w:rPr>
      </w:pPr>
    </w:p>
    <w:p>
      <w:pPr>
        <w:ind w:left="60" w:right="219" w:firstLine="648"/>
        <w:spacing w:after="0" w:line="245" w:lineRule="auto"/>
        <w:rPr>
          <w:sz w:val="20"/>
          <w:szCs w:val="20"/>
          <w:color w:val="auto"/>
        </w:rPr>
      </w:pPr>
      <w:r>
        <w:rPr>
          <w:rFonts w:ascii="Times New Roman" w:cs="Times New Roman" w:eastAsia="Times New Roman" w:hAnsi="Times New Roman"/>
          <w:sz w:val="18"/>
          <w:szCs w:val="18"/>
          <w:color w:val="auto"/>
        </w:rPr>
        <w:t>Under the terms of the Clementia agreement, we were responsible for specified activities during a transition period, which has been completed, and Clementia is responsible for conducting all development and commercialization activities related to the Clementia licensed products, including the design, timing and conduct of any Phase 2 clinical trial evaluating BLU-782 for the treatment of FOP.</w:t>
      </w:r>
    </w:p>
    <w:p>
      <w:pPr>
        <w:spacing w:after="0" w:line="221"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During the term of the agreement, we have agreed not to exploit any compound covered by the licensed patents for the treatment of FOP or multiple osteochondromas, or MO. In addition, with respect to any small molecule 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224"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October 15, 2021 upon at least 12 months’ prior written notice to us. 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for our drug and drug candidates, as well as our core technologies, including our novel target discovery engine,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2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file patent applications directed to AYVAKIT/AYVAKYT, GAVRETO and our drug candidates in an effort to establish intellectual property positions regarding these new chemical entities as well as uses of these new chemical entities in the treatment of diseases and to other technologies, including patient selection markers and diagnostic discoveries that may be useful with our drug and drug candidates. We also file patent applications directed to novel fusions that we have discovered through our target discovery engine and the use of these fusions in diagnosing and treating disease. As of January 31, 2021, we owned 35 issued U.S. patents, 16 pending U.S. non-provisional patent applications, six pending U.S. provisional applications, 51 issued foreign patents, 107 foreign pending patent applications, and seven pending Patent Cooperation Treaty, or PCT, international patent applications. The foreign issued patents and patent applications are in a number of jurisdictions, including Argentina, Australia, Brazil, Canada, China, the European Union, Gulf Cooperation Council, Hong Kong, Israel, Japan, South Korea, Mexico, New Zealand,</w:t>
      </w:r>
    </w:p>
    <w:p>
      <w:pPr>
        <w:sectPr>
          <w:pgSz w:w="11900" w:h="16838" w:orient="portrait"/>
          <w:cols w:equalWidth="0" w:num="1">
            <w:col w:w="9019"/>
          </w:cols>
          <w:pgMar w:left="1440" w:top="513" w:right="1440" w:bottom="1440" w:gutter="0" w:footer="0" w:header="0"/>
        </w:sect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0" w:lineRule="auto"/>
        <w:rPr>
          <w:sz w:val="20"/>
          <w:szCs w:val="20"/>
          <w:color w:val="auto"/>
        </w:rPr>
      </w:pPr>
      <w:r>
        <w:rPr>
          <w:rFonts w:ascii="Times New Roman" w:cs="Times New Roman" w:eastAsia="Times New Roman" w:hAnsi="Times New Roman"/>
          <w:sz w:val="18"/>
          <w:szCs w:val="18"/>
          <w:color w:val="auto"/>
        </w:rPr>
        <w:t>Philippines, Russia, Singapore, South Africa, and Taiwan. Our issued patents and pending patent applications pertain to our pipeline, including our programs for avapritinib, pralsetinib, fisogatinib, BLU-263 as well as additional kinase discovery programs and novel recurrent fusions.</w:t>
      </w:r>
    </w:p>
    <w:p>
      <w:pPr>
        <w:spacing w:after="0" w:line="217"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The intellectual property portfolios for our approved drugs and clinical-stage drug candidates as of January 31, 2021 are summarized below. Prosecution is a lengthy process, during which the scope of the claims initially submitted for examination by the U.S. Patent and Trademark Office, or USPTO, and by patent offices in other countries are often significantly narrowed by the time they issue, if they issue at all. We expect this to be the case with respect to our pending patent applications referred to below.</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KIT and PDGFRA Program—AYVAKIT/AYVAKYT (avapritinib) and BLU-263</w:t>
      </w:r>
    </w:p>
    <w:p>
      <w:pPr>
        <w:spacing w:after="0" w:line="243"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The intellectual property portfolio for our KIT and PDGFRA program contains patent applications directed to compositions of matter for avapritinib, BLU-263 and analogs thereof, compositions of matter for KIT and PDGFRA inhibitors with different compound families, as well as methods of use and manufacture. As of January 31, 2021, we owned 11 issued U.S. patents, 15 issued foreign patents, including one European patent validated in 38 countries, three pending U.S. non-provisional patent applications, three pending U.S. provisional applications, five pending PCT international patent applications and 22 pending foreign patent applications directed to our KIT and PDGFRA program, including avapritinib and BLU-263. The patents that have issued or will issue covering our KIT and PDGFRA program will have a statutory expiration date between 2034 and 2041. Patent term adjustments or patent term extensions could result in later expiration dates.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 Program—GAVRETO (pralsetinib)</w:t>
      </w:r>
    </w:p>
    <w:p>
      <w:pPr>
        <w:spacing w:after="0" w:line="256"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The intellectual property portfolio for our RET program contains patent applications directed to compositions of matter for pralsetinib and analogs and compositions of matter for RET inhibitors with different compound families, as well as methods of use. As of January 31, 2021, we owned seven issued U.S. patents, six pending U.S. non-provisional patent applications, three pending U.S. provisional applications, one pending PCT international application, 53 pending foreign patent applications and four issued foreign patents directed to our RET program, including pralsetinib. The patents that have issued or will issue covering our RET program will have a statutory expiration date between 2036 and 2041. Patent term adjustments or patent term extensions could result in later expiration dates.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FGFR4 Program — Fisogatinib</w:t>
      </w:r>
    </w:p>
    <w:p>
      <w:pPr>
        <w:spacing w:after="0" w:line="256"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The intellectual property portfolio for our FGFR4 program contains patent applications directed to compositions of matter for fisogatinib and analogs and compositions of matter for FGFR4 inhibitors with different compound families as well as methods of use. As of January 31, 2021, we owned nine issued U.S. patents, two pending U.S. non-provisional patent applications, one pending PCT international application, 28 pending foreign patent applications and 27 issued foreign patents directed to our FGFR4 program, including fisogatinib. The patents that have issued or will issue covering our FGFR4 program will have a statutory expiration date between 2033 and 2040. Patent term adjustments or patent term extensions could result in later expiration dates.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Platform</w:t>
      </w:r>
    </w:p>
    <w:p>
      <w:pPr>
        <w:spacing w:after="0" w:line="243"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 applications directed to novel gene fusions and the uses of these fusions for detecting and treating conditions implicated with these fusions. As of January 31, 2021, we owned eight issued U.S. patents, five pending U.S. patent applications, four pending European Union patent applications and five issued European patents directed to this technology, which, if issued, will have statutory expiration dates ranging from 2034 to 2035.</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Considerations</w:t>
      </w:r>
    </w:p>
    <w:p>
      <w:pPr>
        <w:spacing w:after="0" w:line="256"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w:t>
      </w:r>
    </w:p>
    <w:p>
      <w:pPr>
        <w:sectPr>
          <w:pgSz w:w="11900" w:h="16838" w:orient="portrait"/>
          <w:cols w:equalWidth="0" w:num="1">
            <w:col w:w="9019"/>
          </w:cols>
          <w:pgMar w:left="1440" w:top="513" w:right="1440" w:bottom="144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8" w:lineRule="auto"/>
        <w:rPr>
          <w:sz w:val="20"/>
          <w:szCs w:val="20"/>
          <w:color w:val="auto"/>
        </w:rPr>
      </w:pPr>
      <w:r>
        <w:rPr>
          <w:rFonts w:ascii="Times New Roman" w:cs="Times New Roman" w:eastAsia="Times New Roman" w:hAnsi="Times New Roman"/>
          <w:sz w:val="18"/>
          <w:szCs w:val="18"/>
          <w:color w:val="auto"/>
        </w:rPr>
        <w:t>compensates a patentee for administrative delays by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w:t>
      </w:r>
      <w:r>
        <w:rPr>
          <w:rFonts w:ascii="Times New Roman" w:cs="Times New Roman" w:eastAsia="Times New Roman" w:hAnsi="Times New Roman"/>
          <w:sz w:val="18"/>
          <w:szCs w:val="18"/>
          <w:i w:val="1"/>
          <w:iCs w:val="1"/>
          <w:color w:val="auto"/>
        </w:rPr>
        <w:t>— Government Regulation — U.S. Patent Term Restoration and Marketing Exclusivity</w:t>
      </w:r>
      <w:r>
        <w:rPr>
          <w:rFonts w:ascii="Times New Roman" w:cs="Times New Roman" w:eastAsia="Times New Roman" w:hAnsi="Times New Roman"/>
          <w:sz w:val="18"/>
          <w:szCs w:val="18"/>
          <w:color w:val="auto"/>
        </w:rPr>
        <w:t>” below for additional information on such exclusivity. In the future, if applicable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232" w:lineRule="exact"/>
        <w:rPr>
          <w:sz w:val="20"/>
          <w:szCs w:val="20"/>
          <w:color w:val="auto"/>
        </w:rPr>
      </w:pPr>
    </w:p>
    <w:p>
      <w:pPr>
        <w:ind w:left="60" w:right="179" w:firstLine="648"/>
        <w:spacing w:after="0" w:line="237" w:lineRule="auto"/>
        <w:rPr>
          <w:sz w:val="20"/>
          <w:szCs w:val="20"/>
          <w:color w:val="auto"/>
        </w:rPr>
      </w:pPr>
      <w:r>
        <w:rPr>
          <w:rFonts w:ascii="Times New Roman" w:cs="Times New Roman" w:eastAsia="Times New Roman" w:hAnsi="Times New Roman"/>
          <w:sz w:val="18"/>
          <w:szCs w:val="18"/>
          <w:color w:val="auto"/>
        </w:rPr>
        <w:t>As with other biotechnology and pharmaceutical companies, our ability to maintain and solidify our proprietary and intellectual property position for our drug, drug candidates and technologies will depend on our success in obtaining 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230"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218" w:lineRule="exact"/>
        <w:rPr>
          <w:sz w:val="20"/>
          <w:szCs w:val="20"/>
          <w:color w:val="auto"/>
        </w:rPr>
      </w:pPr>
    </w:p>
    <w:p>
      <w:pPr>
        <w:ind w:left="60" w:right="259" w:firstLine="648"/>
        <w:spacing w:after="0" w:line="245" w:lineRule="auto"/>
        <w:rPr>
          <w:sz w:val="20"/>
          <w:szCs w:val="20"/>
          <w:color w:val="auto"/>
        </w:rPr>
      </w:pPr>
      <w:r>
        <w:rPr>
          <w:rFonts w:ascii="Times New Roman" w:cs="Times New Roman" w:eastAsia="Times New Roman" w:hAnsi="Times New Roman"/>
          <w:sz w:val="18"/>
          <w:szCs w:val="18"/>
          <w:color w:val="auto"/>
        </w:rPr>
        <w:t>With respect to the building of our proprietary compound library,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56" w:lineRule="exact"/>
        <w:rPr>
          <w:sz w:val="20"/>
          <w:szCs w:val="20"/>
          <w:color w:val="auto"/>
        </w:rPr>
      </w:pPr>
    </w:p>
    <w:p>
      <w:pPr>
        <w:ind w:left="60" w:right="59" w:firstLine="648"/>
        <w:spacing w:after="0"/>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worldwide. Any drug or drug candidates that we successfully develop and commercialize will compete with existing drugs and new drugs that may become available in the future.</w:t>
      </w:r>
    </w:p>
    <w:p>
      <w:pPr>
        <w:spacing w:after="0" w:line="212"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We compete in the segments of the pharmaceutical, biotechnology and other related markets that address inhibition of kinases in cancer and other rare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232"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our drugs and our current or future drug candidates, if approved, are likely to be their efficacy, safety, convenience, price, the effectiveness of companion diagnostic tests in guiding the use of related therapeutics, the level of generic competition and the availability of reimbursement from government and other third-party payors.</w:t>
      </w:r>
    </w:p>
    <w:p>
      <w:pPr>
        <w:spacing w:after="0" w:line="228" w:lineRule="exact"/>
        <w:rPr>
          <w:sz w:val="20"/>
          <w:szCs w:val="20"/>
          <w:color w:val="auto"/>
        </w:rPr>
      </w:pPr>
    </w:p>
    <w:p>
      <w:pPr>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Our approved drugs and drug candidates, to the extent they receive marketing approval in the future for indications for which we are currently conducting or planning clinical trials, compete with or will compete with the drugs discussed below and will likely compete with other drugs that are currently in development.</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SM</w:t>
      </w:r>
    </w:p>
    <w:p>
      <w:pPr>
        <w:spacing w:after="0" w:line="256"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We are developing avapritinib for SM, including advanced SM and non-advanced SM, and we are developing BLU-263 for the treatment of non-advanced SM and other mast cell disorders. If avapritinib receives marketing approval for advanced SM, it will face competition from Novartis AG’s midostaurin and imatinib. In addition, if avapritinib or BLU-263 are approved for advanced SM or non-advanced SM, they may face competition from other drug candidates in development for these indications, including those being developed by AB Science S.A., Allakos Inc. and Cogent Biosciences, Inc.</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w:t>
      </w:r>
    </w:p>
    <w:p>
      <w:pPr>
        <w:spacing w:after="0" w:line="243" w:lineRule="exact"/>
        <w:rPr>
          <w:sz w:val="20"/>
          <w:szCs w:val="20"/>
          <w:color w:val="auto"/>
        </w:rPr>
      </w:pPr>
    </w:p>
    <w:p>
      <w:pPr>
        <w:ind w:left="60" w:right="219" w:firstLine="648"/>
        <w:spacing w:after="0" w:line="239" w:lineRule="auto"/>
        <w:rPr>
          <w:sz w:val="20"/>
          <w:szCs w:val="20"/>
          <w:color w:val="auto"/>
        </w:rPr>
      </w:pPr>
      <w:r>
        <w:rPr>
          <w:rFonts w:ascii="Times New Roman" w:cs="Times New Roman" w:eastAsia="Times New Roman" w:hAnsi="Times New Roman"/>
          <w:sz w:val="18"/>
          <w:szCs w:val="18"/>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GIST</w:t>
      </w:r>
    </w:p>
    <w:p>
      <w:pPr>
        <w:spacing w:after="0" w:line="256"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HCC</w:t>
      </w:r>
    </w:p>
    <w:p>
      <w:pPr>
        <w:spacing w:after="0" w:line="256" w:lineRule="exact"/>
        <w:rPr>
          <w:sz w:val="20"/>
          <w:szCs w:val="20"/>
          <w:color w:val="auto"/>
        </w:rPr>
      </w:pPr>
    </w:p>
    <w:p>
      <w:pPr>
        <w:ind w:left="60" w:right="439" w:firstLine="648"/>
        <w:spacing w:after="0" w:line="296" w:lineRule="auto"/>
        <w:rPr>
          <w:sz w:val="20"/>
          <w:szCs w:val="20"/>
          <w:color w:val="auto"/>
        </w:rPr>
      </w:pPr>
      <w:r>
        <w:rPr>
          <w:rFonts w:ascii="Times New Roman" w:cs="Times New Roman" w:eastAsia="Times New Roman" w:hAnsi="Times New Roman"/>
          <w:sz w:val="17"/>
          <w:szCs w:val="17"/>
          <w:color w:val="auto"/>
        </w:rPr>
        <w:t>We are developing fisogatinib for patients with advanced HCC. If fisogatinib receives marketing approval for patients with FGFR4-activated HCC, it will face competition from Bristol-Myers Squibb Company’s nivolumab and</w:t>
      </w:r>
    </w:p>
    <w:p>
      <w:pPr>
        <w:sectPr>
          <w:pgSz w:w="11900" w:h="16838" w:orient="portrait"/>
          <w:cols w:equalWidth="0" w:num="1">
            <w:col w:w="9019"/>
          </w:cols>
          <w:pgMar w:left="1440" w:top="513" w:right="1440" w:bottom="1440" w:gutter="0" w:footer="0" w:header="0"/>
        </w:sect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38" w:lineRule="auto"/>
        <w:rPr>
          <w:sz w:val="20"/>
          <w:szCs w:val="20"/>
          <w:color w:val="auto"/>
        </w:rPr>
      </w:pPr>
      <w:r>
        <w:rPr>
          <w:rFonts w:ascii="Times New Roman" w:cs="Times New Roman" w:eastAsia="Times New Roman" w:hAnsi="Times New Roman"/>
          <w:sz w:val="18"/>
          <w:szCs w:val="18"/>
          <w:color w:val="auto"/>
        </w:rPr>
        <w:t>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Treatment-Resistant EGFR-Mutated NSCLC</w:t>
      </w:r>
    </w:p>
    <w:p>
      <w:pPr>
        <w:spacing w:after="0" w:line="192" w:lineRule="exact"/>
        <w:rPr>
          <w:sz w:val="20"/>
          <w:szCs w:val="20"/>
          <w:color w:val="auto"/>
        </w:rPr>
      </w:pPr>
    </w:p>
    <w:p>
      <w:pPr>
        <w:ind w:left="60" w:right="219" w:firstLine="648"/>
        <w:spacing w:after="0"/>
        <w:rPr>
          <w:sz w:val="20"/>
          <w:szCs w:val="20"/>
          <w:color w:val="auto"/>
        </w:rPr>
      </w:pPr>
      <w:r>
        <w:rPr>
          <w:rFonts w:ascii="Times New Roman" w:cs="Times New Roman" w:eastAsia="Times New Roman" w:hAnsi="Times New Roman"/>
          <w:sz w:val="18"/>
          <w:szCs w:val="18"/>
          <w:color w:val="auto"/>
        </w:rPr>
        <w:t>We are developing drug candidates for treatment-resistant EGFR-mutated NSCLC, which, if approved, will face competition from AstraZeneca plc’s osimertinib and almonertinib, which is under collaboration between Jiangsu Hansoh Pharmaceutical Group Co., Ltd. and EQRX, Inc. and approved in China. In addition, our EGFR inhibitors may face competition from drug candidates in development for EGFR-mutated NSCLC, including those being developed by Alpha Biopharma Inc., Astellas Pharma Inc., Boehringer Ingelheim RCV GmbH &amp; Co KG, Bridge Biotherapeutics, Inc., C4 Therapeutics, Inc., Chia Tai Tianqing Pharmaceutical Group, Daiichi Sankyo Company, Limited, Genosco Inc., Genprex, Inc., Janssen Pharmaceuticals, Inc., and Yuhan Corporation.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w:t>
      </w:r>
    </w:p>
    <w:p>
      <w:pPr>
        <w:spacing w:after="0" w:line="256"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As a fully-integrated, global precision therapy company focused on discovering, developing and commercializing a portfolio of precision therapies, our vision is to bring life-changing precision therapies to as many patients with cancer and hematologic disorders as possible. We have established our own commercial organization in the U.S. and Europe in connection with our commercial launches of AYVAKIT and GAVRETO in the U.S. and AYVAKYT in Europe. We have also entered into collaborations with our partners, including CStone and Roche, for planned global commercialization activities for AYVAKIT/AYVAKYT and GAVRETO in their respective territories. We are continuing to expand our commercialization capabilities and to build our distribution capabilities to accelerate global adoption of our approved drugs and to prepare for additional planned commercial launches with an initial focus on the U.S. and Europe.</w:t>
      </w:r>
    </w:p>
    <w:p>
      <w:pPr>
        <w:spacing w:after="0" w:line="214"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We believe our portfolio strategy focused on genomically defined cancers and hematologic disorders will allow us to efficiently commercialize approved drugs in the U.S. and Europe initially and worldwide longer-term, using a small and highly specialized sales force similar to those of other rare disease companies. We may also evaluate opportunities to establish collaborations with pharmaceutical companies to leverage their capabilities to maximize the potential of our pipeline from time to time.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and Supply</w:t>
      </w:r>
    </w:p>
    <w:p>
      <w:pPr>
        <w:spacing w:after="0" w:line="25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pralsetinib, fisogatinib, BLU-263 and BLU-945 for our ongoing and planned clinical testing from third-party manufacturers. We obtain our supplies from these manufacturers on a purchase order basis and do not have a long-term supply arrangement in place. Although we have negotiated manufacturing agreements with certain venders for the commercial supply of AYVAKIT/AYVAKYT and GAVRETO, we may also obtain our supplies for these approved drugs from these manufacturers on a purchase order basis from time to time. We rely primarily on single-source third-party suppliers to manufacture and supply our drugs and may from time to time explore opportunities to identify and qualify additional manufacturers to provide the API, drug substance and drug products.</w:t>
      </w:r>
    </w:p>
    <w:p>
      <w:pPr>
        <w:spacing w:after="0" w:line="215" w:lineRule="exact"/>
        <w:rPr>
          <w:sz w:val="20"/>
          <w:szCs w:val="20"/>
          <w:color w:val="auto"/>
        </w:rPr>
      </w:pPr>
    </w:p>
    <w:p>
      <w:pPr>
        <w:ind w:left="60" w:right="79" w:firstLine="648"/>
        <w:spacing w:after="0" w:line="264" w:lineRule="auto"/>
        <w:rPr>
          <w:sz w:val="20"/>
          <w:szCs w:val="20"/>
          <w:color w:val="auto"/>
        </w:rPr>
      </w:pPr>
      <w:r>
        <w:rPr>
          <w:rFonts w:ascii="Times New Roman" w:cs="Times New Roman" w:eastAsia="Times New Roman" w:hAnsi="Times New Roman"/>
          <w:sz w:val="17"/>
          <w:szCs w:val="17"/>
          <w:color w:val="auto"/>
        </w:rPr>
        <w:t>All of our approved drugs and drug candidates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206" w:lineRule="exact"/>
        <w:rPr>
          <w:sz w:val="20"/>
          <w:szCs w:val="20"/>
          <w:color w:val="auto"/>
        </w:rPr>
      </w:pPr>
    </w:p>
    <w:p>
      <w:pPr>
        <w:ind w:left="60" w:right="339" w:firstLine="648"/>
        <w:spacing w:after="0" w:line="296" w:lineRule="auto"/>
        <w:rPr>
          <w:sz w:val="20"/>
          <w:szCs w:val="20"/>
          <w:color w:val="auto"/>
        </w:rPr>
      </w:pPr>
      <w:r>
        <w:rPr>
          <w:rFonts w:ascii="Times New Roman" w:cs="Times New Roman" w:eastAsia="Times New Roman" w:hAnsi="Times New Roman"/>
          <w:sz w:val="17"/>
          <w:szCs w:val="17"/>
          <w:color w:val="auto"/>
        </w:rPr>
        <w:t>Under the terms of our agreements related to the development and commercialization of companion diagnostic tests, third parties are responsible for the commercialization of companion diagnostic tests for avapritinib in order to</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50" w:lineRule="auto"/>
        <w:rPr>
          <w:sz w:val="20"/>
          <w:szCs w:val="20"/>
          <w:color w:val="auto"/>
        </w:rPr>
      </w:pPr>
      <w:r>
        <w:rPr>
          <w:rFonts w:ascii="Times New Roman" w:cs="Times New Roman" w:eastAsia="Times New Roman" w:hAnsi="Times New Roman"/>
          <w:sz w:val="18"/>
          <w:szCs w:val="18"/>
          <w:color w:val="auto"/>
        </w:rPr>
        <w:t>identify GIST patients with the PDGFRA D842V mutation, pralsetinib in order to identify NSCLC patients with RET fusions and fisogatinib in order to identify HCC patients with FGFR4 pathway activation. We generally expect to rely on third parties for the manufacture of any other companion diagnostic tests we may seek to develop.</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56"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11"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Drug Development</w:t>
      </w:r>
    </w:p>
    <w:p>
      <w:pPr>
        <w:spacing w:after="0" w:line="256" w:lineRule="exact"/>
        <w:rPr>
          <w:sz w:val="20"/>
          <w:szCs w:val="20"/>
          <w:color w:val="auto"/>
        </w:rPr>
      </w:pPr>
    </w:p>
    <w:p>
      <w:pPr>
        <w:ind w:left="60" w:right="279" w:firstLine="648"/>
        <w:spacing w:after="0" w:line="245"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208" w:lineRule="exact"/>
        <w:rPr>
          <w:sz w:val="20"/>
          <w:szCs w:val="20"/>
          <w:color w:val="auto"/>
        </w:rPr>
      </w:pPr>
    </w:p>
    <w:p>
      <w:pPr>
        <w:ind w:left="1340" w:right="59" w:hanging="318"/>
        <w:spacing w:after="0" w:line="25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176" w:lineRule="exact"/>
        <w:rPr>
          <w:rFonts w:ascii="Times New Roman" w:cs="Times New Roman" w:eastAsia="Times New Roman" w:hAnsi="Times New Roman"/>
          <w:sz w:val="18"/>
          <w:szCs w:val="18"/>
          <w:color w:val="auto"/>
        </w:rPr>
      </w:pPr>
    </w:p>
    <w:p>
      <w:pPr>
        <w:jc w:val="both"/>
        <w:ind w:left="1340" w:right="219" w:hanging="318"/>
        <w:spacing w:after="0" w:line="25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and must be actively maintained, including by submitting 15- or 7-day safety reports and annual safety reports;</w:t>
      </w:r>
    </w:p>
    <w:p>
      <w:pPr>
        <w:spacing w:after="0" w:line="176" w:lineRule="exact"/>
        <w:rPr>
          <w:rFonts w:ascii="Times New Roman" w:cs="Times New Roman" w:eastAsia="Times New Roman" w:hAnsi="Times New Roman"/>
          <w:sz w:val="18"/>
          <w:szCs w:val="18"/>
          <w:color w:val="auto"/>
        </w:rPr>
      </w:pPr>
    </w:p>
    <w:p>
      <w:pPr>
        <w:ind w:left="1340" w:right="59" w:hanging="318"/>
        <w:spacing w:after="0" w:line="25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76"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a new drug;</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file the NDA for review;</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drug candidate by an FDA advisory committee, where appropriate or if applicable;</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 (unless a fee waiver applies);</w:t>
      </w:r>
    </w:p>
    <w:p>
      <w:pPr>
        <w:spacing w:after="0" w:line="211" w:lineRule="exact"/>
        <w:rPr>
          <w:rFonts w:ascii="Times New Roman" w:cs="Times New Roman" w:eastAsia="Times New Roman" w:hAnsi="Times New Roman"/>
          <w:sz w:val="18"/>
          <w:szCs w:val="18"/>
          <w:color w:val="auto"/>
        </w:rPr>
      </w:pPr>
    </w:p>
    <w:p>
      <w:pPr>
        <w:ind w:left="1340" w:right="119" w:hanging="318"/>
        <w:spacing w:after="0" w:line="250" w:lineRule="auto"/>
        <w:tabs>
          <w:tab w:leader="none" w:pos="1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API and finished drug product are produced to assess compliance with the FDA’s current good manufacturing practice, or cGMP, requirements, where appropriate or if applicable;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479" w:hanging="318"/>
        <w:spacing w:after="0" w:line="266" w:lineRule="auto"/>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sites and/or clinical trial sites that generated the data in support of the NDA; and</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or sale of the drug in the U.S.</w:t>
      </w:r>
    </w:p>
    <w:p>
      <w:pPr>
        <w:spacing w:after="0" w:line="252"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becomes effective 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228" w:lineRule="exact"/>
        <w:rPr>
          <w:sz w:val="20"/>
          <w:szCs w:val="20"/>
          <w:color w:val="auto"/>
        </w:rPr>
      </w:pPr>
    </w:p>
    <w:p>
      <w:pPr>
        <w:ind w:left="60" w:right="179" w:firstLine="648"/>
        <w:spacing w:after="0" w:line="237" w:lineRule="auto"/>
        <w:rPr>
          <w:sz w:val="20"/>
          <w:szCs w:val="20"/>
          <w:color w:val="auto"/>
        </w:rPr>
      </w:pPr>
      <w:r>
        <w:rPr>
          <w:rFonts w:ascii="Times New Roman" w:cs="Times New Roman" w:eastAsia="Times New Roman" w:hAnsi="Times New Roman"/>
          <w:sz w:val="18"/>
          <w:szCs w:val="18"/>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218"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pharmacokinetic, or PK, profile, pharmacologic action, side effect tolerability and safety of the drug. Phase 1 clinical trials for oncology indications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adverse effects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its safety in use, and to establish the overall benefit/risk relationship of the drug and provide an adequate basis for physician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 However, in settings of rare diseases and genetically-driven cancers, regulatory flexibility is given on a case-by-case basis.</w:t>
      </w:r>
    </w:p>
    <w:p>
      <w:pPr>
        <w:spacing w:after="0" w:line="226" w:lineRule="exact"/>
        <w:rPr>
          <w:sz w:val="20"/>
          <w:szCs w:val="20"/>
          <w:color w:val="auto"/>
        </w:rPr>
      </w:pPr>
    </w:p>
    <w:p>
      <w:pPr>
        <w:ind w:left="60" w:right="479" w:firstLine="648"/>
        <w:spacing w:after="0" w:line="296" w:lineRule="auto"/>
        <w:rPr>
          <w:sz w:val="20"/>
          <w:szCs w:val="20"/>
          <w:color w:val="auto"/>
        </w:rPr>
      </w:pPr>
      <w:r>
        <w:rPr>
          <w:rFonts w:ascii="Times New Roman" w:cs="Times New Roman" w:eastAsia="Times New Roman" w:hAnsi="Times New Roman"/>
          <w:sz w:val="17"/>
          <w:szCs w:val="17"/>
          <w:color w:val="auto"/>
        </w:rPr>
        <w:t>Post-approval trials, sometimes referred to as Phase 4 clinical trials, may be conducted after initial marketing approval. These trials are used to gain additional experience from the treatment of patients in the intended therapeutic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9"/>
        <w:spacing w:after="0" w:line="266" w:lineRule="auto"/>
        <w:rPr>
          <w:sz w:val="20"/>
          <w:szCs w:val="20"/>
          <w:color w:val="auto"/>
        </w:rPr>
      </w:pPr>
      <w:r>
        <w:rPr>
          <w:rFonts w:ascii="Times New Roman" w:cs="Times New Roman" w:eastAsia="Times New Roman" w:hAnsi="Times New Roman"/>
          <w:sz w:val="18"/>
          <w:szCs w:val="18"/>
          <w:color w:val="auto"/>
        </w:rPr>
        <w:t>indication. In certain instances, FDA may mandate the performance of Phase 4 clinical trials as post-marketing commitments or requirements.</w:t>
      </w:r>
    </w:p>
    <w:p>
      <w:pPr>
        <w:spacing w:after="0" w:line="203" w:lineRule="exact"/>
        <w:rPr>
          <w:sz w:val="20"/>
          <w:szCs w:val="20"/>
          <w:color w:val="auto"/>
        </w:rPr>
      </w:pPr>
    </w:p>
    <w:p>
      <w:pPr>
        <w:ind w:left="60" w:right="119" w:firstLine="648"/>
        <w:spacing w:after="0" w:line="23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 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NDA and FDA Review Process</w:t>
      </w:r>
    </w:p>
    <w:p>
      <w:pPr>
        <w:spacing w:after="0" w:line="241"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pacing w:after="0" w:line="226" w:lineRule="exact"/>
        <w:rPr>
          <w:sz w:val="20"/>
          <w:szCs w:val="20"/>
          <w:color w:val="auto"/>
        </w:rPr>
      </w:pPr>
    </w:p>
    <w:p>
      <w:pPr>
        <w:ind w:left="60" w:right="279" w:firstLine="648"/>
        <w:spacing w:after="0" w:line="245" w:lineRule="auto"/>
        <w:rPr>
          <w:sz w:val="20"/>
          <w:szCs w:val="20"/>
          <w:color w:val="auto"/>
        </w:rPr>
      </w:pPr>
      <w:r>
        <w:rPr>
          <w:rFonts w:ascii="Times New Roman" w:cs="Times New Roman" w:eastAsia="Times New Roman" w:hAnsi="Times New Roman"/>
          <w:sz w:val="18"/>
          <w:szCs w:val="18"/>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pediatric data or full or partial waivers.</w:t>
      </w:r>
    </w:p>
    <w:p>
      <w:pPr>
        <w:spacing w:after="0" w:line="221" w:lineRule="exact"/>
        <w:rPr>
          <w:sz w:val="20"/>
          <w:szCs w:val="20"/>
          <w:color w:val="auto"/>
        </w:rPr>
      </w:pPr>
    </w:p>
    <w:p>
      <w:pPr>
        <w:ind w:left="60" w:right="199" w:firstLine="648"/>
        <w:spacing w:after="0"/>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 user fee. The FDA adjusts the PDUFA user fees on an annual basis. According to the FDA’s fiscal year 2021 fee schedule, effective through September 30, 2021, the user fee for an application requiring clinical data, such as an NDA, is $2,875,842. PDUFA also imposes an annual prescription drug product program fee for human drugs ($336,432 for the current fiscal year).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non-orphan indication.</w:t>
      </w:r>
    </w:p>
    <w:p>
      <w:pPr>
        <w:spacing w:after="0" w:line="212"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w:t>
      </w:r>
    </w:p>
    <w:p>
      <w:pPr>
        <w:sectPr>
          <w:pgSz w:w="11900" w:h="16838" w:orient="portrait"/>
          <w:cols w:equalWidth="0" w:num="1">
            <w:col w:w="9019"/>
          </w:cols>
          <w:pgMar w:left="1440" w:top="513" w:right="1440"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5" w:lineRule="auto"/>
        <w:rPr>
          <w:sz w:val="20"/>
          <w:szCs w:val="20"/>
          <w:color w:val="auto"/>
        </w:rPr>
      </w:pPr>
      <w:r>
        <w:rPr>
          <w:rFonts w:ascii="Times New Roman" w:cs="Times New Roman" w:eastAsia="Times New Roman" w:hAnsi="Times New Roman"/>
          <w:sz w:val="18"/>
          <w:szCs w:val="18"/>
          <w:color w:val="auto"/>
        </w:rPr>
        <w:t>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pacing w:after="0" w:line="221"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229"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drug to determine whether they comply with cGMPs. The FDA will not approve the drug unless it determines 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or defer action on an application where required inspections cannot be conducted due to the COVID-19 pandemic.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25"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Special FDA Expedited Review and Approval Programs</w:t>
      </w:r>
    </w:p>
    <w:p>
      <w:pPr>
        <w:spacing w:after="0" w:line="254" w:lineRule="exact"/>
        <w:rPr>
          <w:sz w:val="20"/>
          <w:szCs w:val="20"/>
          <w:color w:val="auto"/>
        </w:rPr>
      </w:pPr>
    </w:p>
    <w:p>
      <w:pPr>
        <w:ind w:left="60" w:right="539" w:firstLine="648"/>
        <w:spacing w:after="0" w:line="296" w:lineRule="auto"/>
        <w:rPr>
          <w:sz w:val="20"/>
          <w:szCs w:val="20"/>
          <w:color w:val="auto"/>
        </w:rPr>
      </w:pPr>
      <w:r>
        <w:rPr>
          <w:rFonts w:ascii="Times New Roman" w:cs="Times New Roman" w:eastAsia="Times New Roman" w:hAnsi="Times New Roman"/>
          <w:sz w:val="17"/>
          <w:szCs w:val="17"/>
          <w:color w:val="auto"/>
        </w:rPr>
        <w:t>The FDA has various programs, including fast track designation, accelerated approval, priority review and breakthrough therapy designation, that are intended to expedite or simplify the process for the development and FDA</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rPr>
          <w:sz w:val="20"/>
          <w:szCs w:val="20"/>
          <w:color w:val="auto"/>
        </w:rPr>
      </w:pPr>
      <w:r>
        <w:rPr>
          <w:rFonts w:ascii="Times New Roman" w:cs="Times New Roman" w:eastAsia="Times New Roman" w:hAnsi="Times New Roman"/>
          <w:sz w:val="18"/>
          <w:szCs w:val="18"/>
          <w:color w:val="auto"/>
        </w:rPr>
        <w:t>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225"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224"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In addition, drugs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218"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225" w:lineRule="exact"/>
        <w:rPr>
          <w:sz w:val="20"/>
          <w:szCs w:val="20"/>
          <w:color w:val="auto"/>
        </w:rPr>
      </w:pPr>
    </w:p>
    <w:p>
      <w:pPr>
        <w:ind w:left="60" w:right="119" w:firstLine="648"/>
        <w:spacing w:after="0" w:line="264" w:lineRule="auto"/>
        <w:rPr>
          <w:sz w:val="20"/>
          <w:szCs w:val="20"/>
          <w:color w:val="auto"/>
        </w:rPr>
      </w:pPr>
      <w:r>
        <w:rPr>
          <w:rFonts w:ascii="Times New Roman" w:cs="Times New Roman" w:eastAsia="Times New Roman" w:hAnsi="Times New Roman"/>
          <w:sz w:val="17"/>
          <w:szCs w:val="17"/>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0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Pediatric Trials</w:t>
      </w:r>
    </w:p>
    <w:p>
      <w:pPr>
        <w:spacing w:after="0" w:line="241"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25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There are also limitations on industry-sponsored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232" w:lineRule="exact"/>
        <w:rPr>
          <w:sz w:val="20"/>
          <w:szCs w:val="20"/>
          <w:color w:val="auto"/>
        </w:rPr>
      </w:pPr>
    </w:p>
    <w:p>
      <w:pPr>
        <w:ind w:left="60" w:right="99" w:firstLine="648"/>
        <w:spacing w:after="0" w:line="236" w:lineRule="auto"/>
        <w:rPr>
          <w:sz w:val="20"/>
          <w:szCs w:val="20"/>
          <w:color w:val="auto"/>
        </w:rPr>
      </w:pPr>
      <w:r>
        <w:rPr>
          <w:rFonts w:ascii="Times New Roman" w:cs="Times New Roman" w:eastAsia="Times New Roman" w:hAnsi="Times New Roman"/>
          <w:sz w:val="18"/>
          <w:szCs w:val="18"/>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 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24" w:lineRule="exact"/>
        <w:rPr>
          <w:sz w:val="20"/>
          <w:szCs w:val="20"/>
          <w:color w:val="auto"/>
        </w:rPr>
      </w:pPr>
    </w:p>
    <w:p>
      <w:pPr>
        <w:jc w:val="both"/>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w:t>
      </w:r>
    </w:p>
    <w:p>
      <w:pPr>
        <w:spacing w:after="0" w:line="1" w:lineRule="exact"/>
        <w:rPr>
          <w:sz w:val="20"/>
          <w:szCs w:val="20"/>
          <w:color w:val="auto"/>
        </w:rPr>
      </w:pPr>
    </w:p>
    <w:p>
      <w:pPr>
        <w:ind w:left="60" w:right="99"/>
        <w:spacing w:after="0" w:line="236" w:lineRule="auto"/>
        <w:rPr>
          <w:sz w:val="20"/>
          <w:szCs w:val="20"/>
          <w:color w:val="auto"/>
        </w:rPr>
      </w:pPr>
      <w:r>
        <w:rPr>
          <w:rFonts w:ascii="Times New Roman" w:cs="Times New Roman" w:eastAsia="Times New Roman" w:hAnsi="Times New Roman"/>
          <w:sz w:val="18"/>
          <w:szCs w:val="18"/>
          <w:color w:val="auto"/>
        </w:rPr>
        <w:t>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w:t>
      </w:r>
    </w:p>
    <w:p>
      <w:pPr>
        <w:spacing w:after="0" w:line="228"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Also, new government requirements, including those resulting from new legislation, may be established, or the FDA’s policies may change, which could delay or prevent regulatory approval of our drugs under development.</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Regulatory Matters</w:t>
      </w:r>
    </w:p>
    <w:p>
      <w:pPr>
        <w:spacing w:after="0" w:line="241" w:lineRule="exact"/>
        <w:rPr>
          <w:sz w:val="20"/>
          <w:szCs w:val="20"/>
          <w:color w:val="auto"/>
        </w:rPr>
      </w:pPr>
    </w:p>
    <w:p>
      <w:pPr>
        <w:ind w:left="60" w:right="419" w:firstLine="648"/>
        <w:spacing w:after="0" w:line="264" w:lineRule="auto"/>
        <w:rPr>
          <w:sz w:val="20"/>
          <w:szCs w:val="20"/>
          <w:color w:val="auto"/>
        </w:rPr>
      </w:pPr>
      <w:r>
        <w:rPr>
          <w:rFonts w:ascii="Times New Roman" w:cs="Times New Roman" w:eastAsia="Times New Roman" w:hAnsi="Times New Roman"/>
          <w:sz w:val="17"/>
          <w:szCs w:val="17"/>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w:t>
      </w:r>
    </w:p>
    <w:p>
      <w:pPr>
        <w:sectPr>
          <w:pgSz w:w="11900" w:h="16838" w:orient="portrait"/>
          <w:cols w:equalWidth="0" w:num="1">
            <w:col w:w="9019"/>
          </w:cols>
          <w:pgMar w:left="1440" w:top="513" w:right="1440" w:bottom="1440" w:gutter="0" w:footer="0" w:header="0"/>
        </w:sect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38" w:lineRule="auto"/>
        <w:rPr>
          <w:sz w:val="20"/>
          <w:szCs w:val="20"/>
          <w:color w:val="auto"/>
        </w:rPr>
      </w:pPr>
      <w:r>
        <w:rPr>
          <w:rFonts w:ascii="Times New Roman" w:cs="Times New Roman" w:eastAsia="Times New Roman" w:hAnsi="Times New Roman"/>
          <w:sz w:val="18"/>
          <w:szCs w:val="18"/>
          <w:color w:val="auto"/>
        </w:rPr>
        <w:t>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29"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The failure to comply with regulatory requirements and changes to regulatory requirements subjects firms to possible legal or regulatory action.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U.S. Patent Term Restoration and Marketing Exclusivity</w:t>
      </w:r>
    </w:p>
    <w:p>
      <w:pPr>
        <w:spacing w:after="0" w:line="241"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232"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ectPr>
          <w:pgSz w:w="11900" w:h="16838" w:orient="portrait"/>
          <w:cols w:equalWidth="0" w:num="1">
            <w:col w:w="9019"/>
          </w:cols>
          <w:pgMar w:left="1440" w:top="513" w:right="1440" w:bottom="1440" w:gutter="0" w:footer="0" w:header="0"/>
        </w:sect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Orphan Drug Designation</w:t>
      </w:r>
    </w:p>
    <w:p>
      <w:pPr>
        <w:spacing w:after="0" w:line="254"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European Union, the European Commission, after receiving the opinion of the EMA’s Committee for Orphan Medicinal Products, or COMP, grants medicinal product designation to promote the development of products that are intended for the diagnosis, prevention or treatment of a life-threatening or chronically debilitating conditions affecting not more than five in 10,000 persons in the European Union Community. In addition,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biological product.</w:t>
      </w:r>
    </w:p>
    <w:p>
      <w:pPr>
        <w:spacing w:after="0" w:line="229" w:lineRule="exact"/>
        <w:rPr>
          <w:sz w:val="20"/>
          <w:szCs w:val="20"/>
          <w:color w:val="auto"/>
        </w:rPr>
      </w:pPr>
    </w:p>
    <w:p>
      <w:pPr>
        <w:ind w:left="60" w:right="119" w:firstLine="648"/>
        <w:spacing w:after="0" w:line="260" w:lineRule="auto"/>
        <w:rPr>
          <w:sz w:val="20"/>
          <w:szCs w:val="20"/>
          <w:color w:val="auto"/>
        </w:rPr>
      </w:pPr>
      <w:r>
        <w:rPr>
          <w:rFonts w:ascii="Times New Roman" w:cs="Times New Roman" w:eastAsia="Times New Roman" w:hAnsi="Times New Roman"/>
          <w:sz w:val="17"/>
          <w:szCs w:val="17"/>
          <w:color w:val="auto"/>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7"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In the European Union, medicinal product designation also entitles a party to financial incentives such as reduction of fees or fee waivers and ten years of market exclusivity is granted following drug or biological product approval. This period may be reduced to six years if the medicinal product designation criteria are no longer met, including where it is shown that the product is sufficiently profitable not to justify maintenance of market exclusivity.</w:t>
      </w:r>
    </w:p>
    <w:p>
      <w:pPr>
        <w:spacing w:after="0" w:line="221"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2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Rare Pediatric Disease Designation and Priority Review Vouchers</w:t>
      </w:r>
    </w:p>
    <w:p>
      <w:pPr>
        <w:spacing w:after="0" w:line="241"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Under the FDCA, the FDA incentivizes the development of drugs products that meet the definition of a “rare pediatric disease,” defined to mean a serious or life-threatening disease in which the serious of life-threatening manifestations primarily affect individuals aged from birth to 18 years and the disease affects fewer than 200,000 individuals in the United States or affects more than 200,000 in the United States and for which there is no reasonable expectation that the cost of developing and making in the United States a drug product for such disease or condition will be received from sales in the United States of such drug product. The sponsor of a product candidate for a rare pediatric disease may be eligible for a voucher that can be used to obtain a priority review for a subsequent human drug product application after the date of approval of the rare pediatric disease drug product, referred to as a priority review voucher, or PRV. A sponsor may request rare pediatric disease designation from the FDA prior to the submission of its NDA. A rare pediatric disease designation does not guarantee that a sponsor will receive a PRV upon approval of its NDA. Moreover, a sponsor who chooses not to submit a rare pediatric disease designation request may nonetheless receive a PRV upon approval of their marketing application if they request such a voucher in their original marketing application and meet all of the eligibility criteria. If a PRV is received, it may be sold or transferred an unlimited number of times. Congress has extended the PRV program through September 30, 2024, with the potential for PRVs to be granted through September 30, 2026.</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Regulation of Diagnostic Tests</w:t>
      </w:r>
    </w:p>
    <w:p>
      <w:pPr>
        <w:spacing w:after="0" w:line="254"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devices, which provide information that is essential for the safe and effective use of a corresponding drug. For example, we have entered into agreements with third parties to develop and commercialize companion diagnostic tests for avapritinib in order to identify GIST patients with the PDGFRA D842V mutation, pralsetinib in order to identify NSCLC patients with RET fusions and fisogatinib in order to identify HCC patients with FGFR4 pathway activation. In the U.S., the FDCA and its implementing regulations, and other federal and state statutes and regulations govern, among</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rPr>
          <w:sz w:val="20"/>
          <w:szCs w:val="20"/>
          <w:color w:val="auto"/>
        </w:rPr>
      </w:pPr>
      <w:r>
        <w:rPr>
          <w:rFonts w:ascii="Times New Roman" w:cs="Times New Roman" w:eastAsia="Times New Roman" w:hAnsi="Times New Roman"/>
          <w:sz w:val="18"/>
          <w:szCs w:val="18"/>
          <w:color w:val="auto"/>
        </w:rPr>
        <w:t>other things, medical device design and development, pre-clinical and clinical testing, premarket clearance or approval, establishment registration and device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225"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26"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 contemporaneously by FDA for the use indicated in the therapeutic product labeling. The guidance also explains that a companion diagnostic test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220"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 xml:space="preserve">In the European Economic Area, or EEA (which is comprised of the 27 Member States of the European Union plus Norway, Iceland and Liechtenstein),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medical devices are required to conform with the essential requirements of the E.U. Directive on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medical devices (Directive No 98/79/EC, as amended). To demonstrate compliance with the essential requirements, the 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Drug Development</w:t>
      </w:r>
    </w:p>
    <w:p>
      <w:pPr>
        <w:spacing w:after="0" w:line="256"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In the European Union, our future drugs may also be subject to extensive regulatory requirements. As in the U.S., medicinal products can only be marketed if a marketing authorization from the competent regulatory agencies has been obtained.</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7"/>
          <w:szCs w:val="17"/>
          <w:color w:val="auto"/>
        </w:rPr>
        <w:t>Similar to the U.S., the various phases of pre-clinical and clinical research in the European Union are subject to significant regulatory controls. Although the current EU Clinical Trials Directive 2001/20/EC, or Clinical Trials Directive,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217"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or the Clinical Trials Regulation, which is set to replace the Clinical Trials Directive.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 six months after the European Commission publishes notice of this confirmation The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Drug Review and Approval</w:t>
      </w:r>
    </w:p>
    <w:p>
      <w:pPr>
        <w:spacing w:after="0" w:line="24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In the United Kingdom and the EEA, medicinal products can only be commercialized after obtaining a Marketing Authorization, or MA. There are two types of marketing authorizations:</w:t>
      </w:r>
    </w:p>
    <w:p>
      <w:pPr>
        <w:spacing w:after="0" w:line="203"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The Community MA, which is issued by the European Commission through the Centralized Procedure, based on the opinion of the Committee for Medicinal Products for Human Use, or CHMP, of the EMA and which is valid 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228"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218" w:lineRule="exact"/>
        <w:rPr>
          <w:sz w:val="20"/>
          <w:szCs w:val="20"/>
          <w:color w:val="auto"/>
        </w:rPr>
      </w:pPr>
    </w:p>
    <w:p>
      <w:pPr>
        <w:jc w:val="both"/>
        <w:ind w:left="60" w:right="419" w:firstLine="648"/>
        <w:spacing w:after="0" w:line="250"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Pediatric Investigation Plan</w:t>
      </w:r>
    </w:p>
    <w:p>
      <w:pPr>
        <w:spacing w:after="0" w:line="25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In the EEA, MAAs for new medicinal products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this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If a marketing authorization is obtained and trial results are included in the product information, even when negative, the product is eligible for six-months’ supplementary protection certificate extension. In the case of orphan medicinal products, a two-year extension of the orphan market exclusivity may be available. This pediatric reward is subject to specific conditions and is not automatically available when data in compliance with the PIP are developed and submitted.</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European Chemical Entity Exclusivity</w:t>
      </w:r>
    </w:p>
    <w:p>
      <w:pPr>
        <w:spacing w:after="0" w:line="241" w:lineRule="exact"/>
        <w:rPr>
          <w:sz w:val="20"/>
          <w:szCs w:val="20"/>
          <w:color w:val="auto"/>
        </w:rPr>
      </w:pPr>
    </w:p>
    <w:p>
      <w:pPr>
        <w:ind w:left="60" w:right="279" w:firstLine="648"/>
        <w:spacing w:after="0" w:line="239" w:lineRule="auto"/>
        <w:rPr>
          <w:sz w:val="20"/>
          <w:szCs w:val="20"/>
          <w:color w:val="auto"/>
        </w:rPr>
      </w:pPr>
      <w:r>
        <w:rPr>
          <w:rFonts w:ascii="Times New Roman" w:cs="Times New Roman" w:eastAsia="Times New Roman" w:hAnsi="Times New Roman"/>
          <w:sz w:val="18"/>
          <w:szCs w:val="18"/>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56"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For other countries outside of the European Union and the U.S.,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208" w:lineRule="exact"/>
        <w:rPr>
          <w:sz w:val="20"/>
          <w:szCs w:val="20"/>
          <w:color w:val="auto"/>
        </w:rPr>
      </w:pPr>
    </w:p>
    <w:p>
      <w:pPr>
        <w:ind w:left="60" w:right="279" w:firstLine="648"/>
        <w:spacing w:after="0" w:line="250"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Laws</w:t>
      </w:r>
    </w:p>
    <w:p>
      <w:pPr>
        <w:spacing w:after="0" w:line="256"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the federal Health Insurance Portability and Accountability Act of 1996, as amended, and its implanting regulations, which are collectively referred to as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215"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Many state laws govern the privacy of personal information in specified circumstances. For example, in California the California Consumer Protection Act, or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199"/>
        <w:spacing w:after="0" w:line="245" w:lineRule="auto"/>
        <w:rPr>
          <w:sz w:val="20"/>
          <w:szCs w:val="20"/>
          <w:color w:val="auto"/>
        </w:rPr>
      </w:pPr>
      <w:r>
        <w:rPr>
          <w:rFonts w:ascii="Times New Roman" w:cs="Times New Roman" w:eastAsia="Times New Roman" w:hAnsi="Times New Roman"/>
          <w:sz w:val="18"/>
          <w:szCs w:val="18"/>
          <w:color w:val="auto"/>
        </w:rPr>
        <w:t>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w:t>
      </w:r>
    </w:p>
    <w:p>
      <w:pPr>
        <w:spacing w:after="0" w:line="221"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European Union member states, the United Kingdom, Switzerland and other jurisdictions have also adopted data protection laws and regulations, which impose significant compliance obligations. In the EEA and the United Kingdom, the collection and use of personal data, including clinical trial data, is governed by the provisions of the General Data Protection Regulation, or GDPR. The GDPR, together with national legislation, regulations and guidelines of the EU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43" w:lineRule="exact"/>
        <w:rPr>
          <w:sz w:val="20"/>
          <w:szCs w:val="20"/>
          <w:color w:val="auto"/>
        </w:rPr>
      </w:pPr>
    </w:p>
    <w:p>
      <w:pPr>
        <w:ind w:left="60" w:right="79" w:firstLine="648"/>
        <w:spacing w:after="0" w:line="251" w:lineRule="auto"/>
        <w:rPr>
          <w:sz w:val="20"/>
          <w:szCs w:val="20"/>
          <w:color w:val="auto"/>
        </w:rPr>
      </w:pPr>
      <w:r>
        <w:rPr>
          <w:rFonts w:ascii="Times New Roman" w:cs="Times New Roman" w:eastAsia="Times New Roman" w:hAnsi="Times New Roman"/>
          <w:sz w:val="17"/>
          <w:szCs w:val="17"/>
          <w:color w:val="auto"/>
        </w:rPr>
        <w:t>Sales of our drugs will depend, in part, on the extent to which our drugs will be covered by third-party payors, such as government health programs, commercial insurance and managed healthcare organizations. In the U.S. and markets in other countries, patients who are prescribed treatments for their conditions and providers performing the prescribed services generally rely on third-party payors to reimburse all or part of the associated healthcare costs. Thus, even if a drug is approved, sales of the drug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 The insurance coverage and reimbursement status of newly-approved products is uncertain. Failure to obtain or maintain adequate coverage and reimbursement for any of our drug candidates, if approved, could limit our ability to market those products and decrease our ability to generate revenue. Further, due to the COVID-19 pandemic, millions of individuals have lost or will be losing employer-based insurance coverage, which may adversely affect our ability to commercialize our drugs.</w:t>
      </w:r>
    </w:p>
    <w:p>
      <w:pPr>
        <w:spacing w:after="0" w:line="225"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232"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Times New Roman" w:cs="Times New Roman" w:eastAsia="Times New Roman" w:hAnsi="Times New Roman"/>
          <w:sz w:val="18"/>
          <w:szCs w:val="18"/>
          <w:color w:val="auto"/>
        </w:rPr>
        <w:t>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225"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226"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The Affordable Care Act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w:t>
      </w:r>
    </w:p>
    <w:p>
      <w:pPr>
        <w:spacing w:after="0" w:line="213" w:lineRule="exact"/>
        <w:rPr>
          <w:sz w:val="20"/>
          <w:szCs w:val="20"/>
          <w:color w:val="auto"/>
        </w:rPr>
      </w:pPr>
    </w:p>
    <w:p>
      <w:pPr>
        <w:ind w:left="60" w:right="219" w:firstLine="648"/>
        <w:spacing w:after="0" w:line="23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2030 unless additional Congressional action is taken. Pursuant to the Coronavirus Aid, Relief, and Economic Security Act, also known as the CARES Act, as well as subsequent legislation, these reductions have been suspended from May 1, 2020 through March 31, 2021 due to the COVID-19 pandemic. Proposed legislation, if passed, would extend this suspension until the end of the pandemic.</w:t>
      </w:r>
    </w:p>
    <w:p>
      <w:pPr>
        <w:spacing w:after="0" w:line="229"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2017 Tax Cuts and Jobs Act, or TJCA, includes a provision repealing the individual mandate, effective January 1, 2019. On December 18, 2019, the Fifth Circuit U.S. Court of Appeals held that the individual mandate is unconstitutional, and remanded the case to the lower court to reconsider its earlier invalidation of the full Affordable Care Act. On March 2, 2020, the United States Supreme Court granted the petitions for writs of certiorari to review this case, and held oral arguments on November 10, 2020. Pending a decision, the Affordable Care Act remains in effect, but it is unclear at this time what effect these developments will have on the status of the Affordable Care Act. Further, on January 20, 2017, U.S. former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former President Trump signed an Executive Order terminating the cost-sharing subsidies that reimburse insurers under the Affordable Care Act. Several state Attorneys General filed suit to stop the administration from terminating these subsidies, but on October 25, 2017, a federal judge in</w:t>
      </w:r>
    </w:p>
    <w:p>
      <w:pPr>
        <w:sectPr>
          <w:pgSz w:w="11900" w:h="16838" w:orient="portrait"/>
          <w:cols w:equalWidth="0" w:num="1">
            <w:col w:w="9019"/>
          </w:cols>
          <w:pgMar w:left="1440" w:top="513" w:right="1440" w:bottom="1440" w:gutter="0" w:footer="0" w:header="0"/>
        </w:sect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California denied their request for a restraining order. On August 14, 2020, the U.S. Court of Appeals for the Federal Circuit ruled in two separate cases that the federal government is liable for the full amount of unpaid cost-sharing reduction, or CSR, payments for the years preceding and including 2017. For CSR claims made by health insurance companies for years 2018 and later, further litigation will be required to determine the amounts due, if any. Further, on June 14, 2018, the U.S. Court of Appeals for the Federal Circuit ruled that the federal government was not required to pay more than $12 billion in Affordable Care Act risk corridor payments to third-party payors who argued the payments were owed to them. This decision was appealed to the U.S. Supreme Court, which on April 27, 2020, reversed the U.S. Court of Appeals for the Federal Circuit’s decision and remanded the case to the U.S. Court of Federal Claims, concluding the government has an obligation to pay these risk corridor payments under the relevant formula. The effects of this gap in reimbursement on third-party payors, the viability of the ACA marketplace, providers, and potentially our business, are not yet known.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232"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Healthcare Laws</w:t>
      </w:r>
    </w:p>
    <w:p>
      <w:pPr>
        <w:spacing w:after="0" w:line="243"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We may also be subject to healthcare regulation and enforcement by the federal government and the states and foreign governments where we may market our drug candidates, if approved. These laws include, without limitation, state and federal anti-kickback, fraud and abuse, false claims, privacy and security and physician sunshine laws and regulations.</w:t>
      </w:r>
    </w:p>
    <w:p>
      <w:pPr>
        <w:spacing w:after="0" w:line="199"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229"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13" w:lineRule="exact"/>
        <w:rPr>
          <w:sz w:val="20"/>
          <w:szCs w:val="20"/>
          <w:color w:val="auto"/>
        </w:rPr>
      </w:pPr>
    </w:p>
    <w:p>
      <w:pPr>
        <w:ind w:left="60" w:right="479" w:firstLine="648"/>
        <w:spacing w:after="0" w:line="296" w:lineRule="auto"/>
        <w:rPr>
          <w:sz w:val="20"/>
          <w:szCs w:val="20"/>
          <w:color w:val="auto"/>
        </w:rPr>
      </w:pPr>
      <w:r>
        <w:rPr>
          <w:rFonts w:ascii="Times New Roman" w:cs="Times New Roman" w:eastAsia="Times New Roman" w:hAnsi="Times New Roman"/>
          <w:sz w:val="17"/>
          <w:szCs w:val="17"/>
          <w:color w:val="auto"/>
        </w:rPr>
        <w:t>HIPAA also created new federal criminal statutes that prohibit among other actions, knowingly and willfully executing, or attempting to execute, a scheme to defraud any healthcare benefit program, including private third-party</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42" w:lineRule="auto"/>
        <w:rPr>
          <w:sz w:val="20"/>
          <w:szCs w:val="20"/>
          <w:color w:val="auto"/>
        </w:rPr>
      </w:pPr>
      <w:r>
        <w:rPr>
          <w:rFonts w:ascii="Times New Roman" w:cs="Times New Roman" w:eastAsia="Times New Roman" w:hAnsi="Times New Roman"/>
          <w:sz w:val="18"/>
          <w:szCs w:val="18"/>
          <w:color w:val="auto"/>
        </w:rPr>
        <w:t>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25"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Effective January 1, 2022, these reporting obligations will extend to include transfers of value made to certain non-physician providers such as physician assistants and nurse practitioners. Certain states also mandate implementation of compliance programs, impose restrictions on drug manufacturer marketing practices and/or require the tracking and reporting of gifts, compensation and other remuneration to physicians.</w:t>
      </w:r>
    </w:p>
    <w:p>
      <w:pPr>
        <w:spacing w:after="0" w:line="229"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We may also be subject to data privacy and security regulation by both the federal government and the states in which we conduct our business. HIPAA, as amended by the Health Information Technology and Clinical Health Act and its implementing regulations, collectively referred to as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56" w:lineRule="exact"/>
        <w:rPr>
          <w:sz w:val="20"/>
          <w:szCs w:val="20"/>
          <w:color w:val="auto"/>
        </w:rPr>
      </w:pPr>
    </w:p>
    <w:p>
      <w:pPr>
        <w:jc w:val="both"/>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We provide an inclusive, collaborative and safe work environment for our employees, who enjoy innovative work and development opportunities. As of January 31, 2021, we had 429 full- and part-time employees globally, approximately 406 of whom are employed in the U.S. and approximately 23 are employed in foreign countries. Of those employees, 224 are engaged in research and development activities and 246 hold M.D. or Ph.D. degrees. To allow us flexibility in meeting varying workflow demands, we also engage consultants and temporary workers when needed.</w:t>
      </w:r>
    </w:p>
    <w:p>
      <w:pPr>
        <w:spacing w:after="0" w:line="225"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We believe our employees are among the most important assets to our company and are key to achieving our goals and expectations. Accordingly, we focus significant attention on attracting and retaining talented individuals. Our management teams and function leaders regularly review employee engagement and satisfaction surveys and monitor employee turnover rates. To recruit and retain our employees, we offer robust compensation packages, including competitive base pay, incentive compensation and equity programs, and provide a broad range of benefits, including 401(k) plan (pension outside the U.S.), healthcare and insurance benefits, paid time off, paid family and medical leave, flexible work schedules, and various innovative health and wellness programs. In addition, we are committed to the professional development of our employees, who can take advantage of various learning opportunities, such as our mentorship, lunch &amp; learn and skill builder accelerator programs, as well as various training programs.</w:t>
      </w:r>
    </w:p>
    <w:p>
      <w:pPr>
        <w:spacing w:after="0" w:line="218"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None of our U.S. employees are represented by a labor union or covered by a collective bargaining agreement. Outside the U.S., our employees in France, Germany and Italy, respectively, are covered by a collective agreement applicable to our industry as required by applicable local law. We consider our relationship with our employees to be good.</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on the COVID-19 Pandemic</w:t>
      </w:r>
    </w:p>
    <w:p>
      <w:pPr>
        <w:spacing w:after="0" w:line="256"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color w:val="auto"/>
        </w:rPr>
        <w:t>The ongoing COVID-19 pandemic is having widespread, rapidly-evolving, and unpredictable impacts on global societies, economies, financial markets, and business practices. We are closely monitoring the impact of the pandemic and related developments, and our focus remains on promoting employee health and safety when continuing to advance the research and development of our drug candidates and to deliver our approved drugs to patients in need. For discussion regarding the impact of the COVID-19 pandemic on our business and financial results, see “Risk Factors” in Part I, Item 1A and “Management's Discussion and Analysis of Financial Condition and Results of Operations” in Part II, Item 7 of this Annual Report on Form 10-K.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43"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Information Available on the Internet</w:t>
      </w:r>
    </w:p>
    <w:p>
      <w:pPr>
        <w:spacing w:after="0" w:line="256"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213"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information to our investors using one or more of the following: SEC filings, press releases, public conference calls and webcasts and our corporate website (https://www.blueprintmedicines.com/), including without limitation the “Investors &amp; Media” and “Presentations &amp; Publications” sections of our website. We use these channels, as well as social media channels such as Twitter (@BlueprintMeds) and LinkedIn, to communicate with the public about our company, our business, our approved drugs and drug candidates and other matters. It is possible that the information we post on our corporate website or other social media could be deemed to be material information. Therefore, we encourage investors, the media, and others interested in our company to review the information we post on the “Investors &amp; Media” and “Presentations &amp; Publications” sections of our corporate website and on the social media channels listed on the “Investors &amp; Media” section of our corporate website. The contents of our corporate website and social media channels are not, however,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ind w:left="60" w:right="79"/>
        <w:spacing w:after="0" w:line="241"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review the discussion regarding some of the forward-looking statements that are qualified by these risk factors contained elsewhere in this Annual Report on Form 10-K. If any of the following risks occur, our business, financial condition, results of operations and future growth prospects could be materially and adversely affected.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58"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color w:val="auto"/>
        </w:rPr>
        <w:t>We have two approved precision therapies, AYVAKIT/AYVAKYT and GAVRETO. While we have initiated the commercial launch of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for additional indications are currently under review or planned in the U.S. and globally. To execute our business plan, in addition to successfully marketing and selling our approved drugs, we will need to successfully:</w:t>
      </w:r>
    </w:p>
    <w:p>
      <w:pPr>
        <w:spacing w:after="0" w:line="185" w:lineRule="exact"/>
        <w:rPr>
          <w:sz w:val="20"/>
          <w:szCs w:val="20"/>
          <w:color w:val="auto"/>
        </w:rPr>
      </w:pPr>
    </w:p>
    <w:p>
      <w:pPr>
        <w:ind w:left="1340" w:right="21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our relationships with healthcare providers who will be treating the patients who may receive our drugs and any future drugs;</w:t>
      </w:r>
    </w:p>
    <w:p>
      <w:pPr>
        <w:spacing w:after="0" w:line="162" w:lineRule="exact"/>
        <w:rPr>
          <w:rFonts w:ascii="Times New Roman" w:cs="Times New Roman" w:eastAsia="Times New Roman" w:hAnsi="Times New Roman"/>
          <w:sz w:val="18"/>
          <w:szCs w:val="18"/>
          <w:color w:val="auto"/>
        </w:rPr>
      </w:pPr>
    </w:p>
    <w:p>
      <w:pPr>
        <w:ind w:left="1340" w:right="7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adequate pricing and reimbursement for AYVAKIT/AYVAKYT, GAVRETO and any future drugs;</w:t>
      </w:r>
    </w:p>
    <w:p>
      <w:pPr>
        <w:spacing w:after="0" w:line="162" w:lineRule="exact"/>
        <w:rPr>
          <w:rFonts w:ascii="Times New Roman" w:cs="Times New Roman" w:eastAsia="Times New Roman" w:hAnsi="Times New Roman"/>
          <w:sz w:val="18"/>
          <w:szCs w:val="18"/>
          <w:color w:val="auto"/>
        </w:rPr>
      </w:pPr>
    </w:p>
    <w:p>
      <w:pPr>
        <w:ind w:left="1340" w:right="75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regulatory acceptance for the development and commercialization of current or future drug candidates in our pipeline;</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existing collaborations with Roche and CStone Pharmaceuticals, or CStone;</w:t>
      </w:r>
    </w:p>
    <w:p>
      <w:pPr>
        <w:spacing w:after="0" w:line="211" w:lineRule="exact"/>
        <w:rPr>
          <w:rFonts w:ascii="Times New Roman" w:cs="Times New Roman" w:eastAsia="Times New Roman" w:hAnsi="Times New Roman"/>
          <w:sz w:val="18"/>
          <w:szCs w:val="18"/>
          <w:color w:val="auto"/>
        </w:rPr>
      </w:pPr>
    </w:p>
    <w:p>
      <w:pPr>
        <w:ind w:left="1340" w:right="41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operations or enter into collaboration, partnerships or distribution arrangements in geographies where we may not have current operations or expertise; and</w:t>
      </w:r>
    </w:p>
    <w:p>
      <w:pPr>
        <w:spacing w:after="0" w:line="162" w:lineRule="exact"/>
        <w:rPr>
          <w:rFonts w:ascii="Times New Roman" w:cs="Times New Roman" w:eastAsia="Times New Roman" w:hAnsi="Times New Roman"/>
          <w:sz w:val="18"/>
          <w:szCs w:val="18"/>
          <w:color w:val="auto"/>
        </w:rPr>
      </w:pPr>
    </w:p>
    <w:p>
      <w:pPr>
        <w:ind w:left="1340" w:right="519" w:hanging="318"/>
        <w:spacing w:after="0" w:line="266"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spending as costs and expenses increase due to clinical trials, marketing approvals, and commercialization.</w:t>
      </w:r>
    </w:p>
    <w:p>
      <w:pPr>
        <w:spacing w:after="0" w:line="162" w:lineRule="exact"/>
        <w:rPr>
          <w:sz w:val="20"/>
          <w:szCs w:val="20"/>
          <w:color w:val="auto"/>
        </w:rPr>
      </w:pPr>
    </w:p>
    <w:p>
      <w:pPr>
        <w:ind w:left="60" w:right="259" w:firstLine="648"/>
        <w:spacing w:after="0" w:line="250" w:lineRule="auto"/>
        <w:rPr>
          <w:sz w:val="20"/>
          <w:szCs w:val="20"/>
          <w:color w:val="auto"/>
        </w:rPr>
      </w:pPr>
      <w:r>
        <w:rPr>
          <w:rFonts w:ascii="Times New Roman" w:cs="Times New Roman" w:eastAsia="Times New Roman" w:hAnsi="Times New Roman"/>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73" w:lineRule="exact"/>
        <w:rPr>
          <w:sz w:val="20"/>
          <w:szCs w:val="20"/>
          <w:color w:val="auto"/>
        </w:rPr>
      </w:pPr>
    </w:p>
    <w:p>
      <w:pPr>
        <w:jc w:val="both"/>
        <w:ind w:left="60" w:right="2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75"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85" w:lineRule="exact"/>
        <w:rPr>
          <w:sz w:val="20"/>
          <w:szCs w:val="20"/>
          <w:color w:val="auto"/>
        </w:rPr>
      </w:pPr>
    </w:p>
    <w:p>
      <w:pPr>
        <w:ind w:left="4400" w:right="2299" w:hanging="3351"/>
        <w:spacing w:after="0" w:line="845" w:lineRule="auto"/>
        <w:tabs>
          <w:tab w:leader="none" w:pos="1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potential advantages over alternative treatments;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39" w:hanging="331"/>
        <w:spacing w:after="0" w:line="266" w:lineRule="auto"/>
        <w:tabs>
          <w:tab w:leader="none" w:pos="13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the drug’s approved labeling;</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eligible patients to try new therapies and of physicians to prescribe these therapies;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patients who are prescribed our drugs remain on treatment;</w:t>
      </w:r>
    </w:p>
    <w:p>
      <w:pPr>
        <w:spacing w:after="0" w:line="211" w:lineRule="exact"/>
        <w:rPr>
          <w:rFonts w:ascii="Times New Roman" w:cs="Times New Roman" w:eastAsia="Times New Roman" w:hAnsi="Times New Roman"/>
          <w:sz w:val="18"/>
          <w:szCs w:val="18"/>
          <w:color w:val="auto"/>
        </w:rPr>
      </w:pPr>
    </w:p>
    <w:p>
      <w:pPr>
        <w:ind w:left="1340" w:right="619" w:hanging="318"/>
        <w:spacing w:after="0" w:line="266" w:lineRule="auto"/>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drugs and any current or future drug candidates for which we receive marketing approval;</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current and future drugs, or competing products and treatments; and</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80" w:lineRule="exact"/>
        <w:rPr>
          <w:sz w:val="20"/>
          <w:szCs w:val="20"/>
          <w:color w:val="auto"/>
        </w:rPr>
      </w:pPr>
    </w:p>
    <w:p>
      <w:pPr>
        <w:ind w:left="60" w:right="5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58"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Although we have established our initial commercial infrastructure, 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7"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sales and marketing personnel;</w:t>
      </w:r>
    </w:p>
    <w:p>
      <w:pPr>
        <w:spacing w:after="0" w:line="211" w:lineRule="exact"/>
        <w:rPr>
          <w:rFonts w:ascii="Times New Roman" w:cs="Times New Roman" w:eastAsia="Times New Roman" w:hAnsi="Times New Roman"/>
          <w:sz w:val="18"/>
          <w:szCs w:val="18"/>
          <w:color w:val="auto"/>
        </w:rPr>
      </w:pPr>
    </w:p>
    <w:p>
      <w:pPr>
        <w:ind w:left="1340" w:right="499" w:hanging="31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to persuade adequate numbers of physicians to prescribe our drugs;</w:t>
      </w:r>
    </w:p>
    <w:p>
      <w:pPr>
        <w:spacing w:after="0" w:line="162" w:lineRule="exact"/>
        <w:rPr>
          <w:rFonts w:ascii="Times New Roman" w:cs="Times New Roman" w:eastAsia="Times New Roman" w:hAnsi="Times New Roman"/>
          <w:sz w:val="18"/>
          <w:szCs w:val="18"/>
          <w:color w:val="auto"/>
        </w:rPr>
      </w:pPr>
    </w:p>
    <w:p>
      <w:pPr>
        <w:ind w:left="1340" w:right="819" w:hanging="318"/>
        <w:spacing w:after="0" w:line="266" w:lineRule="auto"/>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maintaining an independent sales and marketing organization; and</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to sales and marketing activities, including due to the COVID-19 pandemic.</w:t>
      </w:r>
    </w:p>
    <w:p>
      <w:pPr>
        <w:spacing w:after="0" w:line="212" w:lineRule="exact"/>
        <w:rPr>
          <w:sz w:val="20"/>
          <w:szCs w:val="20"/>
          <w:color w:val="auto"/>
        </w:rPr>
      </w:pPr>
    </w:p>
    <w:p>
      <w:pPr>
        <w:jc w:val="both"/>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76"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The precise incidence and/or prevalence for SM, RET-altered cancers, EGFR-mutated NSCLC, GIST and HCC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 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87" w:lineRule="exact"/>
        <w:rPr>
          <w:sz w:val="20"/>
          <w:szCs w:val="20"/>
          <w:color w:val="auto"/>
        </w:rPr>
      </w:pPr>
    </w:p>
    <w:p>
      <w:pPr>
        <w:ind w:left="60" w:right="199" w:firstLine="648"/>
        <w:spacing w:after="0" w:line="241" w:lineRule="auto"/>
        <w:rPr>
          <w:sz w:val="20"/>
          <w:szCs w:val="20"/>
          <w:color w:val="auto"/>
        </w:rPr>
      </w:pPr>
      <w:r>
        <w:rPr>
          <w:rFonts w:ascii="Times New Roman" w:cs="Times New Roman" w:eastAsia="Times New Roman" w:hAnsi="Times New Roman"/>
          <w:sz w:val="18"/>
          <w:szCs w:val="18"/>
          <w:color w:val="auto"/>
        </w:rPr>
        <w:t>Accordingly, the number of patients in the U.S., France, Germany, Italy, Spain, the United Kingdom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0"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commercializing, developing or discovering drugs before or more successfully than we do.</w:t>
      </w:r>
    </w:p>
    <w:p>
      <w:pPr>
        <w:spacing w:after="0" w:line="158"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86"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We are developing avapritinib for SM, including advanced SM and non-advanced SM, and we are developing BLU-263 for the treatment of non-advanced SM and other mast cell disorders. If avapritinib receives marketing approval for advanced SM, it will face competition from Novartis AG’s midostaurin and imatinib. In addition, if avapritinib or BLU-263 are approved for advanced SM or non-advanced SM, they may face competition from other drug candidates in development for these indications, including those being developed by AB Science S.A., Allakos Inc. and Cogent Biosciences, Inc.</w:t>
      </w:r>
    </w:p>
    <w:p>
      <w:pPr>
        <w:spacing w:after="0" w:line="184" w:lineRule="exact"/>
        <w:rPr>
          <w:sz w:val="20"/>
          <w:szCs w:val="20"/>
          <w:color w:val="auto"/>
        </w:rPr>
      </w:pPr>
    </w:p>
    <w:p>
      <w:pPr>
        <w:ind w:left="60" w:right="219" w:firstLine="648"/>
        <w:spacing w:after="0" w:line="239" w:lineRule="auto"/>
        <w:rPr>
          <w:sz w:val="20"/>
          <w:szCs w:val="20"/>
          <w:color w:val="auto"/>
        </w:rPr>
      </w:pPr>
      <w:r>
        <w:rPr>
          <w:rFonts w:ascii="Times New Roman" w:cs="Times New Roman" w:eastAsia="Times New Roman" w:hAnsi="Times New Roman"/>
          <w:sz w:val="18"/>
          <w:szCs w:val="18"/>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87"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firstLine="648"/>
        <w:spacing w:after="0" w:line="260" w:lineRule="auto"/>
        <w:rPr>
          <w:sz w:val="20"/>
          <w:szCs w:val="20"/>
          <w:color w:val="auto"/>
        </w:rPr>
      </w:pPr>
      <w:r>
        <w:rPr>
          <w:rFonts w:ascii="Times New Roman" w:cs="Times New Roman" w:eastAsia="Times New Roman" w:hAnsi="Times New Roman"/>
          <w:sz w:val="17"/>
          <w:szCs w:val="17"/>
          <w:color w:val="auto"/>
        </w:rPr>
        <w:t>We are developing fisogatinib for patients with advanced HCC. If fisogatinib receives marketing approval for patients with FGFR4-activated HCC, it will face competition from Bristol-Myers Squibb Company’s nivolumab and Merck</w:t>
      </w:r>
    </w:p>
    <w:p>
      <w:pPr>
        <w:spacing w:after="0" w:line="1" w:lineRule="exact"/>
        <w:rPr>
          <w:sz w:val="20"/>
          <w:szCs w:val="20"/>
          <w:color w:val="auto"/>
        </w:rPr>
      </w:pPr>
    </w:p>
    <w:p>
      <w:pPr>
        <w:ind w:left="60" w:right="99" w:hanging="10"/>
        <w:spacing w:after="0" w:line="237" w:lineRule="auto"/>
        <w:tabs>
          <w:tab w:leader="none" w:pos="24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185" w:lineRule="exact"/>
        <w:rPr>
          <w:sz w:val="20"/>
          <w:szCs w:val="20"/>
          <w:color w:val="auto"/>
        </w:rPr>
      </w:pPr>
    </w:p>
    <w:p>
      <w:pPr>
        <w:ind w:left="60" w:right="219" w:firstLine="648"/>
        <w:spacing w:after="0"/>
        <w:rPr>
          <w:sz w:val="20"/>
          <w:szCs w:val="20"/>
          <w:color w:val="auto"/>
        </w:rPr>
      </w:pPr>
      <w:r>
        <w:rPr>
          <w:rFonts w:ascii="Times New Roman" w:cs="Times New Roman" w:eastAsia="Times New Roman" w:hAnsi="Times New Roman"/>
          <w:sz w:val="18"/>
          <w:szCs w:val="18"/>
          <w:color w:val="auto"/>
        </w:rPr>
        <w:t>We are developing drug candidates for treatment-resistant EGFR-mutated NSCLC, which, if approved, will face competition from AstraZeneca plc’s osimertinib and almonertinib, which is under collaboration between Jiangsu Hansoh Pharmaceutical Group Co., Ltd. and EQRX, Inc. and approved in China. In addition, our EGFR inhibitors may face competition from drug candidates in development for EGFR-mutated NSCLC, including those being developed by Alpha Biopharma Inc., Astellas Pharma Inc., Boehringer Ingelheim RCV GmbH &amp; Co KG, Bridge Biotherapeutics, Inc., C4 Therapeutics, Inc., Chia Tai Tianqing Pharmaceutical Group, Daiichi Sankyo Company, Limited, Genosco Inc., Genprex, Inc., Janssen Pharmaceuticals, Inc., and Yuhan Corporation.</w:t>
      </w:r>
    </w:p>
    <w:p>
      <w:pPr>
        <w:spacing w:after="0" w:line="185"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3"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58" w:lineRule="exact"/>
        <w:rPr>
          <w:sz w:val="20"/>
          <w:szCs w:val="20"/>
          <w:color w:val="auto"/>
        </w:rPr>
      </w:pPr>
    </w:p>
    <w:p>
      <w:pPr>
        <w:ind w:left="60" w:right="399" w:firstLine="648"/>
        <w:spacing w:after="0" w:line="242"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85" w:lineRule="exact"/>
        <w:rPr>
          <w:sz w:val="20"/>
          <w:szCs w:val="20"/>
          <w:color w:val="auto"/>
        </w:rPr>
      </w:pPr>
    </w:p>
    <w:p>
      <w:pPr>
        <w:ind w:left="1380" w:right="899" w:hanging="331"/>
        <w:spacing w:after="0" w:line="266" w:lineRule="auto"/>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of our approved drugs or drug candidates that we may develop and commercialize;</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hanging="331"/>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of approved drugs or drug candidates that we may develop.</w:t>
      </w:r>
    </w:p>
    <w:p>
      <w:pPr>
        <w:spacing w:after="0" w:line="212" w:lineRule="exact"/>
        <w:rPr>
          <w:sz w:val="20"/>
          <w:szCs w:val="20"/>
          <w:color w:val="auto"/>
        </w:rPr>
      </w:pPr>
    </w:p>
    <w:p>
      <w:pPr>
        <w:jc w:val="both"/>
        <w:ind w:left="60" w:right="139" w:firstLine="648"/>
        <w:spacing w:after="0" w:line="264" w:lineRule="auto"/>
        <w:rPr>
          <w:sz w:val="20"/>
          <w:szCs w:val="20"/>
          <w:color w:val="auto"/>
        </w:rPr>
      </w:pPr>
      <w:r>
        <w:rPr>
          <w:rFonts w:ascii="Times New Roman" w:cs="Times New Roman" w:eastAsia="Times New Roman" w:hAnsi="Times New Roman"/>
          <w:sz w:val="17"/>
          <w:szCs w:val="17"/>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62"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76"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or plan to enter into agreements to develop and/or commercialize companion diagnostic tests with third parties for AYVAKIT/AYVAKYT in order to identify GIST patients with the PDGFRA D842V mutation, pralsetinib in order to identify NSCLC patients with RET fusions and MTC patients with RET mutations and fisogatinib in order to identify HCC patients with FGFR4 pathway activation.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95" w:lineRule="exact"/>
        <w:rPr>
          <w:sz w:val="20"/>
          <w:szCs w:val="20"/>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211" w:lineRule="exact"/>
        <w:rPr>
          <w:rFonts w:ascii="Times New Roman" w:cs="Times New Roman" w:eastAsia="Times New Roman" w:hAnsi="Times New Roman"/>
          <w:sz w:val="18"/>
          <w:szCs w:val="18"/>
          <w:color w:val="auto"/>
        </w:rPr>
      </w:pPr>
    </w:p>
    <w:p>
      <w:pPr>
        <w:ind w:left="1340" w:right="659" w:hanging="318"/>
        <w:spacing w:after="0" w:line="266"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clearances or approvals;</w:t>
      </w:r>
    </w:p>
    <w:p>
      <w:pPr>
        <w:spacing w:after="0" w:line="162" w:lineRule="exact"/>
        <w:rPr>
          <w:rFonts w:ascii="Times New Roman" w:cs="Times New Roman" w:eastAsia="Times New Roman" w:hAnsi="Times New Roman"/>
          <w:sz w:val="18"/>
          <w:szCs w:val="18"/>
          <w:color w:val="auto"/>
        </w:rPr>
      </w:pPr>
    </w:p>
    <w:p>
      <w:pPr>
        <w:jc w:val="both"/>
        <w:ind w:left="1340" w:right="319" w:hanging="318"/>
        <w:spacing w:after="0" w:line="250"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ind w:left="1340" w:right="359" w:hanging="318"/>
        <w:spacing w:after="0" w:line="266" w:lineRule="auto"/>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commit sufficient resources to the marketing and distribution of a companion diagnostic test; and</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terminate their relationship with us.</w:t>
      </w:r>
    </w:p>
    <w:p>
      <w:pPr>
        <w:spacing w:after="0" w:line="212"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81" w:lineRule="exact"/>
        <w:rPr>
          <w:sz w:val="20"/>
          <w:szCs w:val="20"/>
          <w:color w:val="auto"/>
        </w:rPr>
      </w:pPr>
    </w:p>
    <w:p>
      <w:pPr>
        <w:ind w:left="1340" w:right="239" w:hanging="318"/>
        <w:spacing w:after="0" w:line="266" w:lineRule="auto"/>
        <w:tabs>
          <w:tab w:leader="none" w:pos="1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approved drugs and drug candidates may be adversely affected if we are unable to appropriately select patients for enrollment in our clinical trials;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319" w:hanging="318"/>
        <w:spacing w:after="0" w:line="266"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drug candidates may not receive marketing approval if safe and effective use of a therapeutic drug candidate depends on an in vitro diagnostic;</w:t>
      </w:r>
    </w:p>
    <w:p>
      <w:pPr>
        <w:spacing w:after="0" w:line="162" w:lineRule="exact"/>
        <w:rPr>
          <w:rFonts w:ascii="Times New Roman" w:cs="Times New Roman" w:eastAsia="Times New Roman" w:hAnsi="Times New Roman"/>
          <w:sz w:val="18"/>
          <w:szCs w:val="18"/>
          <w:color w:val="auto"/>
        </w:rPr>
      </w:pPr>
    </w:p>
    <w:p>
      <w:pPr>
        <w:ind w:left="1340" w:right="819" w:hanging="318"/>
        <w:spacing w:after="0" w:line="266"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post-marketing requirements regarding the development and commercialization of companion diagnostic tests for our drugs and drug candidates; and</w:t>
      </w:r>
    </w:p>
    <w:p>
      <w:pPr>
        <w:spacing w:after="0" w:line="162" w:lineRule="exact"/>
        <w:rPr>
          <w:rFonts w:ascii="Times New Roman" w:cs="Times New Roman" w:eastAsia="Times New Roman" w:hAnsi="Times New Roman"/>
          <w:sz w:val="18"/>
          <w:szCs w:val="18"/>
          <w:color w:val="auto"/>
        </w:rPr>
      </w:pPr>
    </w:p>
    <w:p>
      <w:pPr>
        <w:ind w:left="1340" w:right="279" w:hanging="318"/>
        <w:spacing w:after="0" w:line="250" w:lineRule="auto"/>
        <w:tabs>
          <w:tab w:leader="none" w:pos="1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a result, our business may be materially harmed.</w:t>
      </w:r>
    </w:p>
    <w:p>
      <w:pPr>
        <w:spacing w:after="0" w:line="212"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84" w:lineRule="exact"/>
        <w:rPr>
          <w:sz w:val="20"/>
          <w:szCs w:val="20"/>
          <w:color w:val="auto"/>
        </w:rPr>
      </w:pPr>
    </w:p>
    <w:p>
      <w:pPr>
        <w:ind w:left="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58"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our drugs or any other drug candidates that may be approved in the future, which could have a material adverse effect on our business as a whole.</w:t>
      </w:r>
    </w:p>
    <w:p>
      <w:pPr>
        <w:spacing w:after="0" w:line="181" w:lineRule="exact"/>
        <w:rPr>
          <w:sz w:val="20"/>
          <w:szCs w:val="20"/>
          <w:color w:val="auto"/>
        </w:rPr>
      </w:pPr>
    </w:p>
    <w:p>
      <w:pPr>
        <w:ind w:left="60" w:right="1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75"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5"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4" w:lineRule="exact"/>
        <w:rPr>
          <w:sz w:val="20"/>
          <w:szCs w:val="20"/>
          <w:color w:val="auto"/>
        </w:rPr>
      </w:pPr>
    </w:p>
    <w:p>
      <w:pPr>
        <w:ind w:left="60" w:right="419" w:firstLine="648"/>
        <w:spacing w:after="0" w:line="250" w:lineRule="auto"/>
        <w:rPr>
          <w:sz w:val="20"/>
          <w:szCs w:val="20"/>
          <w:color w:val="auto"/>
        </w:rPr>
      </w:pPr>
      <w:r>
        <w:rPr>
          <w:rFonts w:ascii="Times New Roman" w:cs="Times New Roman" w:eastAsia="Times New Roman" w:hAnsi="Times New Roman"/>
          <w:sz w:val="18"/>
          <w:szCs w:val="18"/>
          <w:color w:val="auto"/>
        </w:rPr>
        <w:t>If we do not establish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212" w:lineRule="exact"/>
        <w:rPr>
          <w:sz w:val="20"/>
          <w:szCs w:val="20"/>
          <w:color w:val="auto"/>
        </w:rPr>
      </w:pPr>
    </w:p>
    <w:p>
      <w:pPr>
        <w:ind w:left="60" w:right="39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5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86" w:lineRule="exact"/>
        <w:rPr>
          <w:sz w:val="20"/>
          <w:szCs w:val="20"/>
          <w:color w:val="auto"/>
        </w:rPr>
      </w:pPr>
    </w:p>
    <w:p>
      <w:pPr>
        <w:ind w:left="1340" w:right="499" w:hanging="318"/>
        <w:spacing w:after="0" w:line="266"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initiation and completion of, clinical trials, including our ongoing and planned clinical trials for our drugs and drug candidates;</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and completion of pre-clinical studies for our other drug candidates;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development of any companion diagnostic tests for use with our drugs and drug candidates;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regulatory approvals from applicable regulatory authorities;</w:t>
      </w:r>
    </w:p>
    <w:p>
      <w:pPr>
        <w:spacing w:after="0" w:line="211" w:lineRule="exact"/>
        <w:rPr>
          <w:rFonts w:ascii="Times New Roman" w:cs="Times New Roman" w:eastAsia="Times New Roman" w:hAnsi="Times New Roman"/>
          <w:sz w:val="18"/>
          <w:szCs w:val="18"/>
          <w:color w:val="auto"/>
        </w:rPr>
      </w:pPr>
    </w:p>
    <w:p>
      <w:pPr>
        <w:ind w:left="1340" w:right="79" w:hanging="318"/>
        <w:spacing w:after="0" w:line="272" w:lineRule="auto"/>
        <w:tabs>
          <w:tab w:leader="none" w:pos="1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in-house commercial manufacturing capabilities or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58" w:lineRule="exact"/>
        <w:rPr>
          <w:rFonts w:ascii="Times New Roman" w:cs="Times New Roman" w:eastAsia="Times New Roman" w:hAnsi="Times New Roman"/>
          <w:sz w:val="17"/>
          <w:szCs w:val="17"/>
          <w:color w:val="auto"/>
        </w:rPr>
      </w:pPr>
    </w:p>
    <w:p>
      <w:pPr>
        <w:ind w:left="1340" w:right="239" w:hanging="318"/>
        <w:spacing w:after="0" w:line="266"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or regulatory exclusivity for our drugs and drug candidates;</w:t>
      </w:r>
    </w:p>
    <w:p>
      <w:pPr>
        <w:spacing w:after="0" w:line="162" w:lineRule="exact"/>
        <w:rPr>
          <w:rFonts w:ascii="Times New Roman" w:cs="Times New Roman" w:eastAsia="Times New Roman" w:hAnsi="Times New Roman"/>
          <w:sz w:val="18"/>
          <w:szCs w:val="18"/>
          <w:color w:val="auto"/>
        </w:rPr>
      </w:pPr>
    </w:p>
    <w:p>
      <w:pPr>
        <w:ind w:left="1340" w:right="179" w:hanging="318"/>
        <w:spacing w:after="0" w:line="266"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drugs and drug candidates, if and when approved, whether alone or in collaboration with others;</w:t>
      </w:r>
    </w:p>
    <w:p>
      <w:pPr>
        <w:spacing w:after="0" w:line="162" w:lineRule="exact"/>
        <w:rPr>
          <w:rFonts w:ascii="Times New Roman" w:cs="Times New Roman" w:eastAsia="Times New Roman" w:hAnsi="Times New Roman"/>
          <w:sz w:val="18"/>
          <w:szCs w:val="18"/>
          <w:color w:val="auto"/>
        </w:rPr>
      </w:pPr>
    </w:p>
    <w:p>
      <w:pPr>
        <w:ind w:left="1340" w:right="299" w:hanging="318"/>
        <w:spacing w:after="0" w:line="266" w:lineRule="auto"/>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approved drugs and drug candidates, if and when approved, by patients, the medical community and third-party payors;</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 and</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drugs and drug candidates following approval.</w:t>
      </w:r>
    </w:p>
    <w:p>
      <w:pPr>
        <w:spacing w:after="0" w:line="212" w:lineRule="exact"/>
        <w:rPr>
          <w:sz w:val="20"/>
          <w:szCs w:val="20"/>
          <w:color w:val="auto"/>
        </w:rPr>
      </w:pPr>
    </w:p>
    <w:p>
      <w:pPr>
        <w:ind w:left="60" w:right="119" w:firstLine="648"/>
        <w:spacing w:after="0" w:line="272" w:lineRule="auto"/>
        <w:rPr>
          <w:sz w:val="20"/>
          <w:szCs w:val="20"/>
          <w:color w:val="auto"/>
        </w:rPr>
      </w:pPr>
      <w:r>
        <w:rPr>
          <w:rFonts w:ascii="Times New Roman" w:cs="Times New Roman" w:eastAsia="Times New Roman" w:hAnsi="Times New Roman"/>
          <w:sz w:val="17"/>
          <w:szCs w:val="17"/>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1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8" w:lineRule="exact"/>
        <w:rPr>
          <w:sz w:val="20"/>
          <w:szCs w:val="20"/>
          <w:color w:val="auto"/>
        </w:rPr>
      </w:pPr>
    </w:p>
    <w:p>
      <w:pPr>
        <w:ind w:left="60" w:right="259" w:firstLine="648"/>
        <w:spacing w:after="0" w:line="238"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86"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In addition, we have experienced some delays or disruptions in enrollment in our ongoing clinical trials due to the COVID-19 pandemic, and we anticipate we may experience additional delays or disruptions in the future due to the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12"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76"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Our drug candidates and any companion diagnostic tests related to our approved drugs or drug candidates, including the companion diagnostic tests that we are developing or have developed for AYVAKIT/AYVAKYT in order to identify GIST patients with the PDGFRA D842V mutation, pralsetinib in order to identify NSCLC patients with RET fusions and MTC patients with RET mutations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fisogatinib.</w:t>
      </w:r>
    </w:p>
    <w:p>
      <w:pPr>
        <w:spacing w:after="0" w:line="188" w:lineRule="exact"/>
        <w:rPr>
          <w:sz w:val="20"/>
          <w:szCs w:val="20"/>
          <w:color w:val="auto"/>
        </w:rPr>
      </w:pPr>
    </w:p>
    <w:p>
      <w:pPr>
        <w:ind w:left="60" w:right="159" w:firstLine="648"/>
        <w:spacing w:after="0" w:line="237" w:lineRule="auto"/>
        <w:rPr>
          <w:sz w:val="20"/>
          <w:szCs w:val="20"/>
          <w:color w:val="auto"/>
        </w:rPr>
      </w:pPr>
      <w:r>
        <w:rPr>
          <w:rFonts w:ascii="Times New Roman" w:cs="Times New Roman" w:eastAsia="Times New Roman" w:hAnsi="Times New Roman"/>
          <w:sz w:val="18"/>
          <w:szCs w:val="18"/>
          <w:color w:val="auto"/>
        </w:rPr>
        <w:t>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93"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marketing applications pending for avapritinib in the U.S and Europe and pralsetinib in the Europe.</w:t>
      </w:r>
    </w:p>
    <w:p>
      <w:pPr>
        <w:spacing w:after="0" w:line="188"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Our drug candidates could be delayed in receiving, or fail to receive, regulatory approval for many reasons, including the following:</w:t>
      </w:r>
    </w:p>
    <w:p>
      <w:pPr>
        <w:spacing w:after="0" w:line="162" w:lineRule="exact"/>
        <w:rPr>
          <w:sz w:val="20"/>
          <w:szCs w:val="20"/>
          <w:color w:val="auto"/>
        </w:rPr>
      </w:pPr>
    </w:p>
    <w:p>
      <w:pPr>
        <w:ind w:left="1380" w:right="7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62" w:lineRule="exact"/>
        <w:rPr>
          <w:rFonts w:ascii="Times New Roman" w:cs="Times New Roman" w:eastAsia="Times New Roman" w:hAnsi="Times New Roman"/>
          <w:sz w:val="18"/>
          <w:szCs w:val="18"/>
          <w:color w:val="auto"/>
        </w:rPr>
      </w:pPr>
    </w:p>
    <w:p>
      <w:pPr>
        <w:ind w:left="1380" w:right="219" w:hanging="331"/>
        <w:spacing w:after="0" w:line="250"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76" w:lineRule="exact"/>
        <w:rPr>
          <w:rFonts w:ascii="Times New Roman" w:cs="Times New Roman" w:eastAsia="Times New Roman" w:hAnsi="Times New Roman"/>
          <w:sz w:val="18"/>
          <w:szCs w:val="18"/>
          <w:color w:val="auto"/>
        </w:rPr>
      </w:pPr>
    </w:p>
    <w:p>
      <w:pPr>
        <w:ind w:left="1380" w:right="47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62" w:lineRule="exact"/>
        <w:rPr>
          <w:rFonts w:ascii="Times New Roman" w:cs="Times New Roman" w:eastAsia="Times New Roman" w:hAnsi="Times New Roman"/>
          <w:sz w:val="18"/>
          <w:szCs w:val="18"/>
          <w:color w:val="auto"/>
        </w:rPr>
      </w:pPr>
    </w:p>
    <w:p>
      <w:pPr>
        <w:ind w:left="1380" w:right="199" w:hanging="331"/>
        <w:spacing w:after="0" w:line="266" w:lineRule="auto"/>
        <w:tabs>
          <w:tab w:leader="none" w:pos="1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379" w:hanging="331"/>
        <w:spacing w:after="0" w:line="296" w:lineRule="auto"/>
        <w:tabs>
          <w:tab w:leader="none" w:pos="13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collected from clinical trials of our drug candidates may not be sufficient to support the submission of an NDA or other submission or to obtain regulatory approval in the U.S. or elsewhere;</w:t>
      </w:r>
    </w:p>
    <w:p>
      <w:pPr>
        <w:spacing w:after="0" w:line="138" w:lineRule="exact"/>
        <w:rPr>
          <w:rFonts w:ascii="Times New Roman" w:cs="Times New Roman" w:eastAsia="Times New Roman" w:hAnsi="Times New Roman"/>
          <w:sz w:val="17"/>
          <w:szCs w:val="17"/>
          <w:color w:val="auto"/>
        </w:rPr>
      </w:pPr>
    </w:p>
    <w:p>
      <w:pPr>
        <w:ind w:left="1380" w:right="279" w:hanging="331"/>
        <w:spacing w:after="0" w:line="250"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76"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 and</w:t>
      </w:r>
    </w:p>
    <w:p>
      <w:pPr>
        <w:spacing w:after="0" w:line="162" w:lineRule="exact"/>
        <w:rPr>
          <w:rFonts w:ascii="Times New Roman" w:cs="Times New Roman" w:eastAsia="Times New Roman" w:hAnsi="Times New Roman"/>
          <w:sz w:val="18"/>
          <w:szCs w:val="18"/>
          <w:color w:val="auto"/>
        </w:rPr>
      </w:pPr>
    </w:p>
    <w:p>
      <w:pPr>
        <w:ind w:left="1380" w:right="719" w:hanging="331"/>
        <w:spacing w:after="0" w:line="266" w:lineRule="auto"/>
        <w:tabs>
          <w:tab w:leader="none" w:pos="13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impacting the FDA or comparable foreign regulatory authorities due to the COVID-19 pandemic.</w:t>
      </w:r>
    </w:p>
    <w:p>
      <w:pPr>
        <w:spacing w:after="0" w:line="162"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As of June 23, 2020, the FDA noted it is continuing to ensure timely reviews of applications for medical products during the COVID-19 pandemic in line with its user fee performance goals.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COVID-19 pandemic and travel restrictions FDA is unable to complete such required inspections during the review period. In 2020, several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91"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173" w:lineRule="exact"/>
        <w:rPr>
          <w:sz w:val="20"/>
          <w:szCs w:val="20"/>
          <w:color w:val="auto"/>
        </w:rPr>
      </w:pPr>
    </w:p>
    <w:p>
      <w:pPr>
        <w:ind w:left="60" w:right="7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1"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88" w:lineRule="exact"/>
        <w:rPr>
          <w:sz w:val="20"/>
          <w:szCs w:val="20"/>
          <w:color w:val="auto"/>
        </w:rPr>
      </w:pPr>
    </w:p>
    <w:p>
      <w:pPr>
        <w:ind w:left="1380" w:right="119" w:hanging="331"/>
        <w:spacing w:after="0" w:line="250"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76" w:lineRule="exact"/>
        <w:rPr>
          <w:rFonts w:ascii="Times New Roman" w:cs="Times New Roman" w:eastAsia="Times New Roman" w:hAnsi="Times New Roman"/>
          <w:sz w:val="18"/>
          <w:szCs w:val="18"/>
          <w:color w:val="auto"/>
        </w:rPr>
      </w:pPr>
    </w:p>
    <w:p>
      <w:pPr>
        <w:ind w:left="1380" w:right="439" w:hanging="331"/>
        <w:spacing w:after="0" w:line="266" w:lineRule="auto"/>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establish clinical endpoints that applicable regulatory authorities would consider clinically meaningful;</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receive the necessary regulatory approvals;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299" w:hanging="331"/>
        <w:spacing w:after="0" w:line="266"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issues, formulation issues, pricing or reimbursement issues or other factors that make a drug candidate uneconomical; and</w:t>
      </w:r>
    </w:p>
    <w:p>
      <w:pPr>
        <w:spacing w:after="0" w:line="162" w:lineRule="exact"/>
        <w:rPr>
          <w:rFonts w:ascii="Times New Roman" w:cs="Times New Roman" w:eastAsia="Times New Roman" w:hAnsi="Times New Roman"/>
          <w:sz w:val="18"/>
          <w:szCs w:val="18"/>
          <w:color w:val="auto"/>
        </w:rPr>
      </w:pPr>
    </w:p>
    <w:p>
      <w:pPr>
        <w:ind w:left="1380" w:right="279" w:hanging="331"/>
        <w:spacing w:after="0" w:line="266" w:lineRule="auto"/>
        <w:tabs>
          <w:tab w:leader="none" w:pos="1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proprietary rights of others and their competing products and technologies that may prevent one of our drug candidates from being commercialized.</w:t>
      </w:r>
    </w:p>
    <w:p>
      <w:pPr>
        <w:spacing w:after="0" w:line="162"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81"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81"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7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8" w:lineRule="exact"/>
        <w:rPr>
          <w:sz w:val="20"/>
          <w:szCs w:val="20"/>
          <w:color w:val="auto"/>
        </w:rPr>
      </w:pPr>
    </w:p>
    <w:p>
      <w:pPr>
        <w:ind w:left="60" w:right="199" w:firstLine="648"/>
        <w:spacing w:after="0" w:line="241" w:lineRule="auto"/>
        <w:rPr>
          <w:sz w:val="20"/>
          <w:szCs w:val="20"/>
          <w:color w:val="auto"/>
        </w:rPr>
      </w:pPr>
      <w:r>
        <w:rPr>
          <w:rFonts w:ascii="Times New Roman" w:cs="Times New Roman" w:eastAsia="Times New Roman" w:hAnsi="Times New Roman"/>
          <w:sz w:val="18"/>
          <w:szCs w:val="18"/>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84"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85" w:lineRule="exact"/>
        <w:rPr>
          <w:sz w:val="20"/>
          <w:szCs w:val="20"/>
          <w:color w:val="auto"/>
        </w:rPr>
      </w:pPr>
    </w:p>
    <w:p>
      <w:pPr>
        <w:ind w:left="1380" w:hanging="331"/>
        <w:spacing w:after="0"/>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such drug;</w:t>
      </w:r>
    </w:p>
    <w:p>
      <w:pPr>
        <w:spacing w:after="0" w:line="211"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62" w:lineRule="exact"/>
        <w:rPr>
          <w:rFonts w:ascii="Times New Roman" w:cs="Times New Roman" w:eastAsia="Times New Roman" w:hAnsi="Times New Roman"/>
          <w:sz w:val="18"/>
          <w:szCs w:val="18"/>
          <w:color w:val="auto"/>
        </w:rPr>
      </w:pPr>
    </w:p>
    <w:p>
      <w:pPr>
        <w:ind w:left="1380" w:right="23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62" w:lineRule="exact"/>
        <w:rPr>
          <w:rFonts w:ascii="Times New Roman" w:cs="Times New Roman" w:eastAsia="Times New Roman" w:hAnsi="Times New Roman"/>
          <w:sz w:val="18"/>
          <w:szCs w:val="18"/>
          <w:color w:val="auto"/>
        </w:rPr>
      </w:pPr>
    </w:p>
    <w:p>
      <w:pPr>
        <w:ind w:left="1380" w:right="559" w:hanging="331"/>
        <w:spacing w:after="0" w:line="266" w:lineRule="auto"/>
        <w:tabs>
          <w:tab w:leader="none" w:pos="1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such drug is distributed or administered, conduct additional clinical trials or change the labeling of such drug;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380" w:right="99" w:hanging="331"/>
        <w:spacing w:after="0" w:line="250"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76"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such drug from the marketplace;</w:t>
      </w:r>
    </w:p>
    <w:p>
      <w:pPr>
        <w:spacing w:after="0" w:line="211" w:lineRule="exact"/>
        <w:rPr>
          <w:rFonts w:ascii="Times New Roman" w:cs="Times New Roman" w:eastAsia="Times New Roman" w:hAnsi="Times New Roman"/>
          <w:sz w:val="18"/>
          <w:szCs w:val="18"/>
          <w:color w:val="auto"/>
        </w:rPr>
      </w:pPr>
    </w:p>
    <w:p>
      <w:pPr>
        <w:ind w:left="1380" w:right="79" w:hanging="331"/>
        <w:spacing w:after="0" w:line="266" w:lineRule="auto"/>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drugs and drug candidates;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12" w:lineRule="exact"/>
        <w:rPr>
          <w:sz w:val="20"/>
          <w:szCs w:val="20"/>
          <w:color w:val="auto"/>
        </w:rPr>
      </w:pPr>
    </w:p>
    <w:p>
      <w:pPr>
        <w:ind w:left="60" w:right="339" w:firstLine="648"/>
        <w:spacing w:after="0" w:line="245"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77" w:lineRule="exact"/>
        <w:rPr>
          <w:sz w:val="20"/>
          <w:szCs w:val="20"/>
          <w:color w:val="auto"/>
        </w:rPr>
      </w:pPr>
    </w:p>
    <w:p>
      <w:pPr>
        <w:jc w:val="both"/>
        <w:ind w:left="60" w:right="5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76"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may seek breakthrough therapy designation for some of our current or future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previously granted breakthrough designation to our drugs, AYVAKIT and GAVRETO, for the treatment of certain patients with GIST and RET-altered cancers, respectively.</w:t>
      </w:r>
    </w:p>
    <w:p>
      <w:pPr>
        <w:spacing w:after="0" w:line="186"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 In June 2020, the FDA noted it is continuing to ensure timely reviews of applications for medical products during the COVID-19 pandemic in line with its user fee performance goals; however, the FDA may not be able to continue its current pace and review timelines could be extended.</w:t>
      </w:r>
    </w:p>
    <w:p>
      <w:pPr>
        <w:spacing w:after="0" w:line="187" w:lineRule="exact"/>
        <w:rPr>
          <w:sz w:val="20"/>
          <w:szCs w:val="20"/>
          <w:color w:val="auto"/>
        </w:rPr>
      </w:pPr>
    </w:p>
    <w:p>
      <w:pPr>
        <w:ind w:left="60" w:right="9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58"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5" w:lineRule="auto"/>
        <w:rPr>
          <w:sz w:val="20"/>
          <w:szCs w:val="20"/>
          <w:color w:val="auto"/>
        </w:rPr>
      </w:pPr>
      <w:r>
        <w:rPr>
          <w:rFonts w:ascii="Times New Roman" w:cs="Times New Roman" w:eastAsia="Times New Roman" w:hAnsi="Times New Roman"/>
          <w:sz w:val="18"/>
          <w:szCs w:val="18"/>
          <w:color w:val="auto"/>
        </w:rPr>
        <w:t>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1"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88"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84" w:lineRule="exact"/>
        <w:rPr>
          <w:sz w:val="20"/>
          <w:szCs w:val="20"/>
          <w:color w:val="auto"/>
        </w:rPr>
      </w:pPr>
    </w:p>
    <w:p>
      <w:pPr>
        <w:ind w:left="60" w:right="279" w:firstLine="648"/>
        <w:spacing w:after="0" w:line="264" w:lineRule="auto"/>
        <w:rPr>
          <w:sz w:val="20"/>
          <w:szCs w:val="20"/>
          <w:color w:val="auto"/>
        </w:rPr>
      </w:pPr>
      <w:r>
        <w:rPr>
          <w:rFonts w:ascii="Times New Roman" w:cs="Times New Roman" w:eastAsia="Times New Roman" w:hAnsi="Times New Roman"/>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w:t>
      </w:r>
    </w:p>
    <w:p>
      <w:pPr>
        <w:spacing w:after="0" w:line="166"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86"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expand our pipeline of drug candidates.</w:t>
      </w:r>
    </w:p>
    <w:p>
      <w:pPr>
        <w:spacing w:after="0" w:line="216" w:lineRule="exact"/>
        <w:rPr>
          <w:sz w:val="20"/>
          <w:szCs w:val="20"/>
          <w:color w:val="auto"/>
        </w:rPr>
      </w:pPr>
    </w:p>
    <w:p>
      <w:pPr>
        <w:ind w:left="60" w:right="219" w:firstLine="648"/>
        <w:spacing w:after="0" w:line="245"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7" w:name="page58"/>
    <w:bookmarkEnd w:id="5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219"/>
        <w:spacing w:after="0" w:line="250" w:lineRule="auto"/>
        <w:rPr>
          <w:sz w:val="20"/>
          <w:szCs w:val="20"/>
          <w:color w:val="auto"/>
        </w:rPr>
      </w:pPr>
      <w:r>
        <w:rPr>
          <w:rFonts w:ascii="Times New Roman" w:cs="Times New Roman" w:eastAsia="Times New Roman" w:hAnsi="Times New Roman"/>
          <w:sz w:val="18"/>
          <w:szCs w:val="18"/>
          <w:color w:val="auto"/>
        </w:rPr>
        <w:t>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acquisition or in-license.</w:t>
      </w:r>
    </w:p>
    <w:p>
      <w:pPr>
        <w:spacing w:after="0" w:line="177"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0" w:lineRule="exact"/>
        <w:rPr>
          <w:sz w:val="20"/>
          <w:szCs w:val="20"/>
          <w:color w:val="auto"/>
        </w:rPr>
      </w:pPr>
    </w:p>
    <w:p>
      <w:pPr>
        <w:ind w:left="60" w:right="1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8"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91"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Government Legislations and Regulations</w:t>
      </w:r>
    </w:p>
    <w:p>
      <w:pPr>
        <w:spacing w:after="0" w:line="212" w:lineRule="exact"/>
        <w:rPr>
          <w:sz w:val="20"/>
          <w:szCs w:val="20"/>
          <w:color w:val="auto"/>
        </w:rPr>
      </w:pPr>
    </w:p>
    <w:p>
      <w:pPr>
        <w:ind w:left="60" w:right="29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5"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5"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w:t>
      </w:r>
    </w:p>
    <w:p>
      <w:pPr>
        <w:sectPr>
          <w:pgSz w:w="11900" w:h="16838" w:orient="portrait"/>
          <w:cols w:equalWidth="0" w:num="1">
            <w:col w:w="9019"/>
          </w:cols>
          <w:pgMar w:left="1440" w:top="513" w:right="1440" w:bottom="1440" w:gutter="0" w:footer="0" w:header="0"/>
        </w:sect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50" w:lineRule="auto"/>
        <w:rPr>
          <w:sz w:val="20"/>
          <w:szCs w:val="20"/>
          <w:color w:val="auto"/>
        </w:rPr>
      </w:pPr>
      <w:r>
        <w:rPr>
          <w:rFonts w:ascii="Times New Roman" w:cs="Times New Roman" w:eastAsia="Times New Roman" w:hAnsi="Times New Roman"/>
          <w:sz w:val="18"/>
          <w:szCs w:val="18"/>
          <w:color w:val="auto"/>
        </w:rPr>
        <w:t>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77" w:lineRule="exact"/>
        <w:rPr>
          <w:sz w:val="20"/>
          <w:szCs w:val="20"/>
          <w:color w:val="auto"/>
        </w:rPr>
      </w:pPr>
    </w:p>
    <w:p>
      <w:pPr>
        <w:ind w:left="1340" w:right="59" w:hanging="318"/>
        <w:spacing w:after="0" w:line="266"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drug, withdrawal of the drug from the market, “dear doctor” letters or drug recalls;</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211" w:lineRule="exact"/>
        <w:rPr>
          <w:rFonts w:ascii="Times New Roman" w:cs="Times New Roman" w:eastAsia="Times New Roman" w:hAnsi="Times New Roman"/>
          <w:sz w:val="18"/>
          <w:szCs w:val="18"/>
          <w:color w:val="auto"/>
        </w:rPr>
      </w:pPr>
    </w:p>
    <w:p>
      <w:pPr>
        <w:ind w:left="1340" w:right="139" w:hanging="318"/>
        <w:spacing w:after="0" w:line="266" w:lineRule="auto"/>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seizure or detention, or refusal to permit the import or export of drugs; and</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7"/>
          <w:szCs w:val="17"/>
          <w:color w:val="auto"/>
        </w:rPr>
        <w:t>Regulatory agencies may also impose requirements for costly post-marketing studies or clinical trials and surveillance to monitor the safety or efficacy of a product. The FDA and other agencies, including the Department of Justice, or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6" w:lineRule="exact"/>
        <w:rPr>
          <w:sz w:val="20"/>
          <w:szCs w:val="20"/>
          <w:color w:val="auto"/>
        </w:rPr>
      </w:pPr>
    </w:p>
    <w:p>
      <w:pPr>
        <w:ind w:left="60" w:right="2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75"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w:t>
      </w: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51" w:lineRule="auto"/>
        <w:rPr>
          <w:sz w:val="20"/>
          <w:szCs w:val="20"/>
          <w:color w:val="auto"/>
        </w:rPr>
      </w:pPr>
      <w:r>
        <w:rPr>
          <w:rFonts w:ascii="Times New Roman" w:cs="Times New Roman" w:eastAsia="Times New Roman" w:hAnsi="Times New Roman"/>
          <w:sz w:val="17"/>
          <w:szCs w:val="17"/>
          <w:color w:val="auto"/>
        </w:rPr>
        <w:t>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384"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216" w:lineRule="exact"/>
        <w:rPr>
          <w:sz w:val="20"/>
          <w:szCs w:val="20"/>
          <w:color w:val="auto"/>
        </w:rPr>
      </w:pPr>
    </w:p>
    <w:p>
      <w:pPr>
        <w:ind w:left="60" w:right="139" w:firstLine="648"/>
        <w:spacing w:after="0" w:line="237" w:lineRule="auto"/>
        <w:rPr>
          <w:sz w:val="20"/>
          <w:szCs w:val="20"/>
          <w:color w:val="auto"/>
        </w:rPr>
      </w:pPr>
      <w:r>
        <w:rPr>
          <w:rFonts w:ascii="Times New Roman" w:cs="Times New Roman" w:eastAsia="Times New Roman" w:hAnsi="Times New Roman"/>
          <w:sz w:val="18"/>
          <w:szCs w:val="18"/>
          <w:color w:val="auto"/>
        </w:rPr>
        <w:t>The United States has enacted or proposed legislative and regulatory changes affecting the healthcare system that could prevent or delay marketing approval of our current product candidates or any future product candidates, restrict or regulate post-approval activities and affect our ability to profitably sell any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The ACA, among other things, made several changes to the Medicare Drug Rebate Program, establishes annual fees and taxes on manufacturers of certain branded prescription drugs, and creates a new Medicare Part D coverage gap discount program, in which manufacturers must agree to offer 50% (increased to 70% pursuant to the Bipartisan Budget Act of 2018,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88" w:lineRule="exact"/>
        <w:rPr>
          <w:sz w:val="20"/>
          <w:szCs w:val="20"/>
          <w:color w:val="auto"/>
        </w:rPr>
      </w:pPr>
    </w:p>
    <w:p>
      <w:pPr>
        <w:jc w:val="both"/>
        <w:ind w:left="60" w:right="299" w:firstLine="648"/>
        <w:spacing w:after="0" w:line="272" w:lineRule="auto"/>
        <w:rPr>
          <w:sz w:val="20"/>
          <w:szCs w:val="20"/>
          <w:color w:val="auto"/>
        </w:rPr>
      </w:pPr>
      <w:r>
        <w:rPr>
          <w:rFonts w:ascii="Times New Roman" w:cs="Times New Roman" w:eastAsia="Times New Roman" w:hAnsi="Times New Roman"/>
          <w:sz w:val="17"/>
          <w:szCs w:val="17"/>
          <w:color w:val="auto"/>
        </w:rPr>
        <w:t>Since its enactment, there have been numerous judicial, administrative, executive, and legislative challenges to certain aspects of the ACA, and we expect there will be additional challenges and amendments to the ACA in the future. For example, various portions of the ACA are currently undergoing legal and constitutional challenges in the United</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8" w:lineRule="auto"/>
        <w:rPr>
          <w:sz w:val="20"/>
          <w:szCs w:val="20"/>
          <w:color w:val="auto"/>
        </w:rPr>
      </w:pPr>
      <w:r>
        <w:rPr>
          <w:rFonts w:ascii="Times New Roman" w:cs="Times New Roman" w:eastAsia="Times New Roman" w:hAnsi="Times New Roman"/>
          <w:sz w:val="18"/>
          <w:szCs w:val="18"/>
          <w:color w:val="auto"/>
        </w:rPr>
        <w:t>States Supreme Court. Additionally, the Trump Administration issued various Executive Orders which eliminated cost sharing subsidies and various provisions that would impose a fiscal burden on states or a cost, fee, tax, penalty or regulatory burden on individuals, healthcare providers, health insurers, or manufacturers of pharmaceuticals or medical devices. Finally, and Congress has introduced several pieces of legislation aimed at significantly revising or repealing the ACA.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 It is unclear whether the ACA will be overturned, repealed, replaced, or further amended. We cannot predict what affect further changes to the ACA would have on our business.</w:t>
      </w:r>
    </w:p>
    <w:p>
      <w:pPr>
        <w:spacing w:after="0" w:line="191"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In addition,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HHS has already started the process of soliciting feedback on some of the Trump administration’s measures and, at the same time, is immediately implementing others under its existing authority.</w:t>
      </w:r>
    </w:p>
    <w:p>
      <w:pPr>
        <w:spacing w:after="0" w:line="185" w:lineRule="exact"/>
        <w:rPr>
          <w:sz w:val="20"/>
          <w:szCs w:val="20"/>
          <w:color w:val="auto"/>
        </w:rPr>
      </w:pPr>
    </w:p>
    <w:p>
      <w:pPr>
        <w:ind w:left="60" w:right="439" w:firstLine="648"/>
        <w:spacing w:after="0" w:line="245"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7"/>
          <w:szCs w:val="17"/>
          <w:color w:val="auto"/>
        </w:rPr>
        <w:t>We may face competition in the United States for our development candidates and investigational medicines, if approved, from therapies sourced from foreign countries that have placed price controls on pharmaceutical products. In the United States, the FDA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guidance is unknown at this time.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74" w:lineRule="exact"/>
        <w:rPr>
          <w:sz w:val="20"/>
          <w:szCs w:val="20"/>
          <w:color w:val="auto"/>
        </w:rPr>
      </w:pPr>
    </w:p>
    <w:p>
      <w:pPr>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85" w:lineRule="exact"/>
        <w:rPr>
          <w:sz w:val="20"/>
          <w:szCs w:val="20"/>
          <w:color w:val="auto"/>
        </w:rPr>
      </w:pPr>
    </w:p>
    <w:p>
      <w:pPr>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81" w:lineRule="exact"/>
        <w:rPr>
          <w:sz w:val="20"/>
          <w:szCs w:val="20"/>
          <w:color w:val="auto"/>
        </w:rPr>
      </w:pPr>
    </w:p>
    <w:p>
      <w:pPr>
        <w:ind w:left="60" w:right="13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58"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or HIPAA, the Physician Payment Sunshine Act, HIPAA, as amended by the Health Information Technology for Economic and Clinical Health Act of 2009, or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1" w:name="page62"/>
    <w:bookmarkEnd w:id="6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spacing w:after="0" w:line="266" w:lineRule="auto"/>
        <w:rPr>
          <w:sz w:val="20"/>
          <w:szCs w:val="20"/>
          <w:color w:val="auto"/>
        </w:rPr>
      </w:pPr>
      <w:r>
        <w:rPr>
          <w:rFonts w:ascii="Times New Roman" w:cs="Times New Roman" w:eastAsia="Times New Roman" w:hAnsi="Times New Roman"/>
          <w:sz w:val="18"/>
          <w:szCs w:val="18"/>
          <w:color w:val="auto"/>
        </w:rPr>
        <w:t>foreign laws continue to increase, and additional governmental resources are being used to enforce these laws and to prosecute companies and individuals who are believed to be violating them.</w:t>
      </w:r>
    </w:p>
    <w:p>
      <w:pPr>
        <w:spacing w:after="0" w:line="162"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91"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4" w:lineRule="exact"/>
        <w:rPr>
          <w:sz w:val="20"/>
          <w:szCs w:val="20"/>
          <w:color w:val="auto"/>
        </w:rPr>
      </w:pPr>
    </w:p>
    <w:p>
      <w:pPr>
        <w:ind w:left="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Even though AYVAKYT received approval in Europe, we may never receive any other foreign regulatory approval for our drug candidates.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88" w:lineRule="exact"/>
        <w:rPr>
          <w:sz w:val="20"/>
          <w:szCs w:val="20"/>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drug candidates in foreign markets;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because we are relying on third parties;</w:t>
      </w:r>
    </w:p>
    <w:p>
      <w:pPr>
        <w:spacing w:after="0" w:line="211" w:lineRule="exact"/>
        <w:rPr>
          <w:rFonts w:ascii="Times New Roman" w:cs="Times New Roman" w:eastAsia="Times New Roman" w:hAnsi="Times New Roman"/>
          <w:sz w:val="18"/>
          <w:szCs w:val="18"/>
          <w:color w:val="auto"/>
        </w:rPr>
      </w:pPr>
    </w:p>
    <w:p>
      <w:pPr>
        <w:ind w:left="1340" w:right="139" w:hanging="318"/>
        <w:spacing w:after="0" w:line="250" w:lineRule="auto"/>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76"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12"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U.S. tend to impose strict price controls, which may adversely affect our revenues, if any.</w:t>
      </w:r>
    </w:p>
    <w:p>
      <w:pPr>
        <w:spacing w:after="0" w:line="216"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87" w:lineRule="exact"/>
        <w:rPr>
          <w:sz w:val="20"/>
          <w:szCs w:val="20"/>
          <w:color w:val="auto"/>
        </w:rPr>
      </w:pPr>
    </w:p>
    <w:p>
      <w:pPr>
        <w:ind w:left="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8"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7"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12" w:lineRule="exact"/>
        <w:rPr>
          <w:sz w:val="20"/>
          <w:szCs w:val="20"/>
          <w:color w:val="auto"/>
        </w:rPr>
      </w:pPr>
    </w:p>
    <w:p>
      <w:pPr>
        <w:ind w:left="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58"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1" w:lineRule="exact"/>
        <w:rPr>
          <w:sz w:val="20"/>
          <w:szCs w:val="20"/>
          <w:color w:val="auto"/>
        </w:rPr>
      </w:pPr>
    </w:p>
    <w:p>
      <w:pPr>
        <w:ind w:left="60" w:right="299" w:firstLine="648"/>
        <w:spacing w:after="0" w:line="272" w:lineRule="auto"/>
        <w:rPr>
          <w:sz w:val="20"/>
          <w:szCs w:val="20"/>
          <w:color w:val="auto"/>
        </w:rPr>
      </w:pPr>
      <w:r>
        <w:rPr>
          <w:rFonts w:ascii="Times New Roman" w:cs="Times New Roman" w:eastAsia="Times New Roman" w:hAnsi="Times New Roman"/>
          <w:sz w:val="17"/>
          <w:szCs w:val="17"/>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w:t>
      </w:r>
    </w:p>
    <w:p>
      <w:pPr>
        <w:sectPr>
          <w:pgSz w:w="11900" w:h="16838" w:orient="portrait"/>
          <w:cols w:equalWidth="0" w:num="1">
            <w:col w:w="9019"/>
          </w:cols>
          <w:pgMar w:left="1440" w:top="513" w:right="1440" w:bottom="1440" w:gutter="0" w:footer="0" w:header="0"/>
        </w:sect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59"/>
        <w:spacing w:after="0" w:line="242" w:lineRule="auto"/>
        <w:rPr>
          <w:sz w:val="20"/>
          <w:szCs w:val="20"/>
          <w:color w:val="auto"/>
        </w:rPr>
      </w:pPr>
      <w:r>
        <w:rPr>
          <w:rFonts w:ascii="Times New Roman" w:cs="Times New Roman" w:eastAsia="Times New Roman" w:hAnsi="Times New Roman"/>
          <w:sz w:val="18"/>
          <w:szCs w:val="18"/>
          <w:color w:val="auto"/>
        </w:rPr>
        <w:t>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AYVAKIT/AYVAKYT and GAVRETO.</w:t>
      </w:r>
    </w:p>
    <w:p>
      <w:pPr>
        <w:spacing w:after="0" w:line="185" w:lineRule="exact"/>
        <w:rPr>
          <w:sz w:val="20"/>
          <w:szCs w:val="20"/>
          <w:color w:val="auto"/>
        </w:rPr>
      </w:pPr>
    </w:p>
    <w:p>
      <w:pPr>
        <w:ind w:left="60" w:right="159" w:firstLine="648"/>
        <w:spacing w:after="0" w:line="239"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and a license agreement. Through December 31, 2020, we have received an aggregate of $2.9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$910.8 million in upfront payments and milestone payments under our collaborations with Roche and CStone, our license agreement with Clementia and our former collaboration with Alexion. In addition, since January 2020, we have generated limited product revenue.</w:t>
      </w:r>
    </w:p>
    <w:p>
      <w:pPr>
        <w:spacing w:after="0" w:line="187"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 December 31, 2020. Our net income was $313.9 million for the year ended December 31, 2020 primarily due to the collaboration revenue recorded under our collaboration with Roche for pralsetinib, and out net losses were $347.7 million and $236.6 million for the years ended December 31, 2019 and 2018, respectively. As of December 31, 2020, we had an accumulated deficit of $631.4 million.</w:t>
      </w:r>
    </w:p>
    <w:p>
      <w:pPr>
        <w:spacing w:after="0" w:line="185" w:lineRule="exact"/>
        <w:rPr>
          <w:sz w:val="20"/>
          <w:szCs w:val="20"/>
          <w:color w:val="auto"/>
        </w:rPr>
      </w:pPr>
    </w:p>
    <w:p>
      <w:pPr>
        <w:ind w:left="60" w:right="159" w:firstLine="648"/>
        <w:spacing w:after="0" w:line="237" w:lineRule="auto"/>
        <w:rPr>
          <w:sz w:val="20"/>
          <w:szCs w:val="20"/>
          <w:color w:val="auto"/>
        </w:rPr>
      </w:pPr>
      <w:r>
        <w:rPr>
          <w:rFonts w:ascii="Times New Roman" w:cs="Times New Roman" w:eastAsia="Times New Roman" w:hAnsi="Times New Roman"/>
          <w:sz w:val="18"/>
          <w:szCs w:val="18"/>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91"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To date, we have not generated substantial revenue from drug sales. Our ability to generate substantial revenue depends on a number of factors, including, but not limited to, our ability to:</w:t>
      </w:r>
    </w:p>
    <w:p>
      <w:pPr>
        <w:spacing w:after="0" w:line="162" w:lineRule="exact"/>
        <w:rPr>
          <w:sz w:val="20"/>
          <w:szCs w:val="20"/>
          <w:color w:val="auto"/>
        </w:rPr>
      </w:pPr>
    </w:p>
    <w:p>
      <w:pPr>
        <w:ind w:left="1340" w:hanging="318"/>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211" w:lineRule="exact"/>
        <w:rPr>
          <w:rFonts w:ascii="Times New Roman" w:cs="Times New Roman" w:eastAsia="Times New Roman" w:hAnsi="Times New Roman"/>
          <w:sz w:val="18"/>
          <w:szCs w:val="18"/>
          <w:color w:val="auto"/>
        </w:rPr>
      </w:pPr>
    </w:p>
    <w:p>
      <w:pPr>
        <w:ind w:left="1340" w:right="139" w:hanging="318"/>
        <w:spacing w:after="0" w:line="250"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pacing w:after="0" w:line="176" w:lineRule="exact"/>
        <w:rPr>
          <w:rFonts w:ascii="Times New Roman" w:cs="Times New Roman" w:eastAsia="Times New Roman" w:hAnsi="Times New Roman"/>
          <w:sz w:val="18"/>
          <w:szCs w:val="18"/>
          <w:color w:val="auto"/>
        </w:rPr>
      </w:pPr>
    </w:p>
    <w:p>
      <w:pPr>
        <w:ind w:left="1340" w:right="459" w:hanging="318"/>
        <w:spacing w:after="0" w:line="266"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maintain and expand commercial manufacturing capabilities or make arrangements with third-party manufacturers for clinical supply and commercial manufacturing;</w:t>
      </w:r>
    </w:p>
    <w:p>
      <w:pPr>
        <w:spacing w:after="0" w:line="162" w:lineRule="exact"/>
        <w:rPr>
          <w:rFonts w:ascii="Times New Roman" w:cs="Times New Roman" w:eastAsia="Times New Roman" w:hAnsi="Times New Roman"/>
          <w:sz w:val="18"/>
          <w:szCs w:val="18"/>
          <w:color w:val="auto"/>
        </w:rPr>
      </w:pPr>
    </w:p>
    <w:p>
      <w:pPr>
        <w:ind w:left="1340" w:right="379" w:hanging="318"/>
        <w:spacing w:after="0" w:line="250"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76" w:lineRule="exact"/>
        <w:rPr>
          <w:rFonts w:ascii="Times New Roman" w:cs="Times New Roman" w:eastAsia="Times New Roman" w:hAnsi="Times New Roman"/>
          <w:sz w:val="18"/>
          <w:szCs w:val="18"/>
          <w:color w:val="auto"/>
        </w:rPr>
      </w:pPr>
    </w:p>
    <w:p>
      <w:pPr>
        <w:ind w:left="1340" w:right="519" w:hanging="318"/>
        <w:spacing w:after="0" w:line="250" w:lineRule="auto"/>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in the medical community and with third-party payors for AYVAKIT/AYVAKYT, GAVRETO and any current or future drug candidates for which we receive marketing approval.</w:t>
      </w:r>
    </w:p>
    <w:p>
      <w:pPr>
        <w:spacing w:after="0" w:line="177" w:lineRule="exact"/>
        <w:rPr>
          <w:sz w:val="20"/>
          <w:szCs w:val="20"/>
          <w:color w:val="auto"/>
        </w:rPr>
      </w:pPr>
    </w:p>
    <w:p>
      <w:pPr>
        <w:ind w:left="60" w:right="459" w:firstLine="648"/>
        <w:spacing w:after="0" w:line="296" w:lineRule="auto"/>
        <w:rPr>
          <w:sz w:val="20"/>
          <w:szCs w:val="20"/>
          <w:color w:val="auto"/>
        </w:rPr>
      </w:pPr>
      <w:r>
        <w:rPr>
          <w:rFonts w:ascii="Times New Roman" w:cs="Times New Roman" w:eastAsia="Times New Roman" w:hAnsi="Times New Roman"/>
          <w:sz w:val="17"/>
          <w:szCs w:val="17"/>
          <w:color w:val="auto"/>
        </w:rPr>
        <w:t>We expect to incur significant sales and marketing costs as we commercialize AYVAKIT/AYVAKYT, jointly commercialize GAVRETO with Roche and commercialize any current or future drug candidates for which we receive</w:t>
      </w:r>
    </w:p>
    <w:p>
      <w:pPr>
        <w:sectPr>
          <w:pgSz w:w="11900" w:h="16838" w:orient="portrait"/>
          <w:cols w:equalWidth="0" w:num="1">
            <w:col w:w="9019"/>
          </w:cols>
          <w:pgMar w:left="1440" w:top="513" w:right="1440" w:bottom="1440" w:gutter="0" w:footer="0" w:header="0"/>
        </w:sect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4" w:lineRule="auto"/>
        <w:rPr>
          <w:sz w:val="20"/>
          <w:szCs w:val="20"/>
          <w:color w:val="auto"/>
        </w:rPr>
      </w:pPr>
      <w:r>
        <w:rPr>
          <w:rFonts w:ascii="Times New Roman" w:cs="Times New Roman" w:eastAsia="Times New Roman" w:hAnsi="Times New Roman"/>
          <w:sz w:val="17"/>
          <w:szCs w:val="17"/>
          <w:color w:val="auto"/>
        </w:rPr>
        <w:t>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2" w:lineRule="exact"/>
        <w:rPr>
          <w:sz w:val="20"/>
          <w:szCs w:val="20"/>
          <w:color w:val="auto"/>
        </w:rPr>
      </w:pPr>
    </w:p>
    <w:p>
      <w:pPr>
        <w:ind w:left="60" w:right="3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58"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8" w:lineRule="exact"/>
        <w:rPr>
          <w:sz w:val="20"/>
          <w:szCs w:val="20"/>
          <w:color w:val="auto"/>
        </w:rPr>
      </w:pPr>
    </w:p>
    <w:p>
      <w:pPr>
        <w:ind w:left="60" w:right="639" w:firstLine="648"/>
        <w:spacing w:after="0" w:line="266" w:lineRule="auto"/>
        <w:rPr>
          <w:sz w:val="20"/>
          <w:szCs w:val="20"/>
          <w:color w:val="auto"/>
        </w:rPr>
      </w:pPr>
      <w:r>
        <w:rPr>
          <w:rFonts w:ascii="Times New Roman" w:cs="Times New Roman" w:eastAsia="Times New Roman" w:hAnsi="Times New Roman"/>
          <w:sz w:val="18"/>
          <w:szCs w:val="18"/>
          <w:color w:val="auto"/>
        </w:rPr>
        <w:t>Our future capital requirements will depend on and could increase significantly as a result of many factors, including:</w:t>
      </w:r>
    </w:p>
    <w:p>
      <w:pPr>
        <w:spacing w:after="0" w:line="162" w:lineRule="exact"/>
        <w:rPr>
          <w:sz w:val="20"/>
          <w:szCs w:val="20"/>
          <w:color w:val="auto"/>
        </w:rPr>
      </w:pPr>
    </w:p>
    <w:p>
      <w:pPr>
        <w:ind w:left="1340" w:right="399" w:hanging="318"/>
        <w:spacing w:after="0" w:line="296" w:lineRule="auto"/>
        <w:tabs>
          <w:tab w:leader="none" w:pos="1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8" w:lineRule="exact"/>
        <w:rPr>
          <w:rFonts w:ascii="Times New Roman" w:cs="Times New Roman" w:eastAsia="Times New Roman" w:hAnsi="Times New Roman"/>
          <w:sz w:val="17"/>
          <w:szCs w:val="17"/>
          <w:color w:val="auto"/>
        </w:rPr>
      </w:pPr>
    </w:p>
    <w:p>
      <w:pPr>
        <w:ind w:left="1340" w:right="359" w:hanging="318"/>
        <w:spacing w:after="0" w:line="250"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76" w:lineRule="exact"/>
        <w:rPr>
          <w:rFonts w:ascii="Times New Roman" w:cs="Times New Roman" w:eastAsia="Times New Roman" w:hAnsi="Times New Roman"/>
          <w:sz w:val="18"/>
          <w:szCs w:val="18"/>
          <w:color w:val="auto"/>
        </w:rPr>
      </w:pPr>
    </w:p>
    <w:p>
      <w:pPr>
        <w:ind w:left="1340" w:right="99" w:hanging="318"/>
        <w:spacing w:after="0" w:line="250"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 as applicable;</w:t>
      </w:r>
    </w:p>
    <w:p>
      <w:pPr>
        <w:spacing w:after="0" w:line="176" w:lineRule="exact"/>
        <w:rPr>
          <w:rFonts w:ascii="Times New Roman" w:cs="Times New Roman" w:eastAsia="Times New Roman" w:hAnsi="Times New Roman"/>
          <w:sz w:val="18"/>
          <w:szCs w:val="18"/>
          <w:color w:val="auto"/>
        </w:rPr>
      </w:pPr>
    </w:p>
    <w:p>
      <w:pPr>
        <w:ind w:left="1340" w:right="179" w:hanging="318"/>
        <w:spacing w:after="0" w:line="266"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2" w:lineRule="exact"/>
        <w:rPr>
          <w:rFonts w:ascii="Times New Roman" w:cs="Times New Roman" w:eastAsia="Times New Roman" w:hAnsi="Times New Roman"/>
          <w:sz w:val="18"/>
          <w:szCs w:val="18"/>
          <w:color w:val="auto"/>
        </w:rPr>
      </w:pPr>
    </w:p>
    <w:p>
      <w:pPr>
        <w:ind w:left="1340" w:right="359" w:hanging="318"/>
        <w:spacing w:after="0" w:line="250"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76" w:lineRule="exact"/>
        <w:rPr>
          <w:rFonts w:ascii="Times New Roman" w:cs="Times New Roman" w:eastAsia="Times New Roman" w:hAnsi="Times New Roman"/>
          <w:sz w:val="18"/>
          <w:szCs w:val="18"/>
          <w:color w:val="auto"/>
        </w:rPr>
      </w:pPr>
    </w:p>
    <w:p>
      <w:pPr>
        <w:ind w:left="1340" w:right="259" w:hanging="318"/>
        <w:spacing w:after="0" w:line="250"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76" w:lineRule="exact"/>
        <w:rPr>
          <w:rFonts w:ascii="Times New Roman" w:cs="Times New Roman" w:eastAsia="Times New Roman" w:hAnsi="Times New Roman"/>
          <w:sz w:val="18"/>
          <w:szCs w:val="18"/>
          <w:color w:val="auto"/>
        </w:rPr>
      </w:pPr>
    </w:p>
    <w:p>
      <w:pPr>
        <w:ind w:left="1340" w:right="139" w:hanging="318"/>
        <w:spacing w:after="0" w:line="250"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76" w:lineRule="exact"/>
        <w:rPr>
          <w:rFonts w:ascii="Times New Roman" w:cs="Times New Roman" w:eastAsia="Times New Roman" w:hAnsi="Times New Roman"/>
          <w:sz w:val="18"/>
          <w:szCs w:val="18"/>
          <w:color w:val="auto"/>
        </w:rPr>
      </w:pPr>
    </w:p>
    <w:p>
      <w:pPr>
        <w:ind w:left="1340" w:right="799" w:hanging="318"/>
        <w:spacing w:after="0" w:line="266"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2" w:lineRule="exact"/>
        <w:rPr>
          <w:rFonts w:ascii="Times New Roman" w:cs="Times New Roman" w:eastAsia="Times New Roman" w:hAnsi="Times New Roman"/>
          <w:sz w:val="18"/>
          <w:szCs w:val="18"/>
          <w:color w:val="auto"/>
        </w:rPr>
      </w:pPr>
    </w:p>
    <w:p>
      <w:pPr>
        <w:ind w:left="1340" w:right="279" w:hanging="318"/>
        <w:spacing w:after="0" w:line="266" w:lineRule="auto"/>
        <w:tabs>
          <w:tab w:leader="none" w:pos="1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right="719" w:hanging="318"/>
        <w:spacing w:after="0" w:line="266"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2" w:lineRule="exact"/>
        <w:rPr>
          <w:rFonts w:ascii="Times New Roman" w:cs="Times New Roman" w:eastAsia="Times New Roman" w:hAnsi="Times New Roman"/>
          <w:sz w:val="18"/>
          <w:szCs w:val="18"/>
          <w:color w:val="auto"/>
        </w:rPr>
      </w:pPr>
    </w:p>
    <w:p>
      <w:pPr>
        <w:ind w:left="1340" w:right="779" w:hanging="318"/>
        <w:spacing w:after="0" w:line="266" w:lineRule="auto"/>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2"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12" w:lineRule="exact"/>
        <w:rPr>
          <w:sz w:val="20"/>
          <w:szCs w:val="20"/>
          <w:color w:val="auto"/>
        </w:rPr>
      </w:pPr>
    </w:p>
    <w:p>
      <w:pPr>
        <w:ind w:left="60" w:right="159" w:firstLine="693"/>
        <w:spacing w:after="0" w:line="238" w:lineRule="auto"/>
        <w:rPr>
          <w:sz w:val="20"/>
          <w:szCs w:val="20"/>
          <w:color w:val="auto"/>
        </w:rPr>
      </w:pPr>
      <w:r>
        <w:rPr>
          <w:rFonts w:ascii="Times New Roman" w:cs="Times New Roman" w:eastAsia="Times New Roman" w:hAnsi="Times New Roman"/>
          <w:sz w:val="18"/>
          <w:szCs w:val="18"/>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8"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77" w:lineRule="exact"/>
        <w:rPr>
          <w:sz w:val="20"/>
          <w:szCs w:val="20"/>
          <w:color w:val="auto"/>
        </w:rPr>
      </w:pPr>
    </w:p>
    <w:p>
      <w:pPr>
        <w:ind w:left="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8" w:lineRule="exact"/>
        <w:rPr>
          <w:sz w:val="20"/>
          <w:szCs w:val="20"/>
          <w:color w:val="auto"/>
        </w:rPr>
      </w:pPr>
    </w:p>
    <w:p>
      <w:pPr>
        <w:ind w:left="60" w:right="219" w:firstLine="648"/>
        <w:spacing w:after="0" w:line="238"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8"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12" w:lineRule="exact"/>
        <w:rPr>
          <w:sz w:val="20"/>
          <w:szCs w:val="20"/>
          <w:color w:val="auto"/>
        </w:rPr>
      </w:pPr>
    </w:p>
    <w:p>
      <w:pPr>
        <w:ind w:left="60" w:right="2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75"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We have entered into collaborations and licenses with Roche, CStone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w:t>
      </w:r>
    </w:p>
    <w:p>
      <w:pPr>
        <w:sectPr>
          <w:pgSz w:w="11900" w:h="16838" w:orient="portrait"/>
          <w:cols w:equalWidth="0" w:num="1">
            <w:col w:w="9019"/>
          </w:cols>
          <w:pgMar w:left="1440" w:top="513" w:right="1440" w:bottom="1440" w:gutter="0" w:footer="0" w:header="0"/>
        </w:sect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41" w:lineRule="auto"/>
        <w:rPr>
          <w:sz w:val="20"/>
          <w:szCs w:val="20"/>
          <w:color w:val="auto"/>
        </w:rPr>
      </w:pPr>
      <w:r>
        <w:rPr>
          <w:rFonts w:ascii="Times New Roman" w:cs="Times New Roman" w:eastAsia="Times New Roman" w:hAnsi="Times New Roman"/>
          <w:sz w:val="18"/>
          <w:szCs w:val="18"/>
          <w:color w:val="auto"/>
        </w:rPr>
        <w:t>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84"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or Clementia, or of any future collaboration or license agreement, could adversely affect us financially or harm our business reputation.</w:t>
      </w:r>
    </w:p>
    <w:p>
      <w:pPr>
        <w:spacing w:after="0" w:line="180" w:lineRule="exact"/>
        <w:rPr>
          <w:sz w:val="20"/>
          <w:szCs w:val="20"/>
          <w:color w:val="auto"/>
        </w:rPr>
      </w:pPr>
    </w:p>
    <w:p>
      <w:pPr>
        <w:ind w:left="60" w:right="57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8"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7"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88"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Although we intend to design the clinical trials for our approved drugs and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84" w:lineRule="exact"/>
        <w:rPr>
          <w:sz w:val="20"/>
          <w:szCs w:val="20"/>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212"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6"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83" w:lineRule="exact"/>
        <w:rPr>
          <w:sz w:val="20"/>
          <w:szCs w:val="20"/>
          <w:color w:val="auto"/>
        </w:rPr>
      </w:pPr>
    </w:p>
    <w:p>
      <w:pPr>
        <w:ind w:left="60" w:right="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81"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4"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drugs and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drugs and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In response to the COVID-19 pandemic, in March 2020, the FDA announced its intention to postpone most inspections of foreign manufacturing facilities and products while local, national and international conditions warrant, as well as its intention to temporarily postpone routine surveillance inspections of domestic manufacturing facilities and provided guidance regarding the conduct of clinical trials which the FDA continues to update. In June 2020, the FDA noted it was conducting mission critical domestic and foreign inspections to ensure compliance of manufacturing facilities with FDA quality standards, and in July 2020, the FDA announced its goal of restarting domestic on-site inspections but with such activities depending on data about the trajectory of COVID-19 in a given state and locality and the rules and guidelines that are put in place by state and local governments. The FDA has developed a rating system to assist in determining when and where it is safest to conduct prioritized domestic inspections. Should the FDA determine that an inspection is necessary for approval and an inspection cannot be completed during the review cycle due to restrictions on travel, the FDA has stated that it generally intends to issue a complete response letter. Further, if there is inadequate information to make a determination on the acceptability of a facility, the FDA may defer action on the application until an inspection can be completed. Regulatory authorities outside the U.S. may adopt similar restrictions or other policy measures in response to the COVID-19 pandemic and may experience delays in their regulatory activities.</w:t>
      </w:r>
    </w:p>
    <w:p>
      <w:pPr>
        <w:spacing w:after="0" w:line="189" w:lineRule="exact"/>
        <w:rPr>
          <w:sz w:val="20"/>
          <w:szCs w:val="20"/>
          <w:color w:val="auto"/>
        </w:rPr>
      </w:pPr>
    </w:p>
    <w:p>
      <w:pPr>
        <w:ind w:left="60" w:right="299" w:firstLine="648"/>
        <w:spacing w:after="0" w:line="260" w:lineRule="auto"/>
        <w:rPr>
          <w:sz w:val="20"/>
          <w:szCs w:val="20"/>
          <w:color w:val="auto"/>
        </w:rPr>
      </w:pPr>
      <w:r>
        <w:rPr>
          <w:rFonts w:ascii="Times New Roman" w:cs="Times New Roman" w:eastAsia="Times New Roman" w:hAnsi="Times New Roman"/>
          <w:sz w:val="17"/>
          <w:szCs w:val="17"/>
          <w:color w:val="auto"/>
        </w:rPr>
        <w:t>We do not have long-term supply agreements with all of our contract manufacturers, and may purchase our required drug supply, including the API, drug product and drug substance used in our drugs and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211"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and</w:t>
      </w:r>
    </w:p>
    <w:p>
      <w:pPr>
        <w:spacing w:after="0" w:line="162" w:lineRule="exact"/>
        <w:rPr>
          <w:rFonts w:ascii="Times New Roman" w:cs="Times New Roman" w:eastAsia="Times New Roman" w:hAnsi="Times New Roman"/>
          <w:sz w:val="18"/>
          <w:szCs w:val="18"/>
          <w:color w:val="auto"/>
        </w:rPr>
      </w:pPr>
    </w:p>
    <w:p>
      <w:pPr>
        <w:ind w:left="1340" w:right="499" w:hanging="318"/>
        <w:spacing w:after="0" w:line="266" w:lineRule="auto"/>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Coronavirus Aid, Relief, and Economic Security Act, or CARES Act, in response to the U.S. COVID-19 pandemic. Throughout the COVID-19 outbreak,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w:t>
      </w:r>
    </w:p>
    <w:p>
      <w:pPr>
        <w:spacing w:after="0" w:line="191" w:lineRule="exact"/>
        <w:rPr>
          <w:sz w:val="20"/>
          <w:szCs w:val="20"/>
          <w:color w:val="auto"/>
        </w:rPr>
      </w:pPr>
    </w:p>
    <w:p>
      <w:pPr>
        <w:ind w:left="60" w:right="259" w:firstLine="648"/>
        <w:spacing w:after="0" w:line="241"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84" w:lineRule="exact"/>
        <w:rPr>
          <w:sz w:val="20"/>
          <w:szCs w:val="20"/>
          <w:color w:val="auto"/>
        </w:rPr>
      </w:pPr>
    </w:p>
    <w:p>
      <w:pPr>
        <w:ind w:left="60" w:right="319" w:firstLine="648"/>
        <w:spacing w:after="0" w:line="245"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76"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COVID-19 pandemic, it could significantly and adversely affect our business, the supply of our drug candidates or approved drugs and our financial condition.</w:t>
      </w:r>
    </w:p>
    <w:p>
      <w:pPr>
        <w:spacing w:after="0" w:line="188" w:lineRule="exact"/>
        <w:rPr>
          <w:sz w:val="20"/>
          <w:szCs w:val="20"/>
          <w:color w:val="auto"/>
        </w:rPr>
      </w:pPr>
    </w:p>
    <w:p>
      <w:pPr>
        <w:ind w:left="60" w:right="159" w:firstLine="648"/>
        <w:spacing w:after="0" w:line="238" w:lineRule="auto"/>
        <w:rPr>
          <w:sz w:val="20"/>
          <w:szCs w:val="20"/>
          <w:color w:val="auto"/>
        </w:rPr>
      </w:pPr>
      <w:r>
        <w:rPr>
          <w:rFonts w:ascii="Times New Roman" w:cs="Times New Roman" w:eastAsia="Times New Roman" w:hAnsi="Times New Roman"/>
          <w:sz w:val="18"/>
          <w:szCs w:val="18"/>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COVID-19 pandemic could adversely impact our suppliers and result in delays or disruptions in our current or future supply chain.</w:t>
      </w:r>
    </w:p>
    <w:p>
      <w:pPr>
        <w:spacing w:after="0" w:line="188"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3" w:lineRule="exact"/>
        <w:rPr>
          <w:sz w:val="20"/>
          <w:szCs w:val="20"/>
          <w:color w:val="auto"/>
        </w:rPr>
      </w:pPr>
    </w:p>
    <w:p>
      <w:pPr>
        <w:ind w:left="60" w:right="1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Certain of our research and development, clinical trials and manufacturing and supply for certain raw materials used in our drugs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81"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recent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12" w:lineRule="exact"/>
        <w:rPr>
          <w:sz w:val="20"/>
          <w:szCs w:val="20"/>
          <w:color w:val="auto"/>
        </w:rPr>
      </w:pPr>
    </w:p>
    <w:p>
      <w:pPr>
        <w:ind w:left="60" w:right="3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1"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85"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 or patent term extension could result in a later expiration date for fisogatinib.</w:t>
      </w:r>
    </w:p>
    <w:p>
      <w:pPr>
        <w:spacing w:after="0" w:line="187"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As of January 31, 2021, we owned 11 issued U.S. patents, 15 issued foreign patents, including one European patent validated in 38 countries, three pending U.S. non-provisional patent applications, three pending U.S. provisional applications, five pending PCT international patent applications and 22 pending foreign patent applications directed to our KIT and PDGFRA program, including avapritinib and BLU-263. The patents that have issued or will issue covering our KIT and PDGFRA program will have a statutory expiration date between 2034 and 2041. Patent term adjustments or patent term extensions could result in later expiration dates.</w:t>
      </w:r>
    </w:p>
    <w:p>
      <w:pPr>
        <w:spacing w:after="0" w:line="224" w:lineRule="exact"/>
        <w:rPr>
          <w:sz w:val="20"/>
          <w:szCs w:val="20"/>
          <w:color w:val="auto"/>
        </w:rPr>
      </w:pPr>
    </w:p>
    <w:p>
      <w:pPr>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As of January 31, 2021, we owned seven issued U.S. patents, six pending U.S. non-provisional patent applications, three U.S. provisional patent applications, one pending PCT international application, 53 pending foreign patent applications and four issued foreign patents directed to our RET program, including pralsetinib. The patents that have issued or will issue covering our RET program will have a statutory expiration date between 2036 and 2041. Patent term adjustments or patent term extensions could result in later expiration dates.</w:t>
      </w:r>
    </w:p>
    <w:p>
      <w:pPr>
        <w:spacing w:after="0" w:line="225"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As of January 31, 2021, we owned nine issued U.S. patents, two pending U.S. non-provisional patent applications, one pending PCT international applications, 28 pending foreign patent applications and 27 issued foreign patents directed to our FGFR4 program, including fisogatinib. The patents that have issued or will issue covering our FGFR4 program will have a statutory expiration date between 2033 and 2040. Patent term adjustments or patent term extensions could result in later expiration dates.</w:t>
      </w:r>
    </w:p>
    <w:p>
      <w:pPr>
        <w:spacing w:after="0" w:line="185"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 applications directed to novel gene fusions and the uses of these fusions for detecting and treating conditions implicated with these fusions. As of January 31, 2021, we owned eight issued U.S. patents, five pending U.S. non-provisional patent applications, four pending European Union patent applications and five issued European patents directed to this technology. Any U.S. or ex-U.S. patent issuing from the pending applications directed to this technology, if issued, will have statutory expiration dates ranging from 2034 to 2035.</w:t>
      </w:r>
    </w:p>
    <w:p>
      <w:pPr>
        <w:spacing w:after="0" w:line="184" w:lineRule="exact"/>
        <w:rPr>
          <w:sz w:val="20"/>
          <w:szCs w:val="20"/>
          <w:color w:val="auto"/>
        </w:rPr>
      </w:pPr>
    </w:p>
    <w:p>
      <w:pPr>
        <w:ind w:left="60" w:right="599" w:firstLine="648"/>
        <w:spacing w:after="0" w:line="26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w:t>
      </w:r>
    </w:p>
    <w:p>
      <w:pPr>
        <w:sectPr>
          <w:pgSz w:w="11900" w:h="16838" w:orient="portrait"/>
          <w:cols w:equalWidth="0" w:num="1">
            <w:col w:w="9019"/>
          </w:cols>
          <w:pgMar w:left="1440" w:top="513" w:right="1440" w:bottom="1440" w:gutter="0" w:footer="0" w:header="0"/>
        </w:sect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
        <w:spacing w:after="0" w:line="238" w:lineRule="auto"/>
        <w:rPr>
          <w:sz w:val="20"/>
          <w:szCs w:val="20"/>
          <w:color w:val="auto"/>
        </w:rPr>
      </w:pPr>
      <w:r>
        <w:rPr>
          <w:rFonts w:ascii="Times New Roman" w:cs="Times New Roman" w:eastAsia="Times New Roman" w:hAnsi="Times New Roman"/>
          <w:sz w:val="18"/>
          <w:szCs w:val="18"/>
          <w:color w:val="auto"/>
        </w:rPr>
        <w:t>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91"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7" w:lineRule="exact"/>
        <w:rPr>
          <w:sz w:val="20"/>
          <w:szCs w:val="20"/>
          <w:color w:val="auto"/>
        </w:rPr>
      </w:pPr>
    </w:p>
    <w:p>
      <w:pPr>
        <w:ind w:left="60" w:right="79" w:firstLine="648"/>
        <w:spacing w:after="0" w:line="255" w:lineRule="auto"/>
        <w:rPr>
          <w:sz w:val="20"/>
          <w:szCs w:val="20"/>
          <w:color w:val="auto"/>
        </w:rPr>
      </w:pPr>
      <w:r>
        <w:rPr>
          <w:rFonts w:ascii="Times New Roman" w:cs="Times New Roman" w:eastAsia="Times New Roman" w:hAnsi="Times New Roman"/>
          <w:sz w:val="17"/>
          <w:szCs w:val="17"/>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7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89"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consultants, advisors, and other third parties who have access to our proprietary know-how asserting an ownership right in our patents or patent</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2" w:name="page73"/>
    <w:bookmarkEnd w:id="7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41" w:lineRule="auto"/>
        <w:rPr>
          <w:sz w:val="20"/>
          <w:szCs w:val="20"/>
          <w:color w:val="auto"/>
        </w:rPr>
      </w:pPr>
      <w:r>
        <w:rPr>
          <w:rFonts w:ascii="Times New Roman" w:cs="Times New Roman" w:eastAsia="Times New Roman" w:hAnsi="Times New Roman"/>
          <w:sz w:val="18"/>
          <w:szCs w:val="18"/>
          <w:color w:val="auto"/>
        </w:rPr>
        <w:t>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4"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87"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83" w:lineRule="exact"/>
        <w:rPr>
          <w:sz w:val="20"/>
          <w:szCs w:val="20"/>
          <w:color w:val="auto"/>
        </w:rPr>
      </w:pPr>
    </w:p>
    <w:p>
      <w:pPr>
        <w:ind w:left="60" w:right="69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35"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6"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7" w:lineRule="exact"/>
        <w:rPr>
          <w:sz w:val="20"/>
          <w:szCs w:val="20"/>
          <w:color w:val="auto"/>
        </w:rPr>
      </w:pPr>
    </w:p>
    <w:p>
      <w:pPr>
        <w:ind w:left="60" w:right="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58"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89"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1" w:lineRule="exact"/>
        <w:rPr>
          <w:sz w:val="20"/>
          <w:szCs w:val="20"/>
          <w:color w:val="auto"/>
        </w:rPr>
      </w:pPr>
    </w:p>
    <w:p>
      <w:pPr>
        <w:ind w:left="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1" w:lineRule="exact"/>
        <w:rPr>
          <w:sz w:val="20"/>
          <w:szCs w:val="20"/>
          <w:color w:val="auto"/>
        </w:rPr>
      </w:pPr>
    </w:p>
    <w:p>
      <w:pPr>
        <w:ind w:left="60" w:right="259" w:firstLine="648"/>
        <w:spacing w:after="0" w:line="258" w:lineRule="auto"/>
        <w:rPr>
          <w:sz w:val="20"/>
          <w:szCs w:val="20"/>
          <w:color w:val="auto"/>
        </w:rPr>
      </w:pPr>
      <w:r>
        <w:rPr>
          <w:rFonts w:ascii="Times New Roman" w:cs="Times New Roman" w:eastAsia="Times New Roman" w:hAnsi="Times New Roman"/>
          <w:sz w:val="17"/>
          <w:szCs w:val="17"/>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4" w:name="page75"/>
    <w:bookmarkEnd w:id="7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6"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216"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88" w:lineRule="exact"/>
        <w:rPr>
          <w:sz w:val="20"/>
          <w:szCs w:val="20"/>
          <w:color w:val="auto"/>
        </w:rPr>
      </w:pPr>
    </w:p>
    <w:p>
      <w:pPr>
        <w:ind w:left="60" w:right="219" w:firstLine="648"/>
        <w:spacing w:after="0" w:line="242"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81" w:lineRule="exact"/>
        <w:rPr>
          <w:sz w:val="20"/>
          <w:szCs w:val="20"/>
          <w:color w:val="auto"/>
        </w:rPr>
      </w:pPr>
    </w:p>
    <w:p>
      <w:pPr>
        <w:ind w:left="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58" w:lineRule="exact"/>
        <w:rPr>
          <w:sz w:val="20"/>
          <w:szCs w:val="20"/>
          <w:color w:val="auto"/>
        </w:rPr>
      </w:pPr>
    </w:p>
    <w:p>
      <w:pPr>
        <w:ind w:left="60" w:right="179" w:firstLine="648"/>
        <w:spacing w:after="0" w:line="237"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99" w:firstLine="648"/>
        <w:spacing w:after="0" w:line="256" w:lineRule="auto"/>
        <w:rPr>
          <w:sz w:val="20"/>
          <w:szCs w:val="20"/>
          <w:color w:val="auto"/>
        </w:rPr>
      </w:pPr>
      <w:r>
        <w:rPr>
          <w:rFonts w:ascii="Times New Roman" w:cs="Times New Roman" w:eastAsia="Times New Roman" w:hAnsi="Times New Roman"/>
          <w:sz w:val="17"/>
          <w:szCs w:val="17"/>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0" w:lineRule="exact"/>
        <w:rPr>
          <w:sz w:val="20"/>
          <w:szCs w:val="20"/>
          <w:color w:val="auto"/>
        </w:rPr>
      </w:pPr>
    </w:p>
    <w:p>
      <w:pPr>
        <w:ind w:left="60" w:right="7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58"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89"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75" w:lineRule="exact"/>
        <w:rPr>
          <w:sz w:val="20"/>
          <w:szCs w:val="20"/>
          <w:color w:val="auto"/>
        </w:rPr>
      </w:pPr>
    </w:p>
    <w:p>
      <w:pPr>
        <w:ind w:left="60" w:right="139" w:firstLine="648"/>
        <w:spacing w:after="0" w:line="236" w:lineRule="auto"/>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Business, including Employee Matters, Managing Growth and Others</w:t>
      </w:r>
    </w:p>
    <w:p>
      <w:pPr>
        <w:spacing w:after="0" w:line="212" w:lineRule="exact"/>
        <w:rPr>
          <w:sz w:val="20"/>
          <w:szCs w:val="20"/>
          <w:color w:val="auto"/>
        </w:rPr>
      </w:pPr>
    </w:p>
    <w:p>
      <w:pPr>
        <w:ind w:left="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future growth prospects could be materially and adversely affected by the COVID-19 pandemic.</w:t>
      </w:r>
    </w:p>
    <w:p>
      <w:pPr>
        <w:spacing w:after="0" w:line="158"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color w:val="auto"/>
        </w:rPr>
        <w:t>Due to the continued evolution and uncertain global impacts of the COVID-19 pandemic, we cannot precisely determine or quantify the impact this pandemic will have on our business, operations and financial performance.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85"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For example, public health actions being undertaken globally in response to the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 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86" w:lineRule="exact"/>
        <w:rPr>
          <w:sz w:val="20"/>
          <w:szCs w:val="20"/>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and planned clinical trials;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employees and business operations;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at our third-party suppliers and other vendors in the U.S. and other countries;</w:t>
      </w:r>
    </w:p>
    <w:p>
      <w:pPr>
        <w:spacing w:after="0" w:line="211" w:lineRule="exact"/>
        <w:rPr>
          <w:rFonts w:ascii="Times New Roman" w:cs="Times New Roman" w:eastAsia="Times New Roman" w:hAnsi="Times New Roman"/>
          <w:sz w:val="18"/>
          <w:szCs w:val="18"/>
          <w:color w:val="auto"/>
        </w:rPr>
      </w:pPr>
    </w:p>
    <w:p>
      <w:pPr>
        <w:jc w:val="both"/>
        <w:ind w:left="1340" w:right="159" w:hanging="318"/>
        <w:spacing w:after="0" w:line="250"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76" w:lineRule="exact"/>
        <w:rPr>
          <w:rFonts w:ascii="Times New Roman" w:cs="Times New Roman" w:eastAsia="Times New Roman" w:hAnsi="Times New Roman"/>
          <w:sz w:val="18"/>
          <w:szCs w:val="18"/>
          <w:color w:val="auto"/>
        </w:rPr>
      </w:pPr>
    </w:p>
    <w:p>
      <w:pPr>
        <w:ind w:left="1340" w:right="159" w:hanging="318"/>
        <w:spacing w:after="0" w:line="266" w:lineRule="auto"/>
        <w:tabs>
          <w:tab w:leader="none" w:pos="1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marketing activities related to AYVAKIT/AYVAKYT, GAVRETO and any drug candidates for which we may receive marketing approval in the U.S. or other geographies in the future.</w:t>
      </w:r>
    </w:p>
    <w:p>
      <w:pPr>
        <w:spacing w:after="0" w:line="162" w:lineRule="exact"/>
        <w:rPr>
          <w:sz w:val="20"/>
          <w:szCs w:val="20"/>
          <w:color w:val="auto"/>
        </w:rPr>
      </w:pPr>
    </w:p>
    <w:p>
      <w:pPr>
        <w:ind w:left="60" w:right="439" w:firstLine="648"/>
        <w:spacing w:after="0" w:line="296" w:lineRule="auto"/>
        <w:rPr>
          <w:sz w:val="20"/>
          <w:szCs w:val="20"/>
          <w:color w:val="auto"/>
        </w:rPr>
      </w:pPr>
      <w:r>
        <w:rPr>
          <w:rFonts w:ascii="Times New Roman" w:cs="Times New Roman" w:eastAsia="Times New Roman" w:hAnsi="Times New Roman"/>
          <w:sz w:val="17"/>
          <w:szCs w:val="17"/>
          <w:color w:val="auto"/>
        </w:rPr>
        <w:t>To the extent the COVID-19 pandemic adversely affects our business, results of operations and future growth prospects, it may also have the effect of heightening many of the other risks described in this “Risk Factors” section.</w:t>
      </w:r>
    </w:p>
    <w:p>
      <w:pPr>
        <w:spacing w:after="0" w:line="135" w:lineRule="exact"/>
        <w:rPr>
          <w:sz w:val="20"/>
          <w:szCs w:val="20"/>
          <w:color w:val="auto"/>
        </w:rPr>
      </w:pPr>
    </w:p>
    <w:p>
      <w:pPr>
        <w:ind w:left="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58"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91" w:lineRule="exact"/>
        <w:rPr>
          <w:sz w:val="20"/>
          <w:szCs w:val="20"/>
          <w:color w:val="auto"/>
        </w:rPr>
      </w:pPr>
    </w:p>
    <w:p>
      <w:pPr>
        <w:ind w:left="60" w:right="839" w:firstLine="648"/>
        <w:spacing w:after="0" w:line="296" w:lineRule="auto"/>
        <w:rPr>
          <w:sz w:val="20"/>
          <w:szCs w:val="20"/>
          <w:color w:val="auto"/>
        </w:rPr>
      </w:pPr>
      <w:r>
        <w:rPr>
          <w:rFonts w:ascii="Times New Roman" w:cs="Times New Roman" w:eastAsia="Times New Roman" w:hAnsi="Times New Roman"/>
          <w:sz w:val="17"/>
          <w:szCs w:val="17"/>
          <w:color w:val="auto"/>
        </w:rPr>
        <w:t>In addition, we rely on consultants and advisors, including scientific and clinical advisors, to assist us in formulating our research and development and commercialization strategy. Our consultants and advisors may be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50" w:lineRule="auto"/>
        <w:rPr>
          <w:sz w:val="20"/>
          <w:szCs w:val="20"/>
          <w:color w:val="auto"/>
        </w:rPr>
      </w:pPr>
      <w:r>
        <w:rPr>
          <w:rFonts w:ascii="Times New Roman" w:cs="Times New Roman" w:eastAsia="Times New Roman" w:hAnsi="Times New Roman"/>
          <w:sz w:val="18"/>
          <w:szCs w:val="18"/>
          <w:color w:val="auto"/>
        </w:rPr>
        <w:t>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7"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2" w:lineRule="exact"/>
        <w:rPr>
          <w:sz w:val="20"/>
          <w:szCs w:val="20"/>
          <w:color w:val="auto"/>
        </w:rPr>
      </w:pPr>
    </w:p>
    <w:p>
      <w:pPr>
        <w:ind w:left="60" w:right="1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8"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As of January 31, 2021, we had 429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85" w:lineRule="exact"/>
        <w:rPr>
          <w:sz w:val="20"/>
          <w:szCs w:val="20"/>
          <w:color w:val="auto"/>
        </w:rPr>
      </w:pPr>
    </w:p>
    <w:p>
      <w:pPr>
        <w:ind w:left="60" w:right="8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58"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84"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Political development can also lead to uncertainty to regulations and rules that may materially affect our business. For example, Brexit could result in the United Kingdom or the European Union significantly altering its regulations affecting the clearance or approval of our drug or drug candidates that are developed in the United Kingdom. Any new regulations could add time and expense to the conduct of our business, as well as the process by which our 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8"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3" w:lineRule="exact"/>
        <w:rPr>
          <w:sz w:val="20"/>
          <w:szCs w:val="20"/>
          <w:color w:val="auto"/>
        </w:rPr>
      </w:pPr>
    </w:p>
    <w:p>
      <w:pPr>
        <w:ind w:left="60" w:right="1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1" w:lineRule="exact"/>
        <w:rPr>
          <w:sz w:val="20"/>
          <w:szCs w:val="20"/>
          <w:color w:val="auto"/>
        </w:rPr>
      </w:pPr>
    </w:p>
    <w:p>
      <w:pPr>
        <w:ind w:left="60" w:right="59" w:firstLine="648"/>
        <w:spacing w:after="0" w:line="236" w:lineRule="auto"/>
        <w:rPr>
          <w:sz w:val="20"/>
          <w:szCs w:val="20"/>
          <w:color w:val="auto"/>
        </w:rPr>
      </w:pPr>
      <w:r>
        <w:rPr>
          <w:rFonts w:ascii="Times New Roman" w:cs="Times New Roman" w:eastAsia="Times New Roman" w:hAnsi="Times New Roman"/>
          <w:sz w:val="18"/>
          <w:szCs w:val="18"/>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97" w:lineRule="exact"/>
        <w:rPr>
          <w:sz w:val="20"/>
          <w:szCs w:val="20"/>
          <w:color w:val="auto"/>
        </w:rPr>
      </w:pPr>
    </w:p>
    <w:p>
      <w:pPr>
        <w:ind w:left="60" w:right="179" w:firstLine="648"/>
        <w:spacing w:after="0" w:line="238" w:lineRule="auto"/>
        <w:rPr>
          <w:sz w:val="20"/>
          <w:szCs w:val="20"/>
          <w:color w:val="auto"/>
        </w:rPr>
      </w:pPr>
      <w:r>
        <w:rPr>
          <w:rFonts w:ascii="Times New Roman" w:cs="Times New Roman" w:eastAsia="Times New Roman" w:hAnsi="Times New Roman"/>
          <w:sz w:val="18"/>
          <w:szCs w:val="18"/>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82" w:lineRule="exact"/>
        <w:rPr>
          <w:sz w:val="20"/>
          <w:szCs w:val="20"/>
          <w:color w:val="auto"/>
        </w:rPr>
      </w:pPr>
    </w:p>
    <w:p>
      <w:pPr>
        <w:jc w:val="both"/>
        <w:ind w:left="60" w:right="1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35"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42" w:lineRule="auto"/>
        <w:rPr>
          <w:sz w:val="20"/>
          <w:szCs w:val="20"/>
          <w:color w:val="auto"/>
        </w:rPr>
      </w:pPr>
      <w:r>
        <w:rPr>
          <w:rFonts w:ascii="Times New Roman" w:cs="Times New Roman" w:eastAsia="Times New Roman" w:hAnsi="Times New Roman"/>
          <w:sz w:val="18"/>
          <w:szCs w:val="18"/>
          <w:color w:val="auto"/>
        </w:rPr>
        <w:t>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85"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177" w:lineRule="exact"/>
        <w:rPr>
          <w:sz w:val="20"/>
          <w:szCs w:val="20"/>
          <w:color w:val="auto"/>
        </w:rPr>
      </w:pPr>
    </w:p>
    <w:p>
      <w:pPr>
        <w:jc w:val="both"/>
        <w:ind w:left="60" w:right="3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76"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83" w:lineRule="exact"/>
        <w:rPr>
          <w:sz w:val="20"/>
          <w:szCs w:val="20"/>
          <w:color w:val="auto"/>
        </w:rPr>
      </w:pPr>
    </w:p>
    <w:p>
      <w:pPr>
        <w:ind w:left="60" w:right="2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58"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w:t>
      </w:r>
    </w:p>
    <w:p>
      <w:pPr>
        <w:sectPr>
          <w:pgSz w:w="11900" w:h="16838" w:orient="portrait"/>
          <w:cols w:equalWidth="0" w:num="1">
            <w:col w:w="9019"/>
          </w:cols>
          <w:pgMar w:left="1440" w:top="513" w:right="1440" w:bottom="1440" w:gutter="0" w:footer="0" w:header="0"/>
        </w:sect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7"/>
          <w:szCs w:val="17"/>
          <w:color w:val="auto"/>
        </w:rPr>
        <w:t>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3" w:lineRule="exact"/>
        <w:rPr>
          <w:sz w:val="20"/>
          <w:szCs w:val="20"/>
          <w:color w:val="auto"/>
        </w:rPr>
      </w:pPr>
    </w:p>
    <w:p>
      <w:pPr>
        <w:jc w:val="both"/>
        <w:ind w:left="60" w:right="1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76"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adverse legislative or regulatory tax changes that could negatively impact our financial condition.</w:t>
      </w:r>
    </w:p>
    <w:p>
      <w:pPr>
        <w:spacing w:after="0" w:line="216" w:lineRule="exact"/>
        <w:rPr>
          <w:sz w:val="20"/>
          <w:szCs w:val="20"/>
          <w:color w:val="auto"/>
        </w:rPr>
      </w:pPr>
    </w:p>
    <w:p>
      <w:pPr>
        <w:ind w:left="60" w:right="79" w:firstLine="648"/>
        <w:spacing w:after="0" w:line="236"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For example, in December 2017, the U.S. enacted the Tax Cuts and Jobs Act of 2017, or TCJA. The TCJA significantly reformed the Internal Revenue Code of 1986, as amended, and among other things, included changes to U.S. federal tax rates, imposed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Additionally, in March 2020, the U.S. enacted the CARES Act, which included certain changes in tax law intended to stimulate the U.S. economy in light of the COVID-19 pandemic, including delaying the effective date of the net operating loss restrictions imposed by the TJCA, temporarily relaxing (but not eliminating) the TJCA’s interest deductibility limitations, and making temporary beneficial changes to the payroll tax regime. We continue to examine the impact this tax reform legislation may have on our business. The impact of these and other future changes in tax laws is uncertain and could have an adverse effect on our business, cash flow, financial condition or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216" w:lineRule="exact"/>
        <w:rPr>
          <w:sz w:val="20"/>
          <w:szCs w:val="20"/>
          <w:color w:val="auto"/>
        </w:rPr>
      </w:pPr>
    </w:p>
    <w:p>
      <w:pPr>
        <w:jc w:val="both"/>
        <w:ind w:left="60" w:right="239" w:firstLine="648"/>
        <w:spacing w:after="0" w:line="245" w:lineRule="auto"/>
        <w:rPr>
          <w:sz w:val="20"/>
          <w:szCs w:val="20"/>
          <w:color w:val="auto"/>
        </w:rPr>
      </w:pPr>
      <w:r>
        <w:rPr>
          <w:rFonts w:ascii="Times New Roman" w:cs="Times New Roman" w:eastAsia="Times New Roman" w:hAnsi="Times New Roman"/>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February 15, 2021. As a result of this volatility, our stockholders could incur substantial losses.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4" w:lineRule="exact"/>
        <w:rPr>
          <w:sz w:val="20"/>
          <w:szCs w:val="20"/>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commercialization of our drugs and drug candidates, if approved;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drugs or technologies;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211" w:lineRule="exact"/>
        <w:rPr>
          <w:rFonts w:ascii="Times New Roman" w:cs="Times New Roman" w:eastAsia="Times New Roman" w:hAnsi="Times New Roman"/>
          <w:sz w:val="18"/>
          <w:szCs w:val="18"/>
          <w:color w:val="auto"/>
        </w:rPr>
      </w:pPr>
    </w:p>
    <w:p>
      <w:pPr>
        <w:ind w:left="1380" w:right="117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11" w:lineRule="exact"/>
        <w:rPr>
          <w:rFonts w:ascii="Times New Roman" w:cs="Times New Roman" w:eastAsia="Times New Roman" w:hAnsi="Times New Roman"/>
          <w:sz w:val="18"/>
          <w:szCs w:val="18"/>
          <w:color w:val="auto"/>
        </w:rPr>
      </w:pPr>
    </w:p>
    <w:p>
      <w:pPr>
        <w:ind w:left="1380" w:right="399" w:hanging="331"/>
        <w:spacing w:after="0" w:line="266" w:lineRule="auto"/>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 or pandemic disease outbreaks, including the COVID-19 pandemic, trade wars, political unrest or other similar events;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12" w:lineRule="exact"/>
        <w:rPr>
          <w:sz w:val="20"/>
          <w:szCs w:val="20"/>
          <w:color w:val="auto"/>
        </w:rPr>
      </w:pPr>
    </w:p>
    <w:p>
      <w:pPr>
        <w:ind w:left="60" w:right="199" w:firstLine="648"/>
        <w:spacing w:after="0" w:line="238" w:lineRule="auto"/>
        <w:rPr>
          <w:sz w:val="20"/>
          <w:szCs w:val="20"/>
          <w:color w:val="auto"/>
        </w:rPr>
      </w:pPr>
      <w:r>
        <w:rPr>
          <w:rFonts w:ascii="Times New Roman" w:cs="Times New Roman" w:eastAsia="Times New Roman" w:hAnsi="Times New Roman"/>
          <w:sz w:val="18"/>
          <w:szCs w:val="18"/>
          <w:color w:val="auto"/>
        </w:rPr>
        <w:t>Future sales or issuances of common stock or other equity related securities may also adversely affect the market price of our common stock. For example, In July 2020, we entered into a sales agreement with Cowen through which we may, from time to time, issue and sell shares of our common stock having an aggregate offering price of up to $250.0 million, subject to the terms and conditions of the sales agreement. In the three months ended December 31, 2020, we issued and sold 1,784,926 shares of our common stock under the sales agreement at an average price of $112.05 per share for net and gross proceeds of $194.7 million and $200.0 million, respectively.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91" w:lineRule="exact"/>
        <w:rPr>
          <w:sz w:val="20"/>
          <w:szCs w:val="20"/>
          <w:color w:val="auto"/>
        </w:rPr>
      </w:pPr>
    </w:p>
    <w:p>
      <w:pPr>
        <w:ind w:left="60" w:right="259" w:firstLine="648"/>
        <w:spacing w:after="0" w:line="241"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equity research analysts publish negative evaluations of or downgrade our common stock, the price of our common stock could decline.</w:t>
      </w:r>
    </w:p>
    <w:p>
      <w:pPr>
        <w:spacing w:after="0" w:line="158" w:lineRule="exact"/>
        <w:rPr>
          <w:sz w:val="20"/>
          <w:szCs w:val="20"/>
          <w:color w:val="auto"/>
        </w:rPr>
      </w:pPr>
    </w:p>
    <w:p>
      <w:pPr>
        <w:ind w:left="60" w:right="299" w:firstLine="648"/>
        <w:spacing w:after="0" w:line="242"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1" w:lineRule="exact"/>
        <w:rPr>
          <w:sz w:val="20"/>
          <w:szCs w:val="20"/>
          <w:color w:val="auto"/>
        </w:rPr>
      </w:pPr>
    </w:p>
    <w:p>
      <w:pPr>
        <w:ind w:left="60" w:right="2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58"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85" w:lineRule="exact"/>
        <w:rPr>
          <w:sz w:val="20"/>
          <w:szCs w:val="20"/>
          <w:color w:val="auto"/>
        </w:rPr>
      </w:pPr>
    </w:p>
    <w:p>
      <w:pPr>
        <w:ind w:left="1340" w:hanging="318"/>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of control of us;</w:t>
      </w:r>
    </w:p>
    <w:p>
      <w:pPr>
        <w:spacing w:after="0" w:line="211" w:lineRule="exact"/>
        <w:rPr>
          <w:rFonts w:ascii="Times New Roman" w:cs="Times New Roman" w:eastAsia="Times New Roman" w:hAnsi="Times New Roman"/>
          <w:sz w:val="18"/>
          <w:szCs w:val="18"/>
          <w:color w:val="auto"/>
        </w:rPr>
      </w:pPr>
    </w:p>
    <w:p>
      <w:pPr>
        <w:ind w:left="1340" w:hanging="318"/>
        <w:spacing w:after="0"/>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211" w:lineRule="exact"/>
        <w:rPr>
          <w:rFonts w:ascii="Times New Roman" w:cs="Times New Roman" w:eastAsia="Times New Roman" w:hAnsi="Times New Roman"/>
          <w:sz w:val="18"/>
          <w:szCs w:val="18"/>
          <w:color w:val="auto"/>
        </w:rPr>
      </w:pPr>
    </w:p>
    <w:p>
      <w:pPr>
        <w:ind w:left="1340" w:right="119" w:hanging="318"/>
        <w:spacing w:after="0" w:line="266" w:lineRule="auto"/>
        <w:tabs>
          <w:tab w:leader="none" w:pos="1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acquiror from making a tender offer or otherwise attempting to obtain control of us.</w:t>
      </w:r>
    </w:p>
    <w:p>
      <w:pPr>
        <w:spacing w:after="0" w:line="158" w:lineRule="exact"/>
        <w:rPr>
          <w:sz w:val="20"/>
          <w:szCs w:val="20"/>
          <w:color w:val="auto"/>
        </w:rPr>
      </w:pPr>
    </w:p>
    <w:p>
      <w:pPr>
        <w:ind w:left="60" w:right="1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75" w:lineRule="exact"/>
        <w:rPr>
          <w:sz w:val="20"/>
          <w:szCs w:val="20"/>
          <w:color w:val="auto"/>
        </w:rPr>
      </w:pPr>
    </w:p>
    <w:p>
      <w:pPr>
        <w:ind w:left="60" w:right="59" w:firstLine="648"/>
        <w:spacing w:after="0" w:line="238"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2" w:lineRule="exact"/>
        <w:rPr>
          <w:sz w:val="20"/>
          <w:szCs w:val="20"/>
          <w:color w:val="auto"/>
        </w:rPr>
      </w:pPr>
    </w:p>
    <w:p>
      <w:pPr>
        <w:ind w:left="60" w:right="3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158"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79"/>
        <w:spacing w:after="0" w:line="250" w:lineRule="auto"/>
        <w:rPr>
          <w:sz w:val="20"/>
          <w:szCs w:val="20"/>
          <w:color w:val="auto"/>
        </w:rPr>
      </w:pPr>
      <w:r>
        <w:rPr>
          <w:rFonts w:ascii="Times New Roman" w:cs="Times New Roman" w:eastAsia="Times New Roman" w:hAnsi="Times New Roman"/>
          <w:sz w:val="18"/>
          <w:szCs w:val="18"/>
          <w:color w:val="auto"/>
        </w:rPr>
        <w:t>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177" w:lineRule="exact"/>
        <w:rPr>
          <w:sz w:val="20"/>
          <w:szCs w:val="20"/>
          <w:color w:val="auto"/>
        </w:rPr>
      </w:pPr>
    </w:p>
    <w:p>
      <w:pPr>
        <w:ind w:left="60" w:right="159" w:firstLine="648"/>
        <w:spacing w:after="0" w:line="237"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5" w:lineRule="exact"/>
        <w:rPr>
          <w:sz w:val="20"/>
          <w:szCs w:val="20"/>
          <w:color w:val="auto"/>
        </w:rPr>
      </w:pPr>
    </w:p>
    <w:p>
      <w:pPr>
        <w:ind w:left="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58"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4" w:lineRule="exact"/>
        <w:rPr>
          <w:sz w:val="20"/>
          <w:szCs w:val="20"/>
          <w:color w:val="auto"/>
        </w:rPr>
      </w:pPr>
    </w:p>
    <w:p>
      <w:pPr>
        <w:ind w:left="60" w:right="31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35" w:lineRule="exact"/>
        <w:rPr>
          <w:sz w:val="20"/>
          <w:szCs w:val="20"/>
          <w:color w:val="auto"/>
        </w:rPr>
      </w:pPr>
    </w:p>
    <w:p>
      <w:pPr>
        <w:ind w:left="60" w:right="59" w:firstLine="648"/>
        <w:spacing w:after="0"/>
        <w:rPr>
          <w:sz w:val="20"/>
          <w:szCs w:val="20"/>
          <w:color w:val="auto"/>
        </w:rPr>
      </w:pPr>
      <w:r>
        <w:rPr>
          <w:rFonts w:ascii="Times New Roman" w:cs="Times New Roman" w:eastAsia="Times New Roman" w:hAnsi="Times New Roman"/>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5"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7" w:lineRule="exact"/>
        <w:rPr>
          <w:sz w:val="20"/>
          <w:szCs w:val="20"/>
          <w:color w:val="auto"/>
        </w:rPr>
      </w:pPr>
    </w:p>
    <w:p>
      <w:pPr>
        <w:jc w:val="both"/>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spacing w:after="0" w:line="239" w:lineRule="auto"/>
        <w:rPr>
          <w:sz w:val="20"/>
          <w:szCs w:val="20"/>
          <w:color w:val="auto"/>
        </w:rPr>
      </w:pPr>
      <w:r>
        <w:rPr>
          <w:rFonts w:ascii="Times New Roman" w:cs="Times New Roman" w:eastAsia="Times New Roman" w:hAnsi="Times New Roman"/>
          <w:sz w:val="18"/>
          <w:szCs w:val="18"/>
          <w:color w:val="auto"/>
        </w:rPr>
        <w:t>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3" w:lineRule="exact"/>
        <w:rPr>
          <w:sz w:val="20"/>
          <w:szCs w:val="20"/>
          <w:color w:val="auto"/>
        </w:rPr>
      </w:pPr>
    </w:p>
    <w:p>
      <w:pPr>
        <w:ind w:left="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58"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216"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analyzed shifts in the stock ownership to determine if its net operating losses and tax credit carryforwards may be subject to limitation under Sections 382 and 383. Based on this analysis, we determined that it is more likely than not that an ownership change occurred on the following dates: March 24, 2011; April 5, 2011; November 10, 2014; and February 7, 2017. As a consequence of these ownership changes, our net operating loss carryforwards allocable for the period preceding each ownership change are subject to limitations under Section 382. In addition, pursuant to the TCJA (as modified by the CARES Act), we may not use net operating loss carry-forwards generated in taxable years beginning after December 31, 2017 to reduce our taxable income in any year beginning after December 31, 2020 by more than 80%, and we may not carry back any net operating losses generated in taxable years beginning after December 31, 2020 to prior years. These new rules apply regardless of the occurrence of an ownership change.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16" w:lineRule="exact"/>
        <w:rPr>
          <w:sz w:val="20"/>
          <w:szCs w:val="20"/>
          <w:color w:val="auto"/>
        </w:rPr>
      </w:pPr>
    </w:p>
    <w:p>
      <w:pPr>
        <w:ind w:left="60" w:right="259" w:firstLine="648"/>
        <w:spacing w:after="0"/>
        <w:rPr>
          <w:sz w:val="20"/>
          <w:szCs w:val="20"/>
          <w:color w:val="auto"/>
        </w:rPr>
      </w:pPr>
      <w:r>
        <w:rPr>
          <w:rFonts w:ascii="Times New Roman" w:cs="Times New Roman" w:eastAsia="Times New Roman" w:hAnsi="Times New Roman"/>
          <w:sz w:val="18"/>
          <w:szCs w:val="18"/>
          <w:color w:val="auto"/>
        </w:rPr>
        <w:t>Our headquarters are located at 45 Sidney Street in Cambridge, Massachusetts where we occupy approximately 99,833 rentable square feet of office and laboratory space under a lease that commenced on October 1, 2017 and will expire on November 30, 2029. On September 19, 2018, we entered into an amendment to the lease agreement to expand the rentable square footage from approximately 99,833 square feet to approximately 139,216 square feet. Pursuant to the lease amendment, the rent commencement date for the expansion premises was July 1, 2019. The initial term of the lease with respect to the expansion premises commenced on March 1, 2019 and will expire on November 30, 2029, unless terminated sooner.</w:t>
      </w:r>
    </w:p>
    <w:p>
      <w:pPr>
        <w:spacing w:after="0" w:line="185"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We also lease our former corporate headquarters at 38 Sidney Street in Cambridge, Massachusetts under a lease that will expire on October 31, 2022. The lease agreement provides us with an option to extend the lease for five additional years. In the first quarter of 2018, we fully subleased these premises, and the term of the existing sublease will expire on February 28, 2021.</w:t>
      </w:r>
    </w:p>
    <w:p>
      <w:pPr>
        <w:spacing w:after="0" w:line="181"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existing office and laboratory space is sufficient to meet our needs for the foreseeable future and that suitable additional space will be available as and when needed.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We are not currently a party to any material legal proceedings.</w:t>
      </w:r>
    </w:p>
    <w:p>
      <w:pPr>
        <w:spacing w:after="0" w:line="219" w:lineRule="exact"/>
        <w:rPr>
          <w:sz w:val="20"/>
          <w:szCs w:val="20"/>
          <w:color w:val="auto"/>
        </w:rPr>
      </w:pPr>
    </w:p>
    <w:p>
      <w:pPr>
        <w:jc w:val="center"/>
        <w:ind w:right="643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44" w:lineRule="exact"/>
        <w:rPr>
          <w:sz w:val="20"/>
          <w:szCs w:val="20"/>
          <w:color w:val="auto"/>
        </w:rPr>
      </w:pPr>
    </w:p>
    <w:p>
      <w:pPr>
        <w:ind w:left="60" w:right="499"/>
        <w:spacing w:after="0" w:line="271"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Information Regarding the Trading of Our Common Stock</w:t>
      </w:r>
    </w:p>
    <w:p>
      <w:pPr>
        <w:spacing w:after="0" w:line="135"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Our common stock trades under the symbol “BPMC” on the Nasdaq Global Select Market and has been publicly traded since April 30, 2015.</w:t>
      </w:r>
    </w:p>
    <w:p>
      <w:pPr>
        <w:spacing w:after="0" w:line="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48"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2021, there were approximately 11 holders of record of our common stock. This number does not include beneficial owners whose shares are held by nominees in street name.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48"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1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35"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117"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The following performance graph compares the performance of our common stock to the Nasdaq Composite Index and to the Nasdaq Biotechnology Index from December 31, 2015 through December 31, 2020. The comparison assumes $100 was invested in our common stock and in each of the foregoing indices after the market closed on December 31, 2015,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60325</wp:posOffset>
            </wp:positionV>
            <wp:extent cx="5554980" cy="28975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554980" cy="289750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68" w:lineRule="exact"/>
        <w:rPr>
          <w:sz w:val="20"/>
          <w:szCs w:val="20"/>
          <w:color w:val="auto"/>
        </w:rPr>
      </w:pPr>
    </w:p>
    <w:p>
      <w:pPr>
        <w:ind w:left="60" w:right="419" w:firstLine="648"/>
        <w:spacing w:after="0"/>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7"/>
          <w:szCs w:val="17"/>
          <w:color w:val="auto"/>
        </w:rPr>
        <w:t>We are a global precision therapy company that is inventing transformative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are delivering our approved medicines, AYVAKIT™/AYVAKYT® (avapritinib) and GAVRETO™ (pralsetinib), to patients in the U.S. and Europe, and we are globally advancing multiple programs for genomically defined cancers, systemic mastocytosis, and cancer immunotherapy.</w:t>
      </w:r>
    </w:p>
    <w:p>
      <w:pPr>
        <w:spacing w:after="0" w:line="214"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Our drug discovery approach combines our deep understanding of kinase biology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Systemic Mastocytosis and other Mast Cell Disorders — Avapritinib and BLU-263</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Avapritinib</w:t>
      </w:r>
    </w:p>
    <w:p>
      <w:pPr>
        <w:spacing w:after="0" w:line="254" w:lineRule="exact"/>
        <w:rPr>
          <w:sz w:val="20"/>
          <w:szCs w:val="20"/>
          <w:color w:val="auto"/>
        </w:rPr>
      </w:pPr>
    </w:p>
    <w:p>
      <w:pPr>
        <w:jc w:val="both"/>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We are developing avapritinib for the treatment of systemic mastocytosis, or SM, a rare hematologic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21"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7"/>
          <w:szCs w:val="17"/>
          <w:color w:val="auto"/>
        </w:rPr>
        <w:t>In December 2020, we submitted a supplemental new drug application, or NDA, to the U.S. Food and Drug Administration, or FDA, for avapritinib for the treatment of adult patients with advanced SM. In February 2021, the FDA accepted our application and set a Prescription Drug User Fee Act, or PDUFA, action date of June 16, 2021. We also submitted a Type II variation marketing authorization application, or MAA, to the European Medicines Agency, or EMA,</w:t>
      </w:r>
    </w:p>
    <w:p>
      <w:pPr>
        <w:ind w:left="60"/>
        <w:spacing w:after="0"/>
        <w:rPr>
          <w:sz w:val="20"/>
          <w:szCs w:val="20"/>
          <w:color w:val="auto"/>
        </w:rPr>
      </w:pPr>
      <w:r>
        <w:rPr>
          <w:rFonts w:ascii="Times New Roman" w:cs="Times New Roman" w:eastAsia="Times New Roman" w:hAnsi="Times New Roman"/>
          <w:sz w:val="18"/>
          <w:szCs w:val="18"/>
          <w:color w:val="auto"/>
        </w:rPr>
        <w:t>for avapritinib for advanced SM in February 2021.</w:t>
      </w:r>
    </w:p>
    <w:p>
      <w:pPr>
        <w:spacing w:after="0" w:line="252"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We are currently evaluating avapritinib in an ongoing registration-enabling Phase 1 clinical trial in advanced SM, which we refer to as our EXPLORER trial, and an ongoing registration-enabling Phase 2 clinical trial in advanced SM, which we refer to as our PATHFINDER trial. In September 2020, we reported positive top-line data from the EXPLORER and PATHFINDER trials. We plan to present registrational data from the PATHFINDER trial in the first half of 2021. In addition, we are evaluating avapritinib in an ongoing registration-enabling Phase 2 clinical trial in non-advanced SM, which we refer to as our PIONEER trial. In 2020, we reported data from the dose-finding portion (Part 1) of the PIONEER trial and initiated the registration-enabling Part 2 of the PIONEER trial. We expect to complete enrollment of Part 2 of the PIONEER trial in mid-2021.</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BLU-263</w:t>
      </w:r>
    </w:p>
    <w:p>
      <w:pPr>
        <w:spacing w:after="0" w:line="254"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BLU-263 is an investigational, orally available, potent and highly selective KIT inhibitor that we are developing for the treatment of non-advanced SM and other mast cell disorders. BLU-263 is designed to have equivalent potency as avapritinib, with low off-target activity and lower penetration of the central nervous system, or CNS, relative to avapritinib based on preclinical data, which we believe will enable development of BLU-263 in a broad population of patients with non-advanced SM, including patients with lower disease burden requiring potentially life-long chronic therapy, and potentially patients with other mast cell disorders. In January 2021, we announced positive top-line results from a Phase 1 trial of BLU-263 in healthy volunteers. Based on these data, in mid-2021, we plan to initiate a Phase 2 trial of BLU-263 in patients with non-advanced SM, which we refer to as our HARBOR trial.</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RET-altered Cancers — GAVRETO™ (pralsetinib)</w:t>
      </w:r>
    </w:p>
    <w:p>
      <w:pPr>
        <w:spacing w:after="0" w:line="256" w:lineRule="exact"/>
        <w:rPr>
          <w:sz w:val="20"/>
          <w:szCs w:val="20"/>
          <w:color w:val="auto"/>
        </w:rPr>
      </w:pPr>
    </w:p>
    <w:p>
      <w:pPr>
        <w:ind w:left="60" w:right="239" w:firstLine="648"/>
        <w:spacing w:after="0" w:line="242" w:lineRule="auto"/>
        <w:rPr>
          <w:sz w:val="20"/>
          <w:szCs w:val="20"/>
          <w:color w:val="auto"/>
        </w:rPr>
      </w:pPr>
      <w:r>
        <w:rPr>
          <w:rFonts w:ascii="Times New Roman" w:cs="Times New Roman" w:eastAsia="Times New Roman" w:hAnsi="Times New Roman"/>
          <w:sz w:val="18"/>
          <w:szCs w:val="18"/>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w:t>
      </w:r>
      <w:r>
        <w:rPr>
          <w:rFonts w:ascii="Times New Roman" w:cs="Times New Roman" w:eastAsia="Times New Roman" w:hAnsi="Times New Roman"/>
          <w:sz w:val="18"/>
          <w:szCs w:val="18"/>
          <w:i w:val="1"/>
          <w:iCs w:val="1"/>
          <w:color w:val="auto"/>
        </w:rPr>
        <w:t>—Collaborations and Licenses Summary</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ind w:left="60" w:right="239" w:firstLine="648"/>
        <w:spacing w:after="0" w:line="260" w:lineRule="auto"/>
        <w:rPr>
          <w:sz w:val="20"/>
          <w:szCs w:val="20"/>
          <w:color w:val="auto"/>
        </w:rPr>
      </w:pPr>
      <w:r>
        <w:rPr>
          <w:rFonts w:ascii="Times New Roman" w:cs="Times New Roman" w:eastAsia="Times New Roman" w:hAnsi="Times New Roman"/>
          <w:sz w:val="17"/>
          <w:szCs w:val="17"/>
          <w:color w:val="auto"/>
        </w:rPr>
        <w:t>Pralsetinib is approved in the U.S. with accelerated approval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w:t>
      </w:r>
    </w:p>
    <w:p>
      <w:pPr>
        <w:spacing w:after="0" w:line="197"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The EMA is currently reviewing our MAA for pralsetinib for RET fusion-positive NSCLC. If approved by the European Commission, Roche plans to launch pralsetinib in RET fusion-positive NSCLC in Europe in the first half of 2021. Roche also plans to submit a Type II variation MAA to the EMA for pralsetinib for RET-altered thyroid cancers in the second half of 2021, and to submit marketing applications for pralsetinib for RET-altered NSCLC and thyroid cancers across multiple additional global geographies in 2021. In addition, China’s National Medical Products Administration, or NMPA, accepted an NDA submitted by CStone in the third quarter of 2020 for pralsetinib for the treatment of RET fusion-positive NSCLC patients previously treated with platinum-based chemotherapy.</w:t>
      </w:r>
    </w:p>
    <w:p>
      <w:pPr>
        <w:spacing w:after="0" w:line="225"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We are currently evaluating pralsetinib in an ongoing registration-enabling Phase 1/2 clinical trial in patients with RET-altered NSCLC, MTC and other advanced solid tumors, which we refer to as our ARROW trial. Pursuant to our collaboration with Roche, we plan to co-develop pralsetinib globally in RET-altered solid tumors, including NSCLC, MTC and other thyroid cancers, as well as other solid tumors.</w:t>
      </w:r>
    </w:p>
    <w:p>
      <w:pPr>
        <w:spacing w:after="0" w:line="221"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The FDA has granted breakthrough therapy designation to pralsetinib for (i) the treatment of patients with RET fusion-positive NSCLC that has progressed following platinum-based chemotherapy and (b) the treatment of patients with RET mutation-positive MTC that requires systemic treatment and for which there are no acceptable alternative treatments. In addition, the FDA has granted orphan drug designation to pralsetinib for the treatment of RET-rearranged NSCLC, JAK1/2-positive NSCLC or TRKC-positive NSCLC.</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PDGFRA-Driven Gastrointestinal Stromal Tumors — AYVAKIT™ / AYVAKYT® (avapritinib)</w:t>
      </w:r>
    </w:p>
    <w:p>
      <w:pPr>
        <w:spacing w:after="0" w:line="256" w:lineRule="exact"/>
        <w:rPr>
          <w:sz w:val="20"/>
          <w:szCs w:val="20"/>
          <w:color w:val="auto"/>
        </w:rPr>
      </w:pPr>
    </w:p>
    <w:p>
      <w:pPr>
        <w:ind w:left="60" w:right="279" w:firstLine="648"/>
        <w:spacing w:after="0" w:line="296" w:lineRule="auto"/>
        <w:rPr>
          <w:sz w:val="20"/>
          <w:szCs w:val="20"/>
          <w:color w:val="auto"/>
        </w:rPr>
      </w:pPr>
      <w:r>
        <w:rPr>
          <w:rFonts w:ascii="Times New Roman" w:cs="Times New Roman" w:eastAsia="Times New Roman" w:hAnsi="Times New Roman"/>
          <w:sz w:val="17"/>
          <w:szCs w:val="17"/>
          <w:color w:val="auto"/>
        </w:rPr>
        <w:t>We are commercializing avapritinib for the treatment of patients with PDGFRA exon 18 mutant gastrointestinal stromal tumors, or GIST, a rare disease that is a sarcoma, or tumor of bone or connective tissue, of the gastrointestinal</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42" w:lineRule="auto"/>
        <w:rPr>
          <w:sz w:val="20"/>
          <w:szCs w:val="20"/>
          <w:color w:val="auto"/>
        </w:rPr>
      </w:pPr>
      <w:r>
        <w:rPr>
          <w:rFonts w:ascii="Times New Roman" w:cs="Times New Roman" w:eastAsia="Times New Roman" w:hAnsi="Times New Roman"/>
          <w:sz w:val="18"/>
          <w:szCs w:val="18"/>
          <w:color w:val="auto"/>
        </w:rPr>
        <w:t>tract. Avapritinib is approved in the U.S. under the brand name AYVAKIT for the treatment of adults with unresectable or metastatic gastrointestinal stromal tumors harboring a PDGFRA exon 18 mutation, including PDGFRA D842V mutations, and is approved in the European Union with conditional marketing authorization under the brand name AYVAKYT as a monotherapy for the treatment of adult patients with unresectable or metastatic GIST harboring a PDGFRA D842V mutation.</w:t>
      </w:r>
    </w:p>
    <w:p>
      <w:pPr>
        <w:spacing w:after="0" w:line="225"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color w:val="auto"/>
        </w:rPr>
        <w:t>The European Commission has granted orphan medicinal product designation to avapritinib for the treatment of GIST. In addition, the NMPA accepted an NDA submitted by CStone in the first quarter of 2020 for avapritinib for the treatment of adults with unresectable or metastatic PDGFRA exon 18 mutant GIST. CStone also submitted an NDA to the Taiwan Food and Drug Administration, or the TFDA, for avapritinib for the indication of adult patients with unresectable or metastatic GIST harboring a PDGFRA exon 18 mutation, including PDGFRA D842V mutations, and received priority review designation from the TFDA.</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Treatment-Resistant EGFR-Mutated NSCLC</w:t>
      </w:r>
    </w:p>
    <w:p>
      <w:pPr>
        <w:spacing w:after="0" w:line="243"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We are developing two investigational EGFR inhibitors, BLU-701 and BLU-945, with the goal of addressing the most common on-target resistance mutations to currently available EGFR-targeted therapies. While the introduction of EGFR-targeted therapies, including osimertinib, has transformed the care of patients with EGFR-driven NSCLC, treatment resistance is a significant emerging unmet medical need.</w:t>
      </w:r>
    </w:p>
    <w:p>
      <w:pPr>
        <w:spacing w:after="0" w:line="221" w:lineRule="exact"/>
        <w:rPr>
          <w:sz w:val="20"/>
          <w:szCs w:val="20"/>
          <w:color w:val="auto"/>
        </w:rPr>
      </w:pPr>
    </w:p>
    <w:p>
      <w:pPr>
        <w:ind w:left="60" w:right="619" w:firstLine="648"/>
        <w:spacing w:after="0" w:line="264" w:lineRule="auto"/>
        <w:rPr>
          <w:sz w:val="20"/>
          <w:szCs w:val="20"/>
          <w:color w:val="auto"/>
        </w:rPr>
      </w:pPr>
      <w:r>
        <w:rPr>
          <w:rFonts w:ascii="Times New Roman" w:cs="Times New Roman" w:eastAsia="Times New Roman" w:hAnsi="Times New Roman"/>
          <w:sz w:val="17"/>
          <w:szCs w:val="17"/>
          <w:color w:val="auto"/>
        </w:rPr>
        <w:t>In addition to targeting EGFR resistance mutations, BLU-701 and BLU-945 were specifically designed for selectivity over wild-type EGFR and other kinases to enable potential improved tolerability and also combination strategies. In addition, in preclinical tumor models, both drug candidates have shown CNS activity, highlighting the potential to address CNS metastases which are more common in treatment-experienced NSCLC patients.</w:t>
      </w:r>
    </w:p>
    <w:p>
      <w:pPr>
        <w:spacing w:after="0" w:line="20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We plan to initially develop BLU-701 and BLU-945 as monotherapies and in combination with each other and other therapies to overcome treatment resistance in specific patient populations with EGFR-driven NSCLC.</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Double Mutant NSCLC — BLU-701</w:t>
      </w:r>
    </w:p>
    <w:p>
      <w:pPr>
        <w:spacing w:after="0" w:line="214" w:lineRule="exact"/>
        <w:rPr>
          <w:sz w:val="20"/>
          <w:szCs w:val="20"/>
          <w:color w:val="auto"/>
        </w:rPr>
      </w:pPr>
    </w:p>
    <w:p>
      <w:pPr>
        <w:jc w:val="both"/>
        <w:ind w:left="60" w:right="79" w:firstLine="648"/>
        <w:spacing w:after="0" w:line="256" w:lineRule="auto"/>
        <w:rPr>
          <w:sz w:val="20"/>
          <w:szCs w:val="20"/>
          <w:color w:val="auto"/>
        </w:rPr>
      </w:pPr>
      <w:r>
        <w:rPr>
          <w:rFonts w:ascii="Times New Roman" w:cs="Times New Roman" w:eastAsia="Times New Roman" w:hAnsi="Times New Roman"/>
          <w:sz w:val="17"/>
          <w:szCs w:val="17"/>
          <w:color w:val="auto"/>
        </w:rPr>
        <w:t>BLU-701 is a selective and potent investigational inhibitor of double-mutant EGFR harboring either the activating L858R or exon 19 deletion mutations combined with the acquired C797S mutation, the most common on-target resistance mutation to osimertinib. We plan to initially develop BLU-701 as a monotherapy and in combination with other therapies.</w:t>
      </w:r>
    </w:p>
    <w:p>
      <w:pPr>
        <w:spacing w:after="0" w:line="2" w:lineRule="exact"/>
        <w:rPr>
          <w:sz w:val="20"/>
          <w:szCs w:val="20"/>
          <w:color w:val="auto"/>
        </w:rPr>
      </w:pPr>
    </w:p>
    <w:p>
      <w:pPr>
        <w:jc w:val="both"/>
        <w:ind w:left="60" w:right="79"/>
        <w:spacing w:after="0" w:line="243" w:lineRule="auto"/>
        <w:rPr>
          <w:sz w:val="20"/>
          <w:szCs w:val="20"/>
          <w:color w:val="auto"/>
        </w:rPr>
      </w:pPr>
      <w:r>
        <w:rPr>
          <w:rFonts w:ascii="Times New Roman" w:cs="Times New Roman" w:eastAsia="Times New Roman" w:hAnsi="Times New Roman"/>
          <w:sz w:val="18"/>
          <w:szCs w:val="18"/>
          <w:color w:val="auto"/>
        </w:rPr>
        <w:t>We plan to present foundational preclinical data for BLU-701 in the first half of 2021, and we plan to initiate a Phase 1 trial of BLU-701 in the second half of 2021.</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EGFR-Positive Triple Mutant NSCLC — BLU-945</w:t>
      </w:r>
    </w:p>
    <w:p>
      <w:pPr>
        <w:spacing w:after="0" w:line="254" w:lineRule="exact"/>
        <w:rPr>
          <w:sz w:val="20"/>
          <w:szCs w:val="20"/>
          <w:color w:val="auto"/>
        </w:rPr>
      </w:pPr>
    </w:p>
    <w:p>
      <w:pPr>
        <w:ind w:left="60" w:right="199" w:firstLine="648"/>
        <w:spacing w:after="0" w:line="250" w:lineRule="auto"/>
        <w:rPr>
          <w:sz w:val="20"/>
          <w:szCs w:val="20"/>
          <w:color w:val="auto"/>
        </w:rPr>
      </w:pPr>
      <w:r>
        <w:rPr>
          <w:rFonts w:ascii="Times New Roman" w:cs="Times New Roman" w:eastAsia="Times New Roman" w:hAnsi="Times New Roman"/>
          <w:sz w:val="18"/>
          <w:szCs w:val="18"/>
          <w:color w:val="auto"/>
        </w:rPr>
        <w:t>BLU-945 is a selective and potent investigational inhibitor of triple-mutant EGFR harboring either the activating L858R or exon 19 deletion mutations combined with the acquired T790M and C797S mutations, the most common on-target resistance to first-generation EGFR inhibitors and osimertinib, respectively.</w:t>
      </w:r>
    </w:p>
    <w:p>
      <w:pPr>
        <w:spacing w:after="0" w:line="204"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In preclinical data presented in September 2020, BLU-945 inhibited triple mutant EGFR with sub-nanomolar potency and demonstrated greater than 900-fold selectivity over wild-type EGFR along with excellent overall kinome selectivity. In a triple mutant EGFR cell-line, BLU-945 potently inhibited the EGFR pathway, while osimertinib demonstrated limited activity. BLU-945 monotherapy resulted in robust anti-tumor activity in multiple cell line-derived and patient-derived xenograft models of triple mutant EGFR NSCLC. In addition, BLU-945 treatment in combination with osimertinib or gefitinib resulted in tumor regression in a triple mutant EGFR NSCLC patient-derived xenograft model, which was derived from a patient with progressive disease following five lines of prior therapy. BLU-945 was also highly active in an intracranial disease model.</w:t>
      </w:r>
    </w:p>
    <w:p>
      <w:pPr>
        <w:spacing w:after="0" w:line="228"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Based on these preclinical proof-of-concept data, we plan to initially develop BLU-945 as a monotherapy and in combination with other agents. We plan to initiate a Phase 1 trial of BLU-945 in patients with EGFR-driven NSCLC, in the first half of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Fisogatinib — Hepatocellular Carcinoma</w:t>
      </w:r>
    </w:p>
    <w:p>
      <w:pPr>
        <w:spacing w:after="0" w:line="108"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As part of our collaboration with CStone, we are evaluating fisogatinib as a monotherapy and in combination with sugemalimab, a clinical-stage anti-PDL1 immunotherapy being developed by CStone, for the treatment of locally advanced or metastatic HCC in an ongoing Phase 1b/2 trial conducted in multiple clinical sites in China. The FDA has granted orphan drug designation to fisogatinib for the treatment of HCC.</w:t>
      </w:r>
    </w:p>
    <w:p>
      <w:pPr>
        <w:spacing w:after="0" w:line="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Discovery Platform</w:t>
      </w:r>
    </w:p>
    <w:p>
      <w:pPr>
        <w:spacing w:after="0" w:line="108" w:lineRule="exact"/>
        <w:rPr>
          <w:sz w:val="20"/>
          <w:szCs w:val="20"/>
          <w:color w:val="auto"/>
        </w:rPr>
      </w:pPr>
    </w:p>
    <w:p>
      <w:pPr>
        <w:jc w:val="both"/>
        <w:ind w:left="60" w:right="319" w:firstLine="648"/>
        <w:spacing w:after="0" w:line="250" w:lineRule="auto"/>
        <w:rPr>
          <w:sz w:val="20"/>
          <w:szCs w:val="20"/>
          <w:color w:val="auto"/>
        </w:rPr>
      </w:pPr>
      <w:r>
        <w:rPr>
          <w:rFonts w:ascii="Times New Roman" w:cs="Times New Roman" w:eastAsia="Times New Roman" w:hAnsi="Times New Roman"/>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w:t>
      </w:r>
    </w:p>
    <w:p>
      <w:pPr>
        <w:spacing w:after="0" w:line="69" w:lineRule="exact"/>
        <w:rPr>
          <w:sz w:val="20"/>
          <w:szCs w:val="20"/>
          <w:color w:val="auto"/>
        </w:rPr>
      </w:pPr>
    </w:p>
    <w:p>
      <w:pPr>
        <w:ind w:left="60" w:right="539"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discovery programs for treatment-resistant EGFR-mutated NSCLC, we currently have the following wholly-owned discovery programs:</w:t>
      </w:r>
    </w:p>
    <w:p>
      <w:pPr>
        <w:spacing w:after="0" w:line="52" w:lineRule="exact"/>
        <w:rPr>
          <w:sz w:val="20"/>
          <w:szCs w:val="20"/>
          <w:color w:val="auto"/>
        </w:rPr>
      </w:pPr>
    </w:p>
    <w:p>
      <w:pPr>
        <w:ind w:left="1380" w:right="239" w:hanging="331"/>
        <w:spacing w:after="0" w:line="243"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CDK2 Discovery Program. </w:t>
      </w:r>
      <w:r>
        <w:rPr>
          <w:rFonts w:ascii="Times New Roman" w:cs="Times New Roman" w:eastAsia="Times New Roman" w:hAnsi="Times New Roman"/>
          <w:sz w:val="18"/>
          <w:szCs w:val="18"/>
          <w:color w:val="auto"/>
        </w:rPr>
        <w:t>In February 2021, we announced a discovery program targeting CDK2.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CDK2, a cyclin-dependent kinase involved in cell cycle biology, is activated by its regulatory partner Cyclin E, and can drive cancer cell proliferation when Cyclin E is aberrantly expressed. Dysregulated Cyclin E is associated with multiple malignancies and has been shown to be a mechanism of resistance to targeted therapies, including CDK4/6 inhibitors.</w:t>
      </w:r>
    </w:p>
    <w:p>
      <w:pPr>
        <w:spacing w:after="0" w:line="72" w:lineRule="exact"/>
        <w:rPr>
          <w:rFonts w:ascii="Times New Roman" w:cs="Times New Roman" w:eastAsia="Times New Roman" w:hAnsi="Times New Roman"/>
          <w:sz w:val="18"/>
          <w:szCs w:val="18"/>
          <w:color w:val="auto"/>
        </w:rPr>
      </w:pPr>
    </w:p>
    <w:p>
      <w:pPr>
        <w:ind w:left="1380" w:right="79" w:hanging="331"/>
        <w:spacing w:after="0" w:line="268" w:lineRule="auto"/>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Discovery Programs. </w:t>
      </w:r>
      <w:r>
        <w:rPr>
          <w:rFonts w:ascii="Times New Roman" w:cs="Times New Roman" w:eastAsia="Times New Roman" w:hAnsi="Times New Roman"/>
          <w:sz w:val="18"/>
          <w:szCs w:val="18"/>
          <w:color w:val="auto"/>
        </w:rPr>
        <w:t>In addition to the discovery programs described above, we have two wholly-owned pre-development candidate programs for undisclosed kinase targets.</w:t>
      </w:r>
    </w:p>
    <w:p>
      <w:pPr>
        <w:spacing w:after="0" w:line="53" w:lineRule="exact"/>
        <w:rPr>
          <w:sz w:val="20"/>
          <w:szCs w:val="20"/>
          <w:color w:val="auto"/>
        </w:rPr>
      </w:pPr>
    </w:p>
    <w:p>
      <w:pPr>
        <w:ind w:left="60" w:right="399" w:firstLine="648"/>
        <w:spacing w:after="0" w:line="245" w:lineRule="auto"/>
        <w:rPr>
          <w:sz w:val="20"/>
          <w:szCs w:val="20"/>
          <w:color w:val="auto"/>
        </w:rPr>
      </w:pPr>
      <w:r>
        <w:rPr>
          <w:rFonts w:ascii="Times New Roman" w:cs="Times New Roman" w:eastAsia="Times New Roman" w:hAnsi="Times New Roman"/>
          <w:sz w:val="18"/>
          <w:szCs w:val="18"/>
          <w:color w:val="auto"/>
        </w:rPr>
        <w:t>Under our immunotherapy collaboration with Roche, we are conducting activities for up to two discovery programs, including a development candidate for the kinase target MAP4K1. See “</w:t>
      </w:r>
      <w:r>
        <w:rPr>
          <w:rFonts w:ascii="Times New Roman" w:cs="Times New Roman" w:eastAsia="Times New Roman" w:hAnsi="Times New Roman"/>
          <w:sz w:val="18"/>
          <w:szCs w:val="18"/>
          <w:i w:val="1"/>
          <w:iCs w:val="1"/>
          <w:color w:val="auto"/>
        </w:rPr>
        <w:t>—Collaborations and Licenses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w:t>
      </w:r>
      <w:r>
        <w:rPr>
          <w:rFonts w:ascii="Times New Roman" w:cs="Times New Roman" w:eastAsia="Times New Roman" w:hAnsi="Times New Roman"/>
          <w:sz w:val="18"/>
          <w:szCs w:val="18"/>
          <w:color w:val="auto"/>
        </w:rPr>
        <w:t>” below. We plan to present initial preclinical data for our MAP4K1 development candidate in the first 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w:t>
      </w:r>
    </w:p>
    <w:p>
      <w:pPr>
        <w:spacing w:after="0" w:line="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Collaborations and Licenses</w:t>
      </w:r>
    </w:p>
    <w:p>
      <w:pPr>
        <w:spacing w:after="0" w:line="106" w:lineRule="exact"/>
        <w:rPr>
          <w:sz w:val="20"/>
          <w:szCs w:val="20"/>
          <w:color w:val="auto"/>
        </w:rPr>
      </w:pPr>
    </w:p>
    <w:p>
      <w:pPr>
        <w:ind w:left="60" w:right="2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Roche—Immunotherapy Collaboration</w:t>
      </w:r>
      <w:r>
        <w:rPr>
          <w:rFonts w:ascii="Times New Roman" w:cs="Times New Roman" w:eastAsia="Times New Roman" w:hAnsi="Times New Roman"/>
          <w:sz w:val="18"/>
          <w:szCs w:val="18"/>
          <w:color w:val="auto"/>
        </w:rPr>
        <w:t>. In March 2016, we entered into a collaboration with Roche to discover,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commercialize up to two small molecule therapeutics targeting kinases believed to be important in cancer immunotherapy (including the kinase target MAP4K1, which is believed to play a role in T cell regulation), as single products or possibly in combination with other therapeutics.</w:t>
      </w:r>
    </w:p>
    <w:p>
      <w:pPr>
        <w:spacing w:after="0" w:line="69" w:lineRule="exact"/>
        <w:rPr>
          <w:sz w:val="20"/>
          <w:szCs w:val="20"/>
          <w:color w:val="auto"/>
        </w:rPr>
      </w:pPr>
    </w:p>
    <w:p>
      <w:pPr>
        <w:ind w:left="60" w:right="279" w:firstLine="648"/>
        <w:spacing w:after="0"/>
        <w:rPr>
          <w:sz w:val="20"/>
          <w:szCs w:val="20"/>
          <w:color w:val="auto"/>
        </w:rPr>
      </w:pPr>
      <w:r>
        <w:rPr>
          <w:rFonts w:ascii="Times New Roman" w:cs="Times New Roman" w:eastAsia="Times New Roman" w:hAnsi="Times New Roman"/>
          <w:sz w:val="18"/>
          <w:szCs w:val="18"/>
          <w:i w:val="1"/>
          <w:iCs w:val="1"/>
          <w:color w:val="auto"/>
        </w:rPr>
        <w:t>Roche—Pralsetinib Collaboration</w:t>
      </w:r>
      <w:r>
        <w:rPr>
          <w:rFonts w:ascii="Times New Roman" w:cs="Times New Roman" w:eastAsia="Times New Roman" w:hAnsi="Times New Roman"/>
          <w:sz w:val="18"/>
          <w:szCs w:val="18"/>
          <w:color w:val="auto"/>
        </w:rPr>
        <w:t>. In July 2020, we entered into a collaboration with Roche to develop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also plan to co-develop pralsetinib globally in RET-altered solid tumors, including NSCLC, MTC and other thyroid cancers, and expand development of pralsetinib in multiple treatment settings. Further, we and Roche plan to explore development of a next-generation RET inhibitor as part of the collaboration.</w:t>
      </w:r>
    </w:p>
    <w:p>
      <w:pPr>
        <w:spacing w:after="0" w:line="77" w:lineRule="exact"/>
        <w:rPr>
          <w:sz w:val="20"/>
          <w:szCs w:val="20"/>
          <w:color w:val="auto"/>
        </w:rPr>
      </w:pPr>
    </w:p>
    <w:p>
      <w:pPr>
        <w:ind w:left="60" w:right="43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CStone</w:t>
      </w:r>
      <w:r>
        <w:rPr>
          <w:rFonts w:ascii="Times New Roman" w:cs="Times New Roman" w:eastAsia="Times New Roman" w:hAnsi="Times New Roman"/>
          <w:sz w:val="18"/>
          <w:szCs w:val="18"/>
          <w:color w:val="auto"/>
        </w:rPr>
        <w:t>. In June 2018, we entered into a collaboration with CStone to develop and commercialize avapritinib,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pralsetinib and fisogatinib, including back-up forms and certain other forms, in the CStone territory either as a monotherapy or as part of a combination therapy.</w:t>
      </w:r>
    </w:p>
    <w:p>
      <w:pPr>
        <w:spacing w:after="0" w:line="66"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i w:val="1"/>
          <w:iCs w:val="1"/>
          <w:color w:val="auto"/>
        </w:rPr>
        <w:t>Clementia</w:t>
      </w:r>
      <w:r>
        <w:rPr>
          <w:rFonts w:ascii="Times New Roman" w:cs="Times New Roman" w:eastAsia="Times New Roman" w:hAnsi="Times New Roman"/>
          <w:sz w:val="18"/>
          <w:szCs w:val="18"/>
          <w:color w:val="auto"/>
        </w:rPr>
        <w:t>. In October 2019, we entered into a license agreement with Clementia Pharmaceuticals, Inc.,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79"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collaborations, partnerships and license agreements to capitalize on our discovery platform outside of our primary strategic focus area of cancer and rare diseases.</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Note on the COVID-19 Pandemic</w:t>
      </w:r>
    </w:p>
    <w:p>
      <w:pPr>
        <w:spacing w:after="0" w:line="256" w:lineRule="exact"/>
        <w:rPr>
          <w:sz w:val="20"/>
          <w:szCs w:val="20"/>
          <w:color w:val="auto"/>
        </w:rPr>
      </w:pPr>
    </w:p>
    <w:p>
      <w:pPr>
        <w:ind w:left="60" w:right="99" w:firstLine="648"/>
        <w:spacing w:after="0" w:line="236" w:lineRule="auto"/>
        <w:rPr>
          <w:sz w:val="20"/>
          <w:szCs w:val="20"/>
          <w:color w:val="auto"/>
        </w:rPr>
      </w:pPr>
      <w:r>
        <w:rPr>
          <w:rFonts w:ascii="Times New Roman" w:cs="Times New Roman" w:eastAsia="Times New Roman" w:hAnsi="Times New Roman"/>
          <w:sz w:val="18"/>
          <w:szCs w:val="18"/>
          <w:color w:val="auto"/>
        </w:rPr>
        <w:t>Due to the continued evolution and uncertain global impacts of the COVID-19 pandemic, we cannot precisely determine or quantify the impact this pandemic will have on our business, operations and financial performance. In 2020, we initially established a work-from-home policy for all employees, other than those performing or supporting business-critical activities, such as certain members of our laboratory and facilities staff. While the majority of employees continue to work from home, we have continued to evaluate and update this policy for each of our locations and field-based employees based on guidance from federal, state and local government authorities and the severity of the pandemic. For our ongoing and planned clinical trials, while we anticipate and have experienced some delays or disruptions due to the COVID-19 pandemic, in particular with respect to activation of additional clinical trial sites and patient enrollment rates, we have continued to work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or plans for supply to meet our anticipated global commercial and clinical development needs for our approved drugs and clinical-stage drug candidates through 2022. However, depending on the duration and impact of the COVID-19 pandemic on local and global supply chains, our suppliers could be adversely impacted, which may result in delays or disruptions in our current or future supply chain. For our commercial activities for AYVAKIT/AYVAKYT and GAVRETO, we are committed to continuing to serve the needs of healthcare providers, patients and other stakeholders during this critical time, including by conducting commercial and medical affairs field activities across our portfolio in virtual formats where possible. We will continue to assess the duration, scope and severity of the COVID-19 pandemic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 Item 1A of this Annual Report on Form 10-K for further discussion of risks related to the COVID-19 pandemic.</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56" w:lineRule="exact"/>
        <w:rPr>
          <w:sz w:val="20"/>
          <w:szCs w:val="20"/>
          <w:color w:val="auto"/>
        </w:rPr>
      </w:pPr>
    </w:p>
    <w:p>
      <w:pPr>
        <w:ind w:left="60" w:right="219" w:firstLine="648"/>
        <w:spacing w:after="0" w:line="239"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and a license agreement. Through December 31, 2020, we have received an aggregate of $2.9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$910.8 million in upfront and milestone payments under our collaborations with Roche and CStone, our license agreement with Clementia and our former collaboration with Alexion Pharma Holding, or Alexion. In addition, since January 2020, we have generated limited product revenue.</w:t>
      </w:r>
    </w:p>
    <w:p>
      <w:pPr>
        <w:spacing w:after="0" w:line="228"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with the exception of the year ended December 31, 2020. Our net income was $313.9 million for the year ended December 31, 2020 primarily due to the collaboration revenue recorded under our collaboration with Roche for pralsetinib. Our net losses were $347.7 million and $236.6 million for the years ended December 31, 2019 and 2018, respectively. As of December 31, 2020, we had an accumulated deficit of $631.4 million. We expect to continue to incur significant expenses and operating losses over the next few years. We anticipate that our expenses will continue to increase in connection with our ongoing activities, particularly as we:</w:t>
      </w:r>
    </w:p>
    <w:p>
      <w:pPr>
        <w:spacing w:after="0" w:line="212" w:lineRule="exact"/>
        <w:rPr>
          <w:sz w:val="20"/>
          <w:szCs w:val="20"/>
          <w:color w:val="auto"/>
        </w:rPr>
      </w:pPr>
    </w:p>
    <w:p>
      <w:pPr>
        <w:ind w:left="1380" w:right="199" w:hanging="331"/>
        <w:spacing w:after="0" w:line="250"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our sales, marketing and distribution infrastructure to continue to commercialize AYVAKIT/AYVAKYT, GAVRETO and any current or future drug candidates for which we may obtain marketing approval;</w:t>
      </w:r>
    </w:p>
    <w:p>
      <w:pPr>
        <w:spacing w:after="0" w:line="176"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 for our drug candidates, including for avapritinib and pralsetinib in additional indications or in additional geographies;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99" w:hanging="331"/>
        <w:spacing w:after="0" w:line="266"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clinical development activities for avapritinib and pralsetinib and initiate or advance clinical development activities for other current or future drug candidates;</w:t>
      </w:r>
    </w:p>
    <w:p>
      <w:pPr>
        <w:spacing w:after="0" w:line="162" w:lineRule="exact"/>
        <w:rPr>
          <w:rFonts w:ascii="Times New Roman" w:cs="Times New Roman" w:eastAsia="Times New Roman" w:hAnsi="Times New Roman"/>
          <w:sz w:val="18"/>
          <w:szCs w:val="18"/>
          <w:color w:val="auto"/>
        </w:rPr>
      </w:pPr>
    </w:p>
    <w:p>
      <w:pPr>
        <w:jc w:val="both"/>
        <w:ind w:left="1380" w:right="659" w:hanging="331"/>
        <w:spacing w:after="0" w:line="250"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discover, validate and develop additional drug candidates or development candidates, including our discovery programs for treatment-resistant EGFR-mutated NSCLC and our CDK2 discovery program;</w:t>
      </w:r>
    </w:p>
    <w:p>
      <w:pPr>
        <w:spacing w:after="0" w:line="176" w:lineRule="exact"/>
        <w:rPr>
          <w:rFonts w:ascii="Times New Roman" w:cs="Times New Roman" w:eastAsia="Times New Roman" w:hAnsi="Times New Roman"/>
          <w:sz w:val="18"/>
          <w:szCs w:val="18"/>
          <w:color w:val="auto"/>
        </w:rPr>
      </w:pPr>
    </w:p>
    <w:p>
      <w:pPr>
        <w:ind w:left="1380" w:right="79" w:hanging="331"/>
        <w:spacing w:after="0" w:line="266"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manufacture increasing quantities of drug substance and drug product material for use in pre-clinical studies, clinical trials and commercialization;</w:t>
      </w:r>
    </w:p>
    <w:p>
      <w:pPr>
        <w:spacing w:after="0" w:line="162" w:lineRule="exact"/>
        <w:rPr>
          <w:rFonts w:ascii="Times New Roman" w:cs="Times New Roman" w:eastAsia="Times New Roman" w:hAnsi="Times New Roman"/>
          <w:sz w:val="18"/>
          <w:szCs w:val="18"/>
          <w:color w:val="auto"/>
        </w:rPr>
      </w:pPr>
    </w:p>
    <w:p>
      <w:pPr>
        <w:ind w:left="1380" w:right="179" w:hanging="331"/>
        <w:spacing w:after="0" w:line="266"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development and commercialization activities for companion diagnostic tests for our drugs and drug candidates;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research and development activities under our collaborations with Roche and CStone;</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11" w:lineRule="exact"/>
        <w:rPr>
          <w:rFonts w:ascii="Times New Roman" w:cs="Times New Roman" w:eastAsia="Times New Roman" w:hAnsi="Times New Roman"/>
          <w:sz w:val="18"/>
          <w:szCs w:val="18"/>
          <w:color w:val="auto"/>
        </w:rPr>
      </w:pPr>
    </w:p>
    <w:p>
      <w:pPr>
        <w:ind w:left="1380" w:right="659" w:hanging="331"/>
        <w:spacing w:after="0" w:line="266"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additional businesses, technologies, drugs or drug candidates, form strategic alliances or create joint ventures with third parties; and</w:t>
      </w:r>
    </w:p>
    <w:p>
      <w:pPr>
        <w:spacing w:after="0" w:line="162" w:lineRule="exact"/>
        <w:rPr>
          <w:rFonts w:ascii="Times New Roman" w:cs="Times New Roman" w:eastAsia="Times New Roman" w:hAnsi="Times New Roman"/>
          <w:sz w:val="18"/>
          <w:szCs w:val="18"/>
          <w:color w:val="auto"/>
        </w:rPr>
      </w:pPr>
    </w:p>
    <w:p>
      <w:pPr>
        <w:ind w:left="1380" w:right="679" w:hanging="331"/>
        <w:spacing w:after="0" w:line="266" w:lineRule="auto"/>
        <w:tabs>
          <w:tab w:leader="none" w:pos="1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clinical, quality, manufacturing, regulatory, commercial and general and administrative personnel.</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left="60" w:right="239" w:firstLine="648"/>
        <w:spacing w:after="0"/>
        <w:rPr>
          <w:sz w:val="20"/>
          <w:szCs w:val="20"/>
          <w:color w:val="auto"/>
        </w:rPr>
      </w:pPr>
      <w:r>
        <w:rPr>
          <w:rFonts w:ascii="Times New Roman" w:cs="Times New Roman" w:eastAsia="Times New Roman" w:hAnsi="Times New Roman"/>
          <w:sz w:val="18"/>
          <w:szCs w:val="18"/>
          <w:color w:val="auto"/>
        </w:rPr>
        <w:t>In January 2020, the FDA granted approval of avapritinib under the brand name AYVAKIT for the treatment of adults with unresectable or metastatic GIST harboring a PDGFRA exon 18 mutation, including PDGFRA D842V mutations. In September 2020, the FDA granted accelerated approval to pralsetinib under the brand name GAVRETO for the treatment of adult patients with metastatic RET fusion-positive NSCLC as detected by an FDA approved test, and the European Commission granted conditional marketing authorization to avapritinib under the brand name AYVAKYT as a monotherapy for the treatment of adult patients with unresectable or metastatic GIST harboring the PDGFRA D842V mutation.</w:t>
      </w:r>
    </w:p>
    <w:p>
      <w:pPr>
        <w:spacing w:after="0" w:line="212"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For the year ended December 31, 2020, our revenue primarily consisted of sales of AYVAKIT/AYVAKYT, GAVRETO and collaboration revenue under our collaborations with Roche and CStone. Collaboration revenue for the year ended December 31, 2020 primarily includes amounts that were recognized related to upfront payments, milestone payments, the equity premium from Roche, and amounts due to us for supply of inventory (under our collaboration agreements) and research and development services.</w:t>
      </w:r>
    </w:p>
    <w:p>
      <w:pPr>
        <w:spacing w:after="0" w:line="225"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In the future, we expect to generate revenue from a combination of sales of AYVAKIT/AYVAKYT, GAVRETO and any current or future drug candidates for which we receive marketing approval, royalties on product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43"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Our cost of sales includes the cost of producing and distributing inventories that are related to product revenue during the respective period, including salary related and stock-based compensation expense for employees involved with production and distribution, freight, and indirect overhead costs. In addition, shipping and handling costs for product shipments are recorded in cost of sales as incurred.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Prior to receiving FDA approval for AYVAKIT and GAVRETO in January 2020 and September 2020, respectively, we manufactured inventory to be sold upon commercialization and recorded approximately $36.3 million related to this inventory as research and development expense. As a result, the manufacturing costs related to the inventory build-up incurred before FDA approval were expensed in a prior period and are therefore excluded from the cost of goods sold for the year ended December 31, 2020. We estimate our cost of goods sold as a percentage of net product revenue will continue to be positively impacted as we sell through certain inventory that was previously expensed prior to FDA approval. We expect to utilize zero cost inventory for an extended period of time.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41" w:lineRule="exact"/>
        <w:rPr>
          <w:sz w:val="20"/>
          <w:szCs w:val="20"/>
          <w:color w:val="auto"/>
        </w:rPr>
      </w:pPr>
    </w:p>
    <w:p>
      <w:pPr>
        <w:ind w:left="60" w:right="719" w:firstLine="648"/>
        <w:spacing w:after="0" w:line="296"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79" w:lineRule="exact"/>
        <w:rPr>
          <w:sz w:val="20"/>
          <w:szCs w:val="20"/>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211" w:lineRule="exact"/>
        <w:rPr>
          <w:rFonts w:ascii="Times New Roman" w:cs="Times New Roman" w:eastAsia="Times New Roman" w:hAnsi="Times New Roman"/>
          <w:sz w:val="18"/>
          <w:szCs w:val="18"/>
          <w:color w:val="auto"/>
        </w:rPr>
      </w:pPr>
    </w:p>
    <w:p>
      <w:pPr>
        <w:ind w:left="1380" w:right="519" w:hanging="331"/>
        <w:spacing w:after="0" w:line="26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that conduct research and development, pre-clinical activities, clinical activities and manufacturing on our behalf;</w:t>
      </w:r>
    </w:p>
    <w:p>
      <w:pPr>
        <w:spacing w:after="0" w:line="162" w:lineRule="exact"/>
        <w:rPr>
          <w:rFonts w:ascii="Times New Roman" w:cs="Times New Roman" w:eastAsia="Times New Roman" w:hAnsi="Times New Roman"/>
          <w:sz w:val="18"/>
          <w:szCs w:val="18"/>
          <w:color w:val="auto"/>
        </w:rPr>
      </w:pPr>
    </w:p>
    <w:p>
      <w:pPr>
        <w:ind w:left="1380" w:right="379" w:hanging="331"/>
        <w:spacing w:after="0" w:line="26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for the development and commercialization of companion diagnostic tests;</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 connection with our research and development activities;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regulatory quality assurance and quality control operations;</w:t>
      </w:r>
    </w:p>
    <w:p>
      <w:pPr>
        <w:spacing w:after="0" w:line="211" w:lineRule="exact"/>
        <w:rPr>
          <w:rFonts w:ascii="Times New Roman" w:cs="Times New Roman" w:eastAsia="Times New Roman" w:hAnsi="Times New Roman"/>
          <w:sz w:val="18"/>
          <w:szCs w:val="18"/>
          <w:color w:val="auto"/>
        </w:rPr>
      </w:pPr>
    </w:p>
    <w:p>
      <w:pPr>
        <w:ind w:left="1380" w:right="639" w:hanging="331"/>
        <w:spacing w:after="0" w:line="266"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 supplies and acquiring, developing and manufacturing pre-clinical study materials, clinical trial materials and commercial supply materials; and</w:t>
      </w:r>
    </w:p>
    <w:p>
      <w:pPr>
        <w:spacing w:after="0" w:line="162" w:lineRule="exact"/>
        <w:rPr>
          <w:rFonts w:ascii="Times New Roman" w:cs="Times New Roman" w:eastAsia="Times New Roman" w:hAnsi="Times New Roman"/>
          <w:sz w:val="18"/>
          <w:szCs w:val="18"/>
          <w:color w:val="auto"/>
        </w:rPr>
      </w:pPr>
    </w:p>
    <w:p>
      <w:pPr>
        <w:ind w:left="1380" w:right="319" w:hanging="331"/>
        <w:spacing w:after="0" w:line="250" w:lineRule="auto"/>
        <w:tabs>
          <w:tab w:leader="none" w:pos="13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17"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08" w:lineRule="exact"/>
        <w:rPr>
          <w:sz w:val="20"/>
          <w:szCs w:val="20"/>
          <w:color w:val="auto"/>
        </w:rPr>
      </w:pPr>
    </w:p>
    <w:p>
      <w:pPr>
        <w:ind w:left="60" w:right="279" w:firstLine="648"/>
        <w:spacing w:after="0" w:line="260" w:lineRule="auto"/>
        <w:rPr>
          <w:sz w:val="20"/>
          <w:szCs w:val="20"/>
          <w:color w:val="auto"/>
        </w:rPr>
      </w:pPr>
      <w:r>
        <w:rPr>
          <w:rFonts w:ascii="Times New Roman" w:cs="Times New Roman" w:eastAsia="Times New Roman" w:hAnsi="Times New Roman"/>
          <w:sz w:val="17"/>
          <w:szCs w:val="17"/>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210" w:lineRule="exact"/>
        <w:rPr>
          <w:sz w:val="20"/>
          <w:szCs w:val="20"/>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toxicology studies;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enrollment in, and completion of clinical trials;</w:t>
      </w:r>
    </w:p>
    <w:p>
      <w:pPr>
        <w:spacing w:after="0" w:line="211"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11" w:lineRule="exact"/>
        <w:rPr>
          <w:rFonts w:ascii="Times New Roman" w:cs="Times New Roman" w:eastAsia="Times New Roman" w:hAnsi="Times New Roman"/>
          <w:sz w:val="18"/>
          <w:szCs w:val="18"/>
          <w:color w:val="auto"/>
        </w:rPr>
      </w:pPr>
    </w:p>
    <w:p>
      <w:pPr>
        <w:ind w:left="1380" w:right="959" w:hanging="331"/>
        <w:spacing w:after="0" w:line="266" w:lineRule="auto"/>
        <w:tabs>
          <w:tab w:leader="none" w:pos="1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1139" w:hanging="331"/>
        <w:spacing w:after="0" w:line="266"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AYVAKIT/AYVAKYT, GAVRETO and our drug candidates;</w:t>
      </w:r>
    </w:p>
    <w:p>
      <w:pPr>
        <w:spacing w:after="0" w:line="162" w:lineRule="exact"/>
        <w:rPr>
          <w:rFonts w:ascii="Times New Roman" w:cs="Times New Roman" w:eastAsia="Times New Roman" w:hAnsi="Times New Roman"/>
          <w:sz w:val="18"/>
          <w:szCs w:val="18"/>
          <w:color w:val="auto"/>
        </w:rPr>
      </w:pPr>
    </w:p>
    <w:p>
      <w:pPr>
        <w:ind w:left="1380" w:right="339" w:hanging="331"/>
        <w:spacing w:after="0" w:line="266"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AYVAKIT/AYVAKYT, GAVRETO and our drug candidates, if and when approved, whether alone or in collaboration with others;</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AYVAKIT/AYVAKYT, GAVRETO and any future drug we may commercialize;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203"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215"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225" w:lineRule="exact"/>
        <w:rPr>
          <w:sz w:val="20"/>
          <w:szCs w:val="20"/>
          <w:color w:val="auto"/>
        </w:rPr>
      </w:pPr>
    </w:p>
    <w:p>
      <w:pPr>
        <w:ind w:left="60" w:right="179" w:firstLine="648"/>
        <w:spacing w:after="0" w:line="244" w:lineRule="auto"/>
        <w:rPr>
          <w:sz w:val="20"/>
          <w:szCs w:val="20"/>
          <w:color w:val="auto"/>
        </w:rPr>
      </w:pPr>
      <w:r>
        <w:rPr>
          <w:rFonts w:ascii="Times New Roman" w:cs="Times New Roman" w:eastAsia="Times New Roman" w:hAnsi="Times New Roman"/>
          <w:sz w:val="18"/>
          <w:szCs w:val="18"/>
          <w:color w:val="auto"/>
        </w:rPr>
        <w:t>The following table summarizes our external research and development expenses by program for the years ended December 31, 2020, 2019 and 2018. Other development and pre-development candidate expenses, unallocated expenses and internal research and development expenses have been classified separately.</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3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42"/>
        </w:trPr>
        <w:tc>
          <w:tcPr>
            <w:tcW w:w="3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Avapritinib external expenses</w:t>
            </w:r>
          </w:p>
        </w:tc>
        <w:tc>
          <w:tcPr>
            <w:tcW w:w="480" w:type="dxa"/>
            <w:vAlign w:val="bottom"/>
            <w:gridSpan w:val="2"/>
            <w:shd w:val="clear" w:color="auto" w:fill="CCEEFF"/>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77,074</w:t>
            </w:r>
          </w:p>
        </w:tc>
        <w:tc>
          <w:tcPr>
            <w:tcW w:w="440" w:type="dxa"/>
            <w:vAlign w:val="bottom"/>
            <w:gridSpan w:val="2"/>
            <w:shd w:val="clear" w:color="auto" w:fill="CCEEFF"/>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98,146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83,417</w:t>
            </w:r>
          </w:p>
        </w:tc>
        <w:tc>
          <w:tcPr>
            <w:tcW w:w="80" w:type="dxa"/>
            <w:vAlign w:val="bottom"/>
            <w:shd w:val="clear" w:color="auto" w:fill="CCEEFF"/>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Pralsetinib external expenses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63,066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78,689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44,099</w:t>
            </w:r>
          </w:p>
        </w:tc>
        <w:tc>
          <w:tcPr>
            <w:tcW w:w="80" w:type="dxa"/>
            <w:vAlign w:val="bottom"/>
          </w:tcPr>
          <w:p>
            <w:pPr>
              <w:spacing w:after="0"/>
              <w:rPr>
                <w:sz w:val="17"/>
                <w:szCs w:val="17"/>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Fisogatinib external expenses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4,190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6,496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10,167</w:t>
            </w:r>
          </w:p>
        </w:tc>
        <w:tc>
          <w:tcPr>
            <w:tcW w:w="80" w:type="dxa"/>
            <w:vAlign w:val="bottom"/>
            <w:shd w:val="clear" w:color="auto" w:fill="CCEEFF"/>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BLU-263 external expenses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14,138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4,575</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BLU-701/945 external expenses</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14,549</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5,397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2,791</w:t>
            </w:r>
          </w:p>
        </w:tc>
        <w:tc>
          <w:tcPr>
            <w:tcW w:w="80" w:type="dxa"/>
            <w:vAlign w:val="bottom"/>
            <w:shd w:val="clear" w:color="auto" w:fill="CCEEFF"/>
          </w:tcPr>
          <w:p>
            <w:pPr>
              <w:spacing w:after="0"/>
              <w:rPr>
                <w:sz w:val="17"/>
                <w:szCs w:val="17"/>
                <w:color w:val="auto"/>
              </w:rPr>
            </w:pPr>
          </w:p>
        </w:tc>
      </w:tr>
      <w:tr>
        <w:trPr>
          <w:trHeight w:val="184"/>
        </w:trPr>
        <w:tc>
          <w:tcPr>
            <w:tcW w:w="386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Other development and pre-development candidate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21"/>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expenses and unallocated expenses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53,917</w:t>
            </w:r>
          </w:p>
        </w:tc>
        <w:tc>
          <w:tcPr>
            <w:tcW w:w="80" w:type="dxa"/>
            <w:vAlign w:val="bottom"/>
          </w:tcPr>
          <w:p>
            <w:pPr>
              <w:spacing w:after="0"/>
              <w:rPr>
                <w:sz w:val="19"/>
                <w:szCs w:val="19"/>
                <w:color w:val="auto"/>
              </w:rPr>
            </w:pPr>
          </w:p>
        </w:tc>
      </w:tr>
      <w:tr>
        <w:trPr>
          <w:trHeight w:val="202"/>
        </w:trPr>
        <w:tc>
          <w:tcPr>
            <w:tcW w:w="38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Internal research and development expenses</w:t>
            </w: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98,434</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75,406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49,230</w:t>
            </w:r>
          </w:p>
        </w:tc>
        <w:tc>
          <w:tcPr>
            <w:tcW w:w="80" w:type="dxa"/>
            <w:vAlign w:val="bottom"/>
            <w:shd w:val="clear" w:color="auto" w:fill="CCEEFF"/>
          </w:tcPr>
          <w:p>
            <w:pPr>
              <w:spacing w:after="0"/>
              <w:rPr>
                <w:sz w:val="17"/>
                <w:szCs w:val="17"/>
                <w:color w:val="auto"/>
              </w:rPr>
            </w:pPr>
          </w:p>
        </w:tc>
      </w:tr>
      <w:tr>
        <w:trPr>
          <w:trHeight w:val="196"/>
        </w:trPr>
        <w:tc>
          <w:tcPr>
            <w:tcW w:w="3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Pr>
          <w:p>
            <w:pPr>
              <w:spacing w:after="0"/>
              <w:rPr>
                <w:sz w:val="17"/>
                <w:szCs w:val="17"/>
                <w:color w:val="auto"/>
              </w:rPr>
            </w:pP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326,860</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331,450</w:t>
            </w:r>
          </w:p>
        </w:tc>
        <w:tc>
          <w:tcPr>
            <w:tcW w:w="2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243,621</w:t>
            </w:r>
          </w:p>
        </w:tc>
        <w:tc>
          <w:tcPr>
            <w:tcW w:w="8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1020" w:right="419" w:hanging="322"/>
        <w:spacing w:after="0" w:line="250" w:lineRule="auto"/>
        <w:tabs>
          <w:tab w:leader="none" w:pos="10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Pralsetinib external expenses includes reimbursable expenses under our collaboration for pralsetinib with Roche, and other development and pre-development candidate expenses includes reimbursable expenses under our other collaboration agreements.</w:t>
      </w:r>
    </w:p>
    <w:p>
      <w:pPr>
        <w:spacing w:after="0" w:line="217"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and preparing regulatory filings. These</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rPr>
          <w:sz w:val="20"/>
          <w:szCs w:val="20"/>
          <w:color w:val="auto"/>
        </w:rPr>
      </w:pPr>
      <w:r>
        <w:rPr>
          <w:rFonts w:ascii="Times New Roman" w:cs="Times New Roman" w:eastAsia="Times New Roman" w:hAnsi="Times New Roman"/>
          <w:sz w:val="18"/>
          <w:szCs w:val="18"/>
          <w:color w:val="auto"/>
        </w:rPr>
        <w:t>increases will likely include the costs related to the implementation and expansion of clinical trial sites and related patient enrollment, monitoring, program management and manufacturing expenses for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with CStone, development activities under our collaboration for pralsetinib with Roche and development activities for companion diagnostic tests for current and future drug candidates.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54"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compensation and benefits, including stock-based compensation,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12"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54"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Interest income (expense), net consists primarily of income earned on cash equivalents and investments. We expect our interest income, net, will increase in future periods due to our increase in average investment balances following receipt of the upfront payments related to our collaboration with Roche for pralsetinib.</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Other income (expense), net consists primarily of foreign currency transaction gains or losses.</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41" w:lineRule="exact"/>
        <w:rPr>
          <w:sz w:val="20"/>
          <w:szCs w:val="20"/>
          <w:color w:val="auto"/>
        </w:rPr>
      </w:pPr>
    </w:p>
    <w:p>
      <w:pPr>
        <w:ind w:left="60" w:right="699" w:firstLine="648"/>
        <w:spacing w:after="0" w:line="296" w:lineRule="auto"/>
        <w:rPr>
          <w:sz w:val="20"/>
          <w:szCs w:val="20"/>
          <w:color w:val="auto"/>
        </w:rPr>
      </w:pPr>
      <w:r>
        <w:rPr>
          <w:rFonts w:ascii="Times New Roman" w:cs="Times New Roman" w:eastAsia="Times New Roman" w:hAnsi="Times New Roman"/>
          <w:sz w:val="17"/>
          <w:szCs w:val="17"/>
          <w:color w:val="auto"/>
        </w:rPr>
        <w:t>Income tax expense consists primarily of income taxes related to the taxable income generated from our collaboration with Roche for pralsetinib and our product sales in the state jurisdictions where we conduct business.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256"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218"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accounts receivable, inventory, accrued research and development expenses, available-for-sale investments, stock-based compensation and leases.</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6" w:name="page97"/>
    <w:bookmarkEnd w:id="9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2" w:lineRule="exact"/>
        <w:rPr>
          <w:sz w:val="20"/>
          <w:szCs w:val="20"/>
          <w:color w:val="auto"/>
        </w:rPr>
      </w:pPr>
    </w:p>
    <w:p>
      <w:pPr>
        <w:ind w:left="60" w:right="119" w:firstLine="690"/>
        <w:spacing w:after="0" w:line="238" w:lineRule="auto"/>
        <w:rPr>
          <w:sz w:val="20"/>
          <w:szCs w:val="20"/>
          <w:color w:val="auto"/>
        </w:rPr>
      </w:pPr>
      <w:r>
        <w:rPr>
          <w:rFonts w:ascii="Times New Roman" w:cs="Times New Roman" w:eastAsia="Times New Roman" w:hAnsi="Times New Roman"/>
          <w:sz w:val="18"/>
          <w:szCs w:val="18"/>
          <w:color w:val="auto"/>
        </w:rPr>
        <w:t xml:space="preserve">We account for contracts with customers in accordance with ASC Topic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ASC 606. We recognize revenue when our customer obtains control of promised goods or services,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that reflects the consideration which we expect to receive in exchange for those goods or services. To determine revenue recognition for arrangements that we determine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41" w:lineRule="exact"/>
        <w:rPr>
          <w:sz w:val="20"/>
          <w:szCs w:val="20"/>
          <w:color w:val="auto"/>
        </w:rPr>
      </w:pPr>
    </w:p>
    <w:p>
      <w:pPr>
        <w:ind w:left="60" w:right="219" w:firstLine="648"/>
        <w:spacing w:after="0" w:line="242" w:lineRule="auto"/>
        <w:rPr>
          <w:sz w:val="20"/>
          <w:szCs w:val="20"/>
          <w:color w:val="auto"/>
        </w:rPr>
      </w:pPr>
      <w:r>
        <w:rPr>
          <w:rFonts w:ascii="Times New Roman" w:cs="Times New Roman" w:eastAsia="Times New Roman" w:hAnsi="Times New Roman"/>
          <w:sz w:val="18"/>
          <w:szCs w:val="18"/>
          <w:color w:val="auto"/>
        </w:rPr>
        <w:t>We generated product revenue from sales of AYVAKIT and GAVRETO in the U.S. and sales of AYVAKYT in the European Union to a limited number of specialty distributors and specialty pharmacy providers. These customers subsequently resell the products or dispense the products directly to patients. In addition, we entered into arrangements with payors that provide for government mandated rebates, discounts and allowances with respect to the utilization of our products.</w:t>
      </w:r>
    </w:p>
    <w:p>
      <w:pPr>
        <w:spacing w:after="0" w:line="225" w:lineRule="exact"/>
        <w:rPr>
          <w:sz w:val="20"/>
          <w:szCs w:val="20"/>
          <w:color w:val="auto"/>
        </w:rPr>
      </w:pPr>
    </w:p>
    <w:p>
      <w:pPr>
        <w:ind w:left="60" w:right="179" w:firstLine="648"/>
        <w:spacing w:after="0" w:line="237" w:lineRule="auto"/>
        <w:rPr>
          <w:sz w:val="20"/>
          <w:szCs w:val="20"/>
          <w:color w:val="auto"/>
        </w:rPr>
      </w:pPr>
      <w:r>
        <w:rPr>
          <w:rFonts w:ascii="Times New Roman" w:cs="Times New Roman" w:eastAsia="Times New Roman" w:hAnsi="Times New Roman"/>
          <w:sz w:val="18"/>
          <w:szCs w:val="18"/>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our product. Reserves are established based on the amounts earned or to be claimed on the related sales. Where appropriate, we utilize the expected value method to determine the appropriate amount for estimates of variable consideration based on factors such as our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our estimates. If actual results vary from our estimates, we adjust these estimates, which would affect net product revenue and earnings in the period such variances become known.</w:t>
      </w:r>
    </w:p>
    <w:p>
      <w:pPr>
        <w:spacing w:after="0" w:line="230" w:lineRule="exact"/>
        <w:rPr>
          <w:sz w:val="20"/>
          <w:szCs w:val="20"/>
          <w:color w:val="auto"/>
        </w:rPr>
      </w:pPr>
    </w:p>
    <w:p>
      <w:pPr>
        <w:ind w:left="60" w:right="179" w:firstLine="648"/>
        <w:spacing w:after="0"/>
        <w:rPr>
          <w:sz w:val="20"/>
          <w:szCs w:val="20"/>
          <w:color w:val="auto"/>
        </w:rPr>
      </w:pPr>
      <w:r>
        <w:rPr>
          <w:rFonts w:ascii="Times New Roman" w:cs="Times New Roman" w:eastAsia="Times New Roman" w:hAnsi="Times New Roman"/>
          <w:sz w:val="18"/>
          <w:szCs w:val="18"/>
          <w:i w:val="1"/>
          <w:iCs w:val="1"/>
          <w:color w:val="auto"/>
        </w:rPr>
        <w:t>Chargebacks</w:t>
      </w:r>
      <w:r>
        <w:rPr>
          <w:rFonts w:ascii="Times New Roman" w:cs="Times New Roman" w:eastAsia="Times New Roman" w:hAnsi="Times New Roman"/>
          <w:sz w:val="18"/>
          <w:szCs w:val="18"/>
          <w:color w:val="auto"/>
        </w:rPr>
        <w:t>: Chargebacks for fees and discounts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 to qualified healthcare providers and government agencies at prices lower than the list prices charged to the customers who directly purchase the product from us. The customers charge us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212" w:lineRule="exact"/>
        <w:rPr>
          <w:sz w:val="20"/>
          <w:szCs w:val="20"/>
          <w:color w:val="auto"/>
        </w:rPr>
      </w:pPr>
    </w:p>
    <w:p>
      <w:pPr>
        <w:ind w:left="60" w:right="15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Government rebates</w:t>
      </w:r>
      <w:r>
        <w:rPr>
          <w:rFonts w:ascii="Times New Roman" w:cs="Times New Roman" w:eastAsia="Times New Roman" w:hAnsi="Times New Roman"/>
          <w:sz w:val="18"/>
          <w:szCs w:val="18"/>
          <w:color w:val="auto"/>
        </w:rPr>
        <w:t>: Government rebates consist of Medicare, Tricare and Medicaid rebates,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we also estimate the number of patients in the prescription drug coverage gap for whom we will owe a rebate under the Medicare Part D program.</w:t>
      </w:r>
    </w:p>
    <w:p>
      <w:pPr>
        <w:spacing w:after="0" w:line="221" w:lineRule="exact"/>
        <w:rPr>
          <w:sz w:val="20"/>
          <w:szCs w:val="20"/>
          <w:color w:val="auto"/>
        </w:rPr>
      </w:pPr>
    </w:p>
    <w:p>
      <w:pPr>
        <w:ind w:left="60" w:right="1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Trade discounts and allowances</w:t>
      </w:r>
      <w:r>
        <w:rPr>
          <w:rFonts w:ascii="Times New Roman" w:cs="Times New Roman" w:eastAsia="Times New Roman" w:hAnsi="Times New Roman"/>
          <w:sz w:val="18"/>
          <w:szCs w:val="18"/>
          <w:color w:val="auto"/>
        </w:rPr>
        <w:t>: We provide the customers with discounts that are explicitly stated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and recorded as a reduction of revenue in the period the related product revenue is recognized. In addition, we also receive sales order management, inventory management and data services from the customers in exchange for certain fees.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right="1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Product returns</w:t>
      </w:r>
      <w:r>
        <w:rPr>
          <w:rFonts w:ascii="Times New Roman" w:cs="Times New Roman" w:eastAsia="Times New Roman" w:hAnsi="Times New Roman"/>
          <w:sz w:val="18"/>
          <w:szCs w:val="18"/>
          <w:color w:val="auto"/>
        </w:rPr>
        <w:t>: We estimate the amount of product sales that may be returned by our customers and records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as a reduction of revenue in the period the related product revenue is recognized. We currently estimate product return liabilities using expected value method based on available industry data and our visibility into the inventory remaining in the distribution channel.</w:t>
      </w:r>
    </w:p>
    <w:p>
      <w:pPr>
        <w:spacing w:after="0" w:line="218" w:lineRule="exact"/>
        <w:rPr>
          <w:sz w:val="20"/>
          <w:szCs w:val="20"/>
          <w:color w:val="auto"/>
        </w:rPr>
      </w:pPr>
    </w:p>
    <w:p>
      <w:pPr>
        <w:jc w:val="both"/>
        <w:ind w:left="60" w:right="7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Other deductions</w:t>
      </w:r>
      <w:r>
        <w:rPr>
          <w:rFonts w:ascii="Times New Roman" w:cs="Times New Roman" w:eastAsia="Times New Roman" w:hAnsi="Times New Roman"/>
          <w:sz w:val="18"/>
          <w:szCs w:val="18"/>
          <w:color w:val="auto"/>
        </w:rPr>
        <w:t>: Co-pay assistance relates to financial assistance provided to qualified patients, whereby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 them with prescription drug co-payments required by the patient’s insurance provider. Reserves for co-pay assistance are recorded in the same period the related revenue is recognized, resulting in a reduction of product revenue.</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41" w:lineRule="exact"/>
        <w:rPr>
          <w:sz w:val="20"/>
          <w:szCs w:val="20"/>
          <w:color w:val="auto"/>
        </w:rPr>
      </w:pPr>
    </w:p>
    <w:p>
      <w:pPr>
        <w:ind w:left="60" w:right="299" w:firstLine="648"/>
        <w:spacing w:after="0" w:line="239" w:lineRule="auto"/>
        <w:rPr>
          <w:sz w:val="20"/>
          <w:szCs w:val="20"/>
          <w:color w:val="auto"/>
        </w:rPr>
      </w:pPr>
      <w:r>
        <w:rPr>
          <w:rFonts w:ascii="Times New Roman" w:cs="Times New Roman" w:eastAsia="Times New Roman" w:hAnsi="Times New Roman"/>
          <w:sz w:val="18"/>
          <w:szCs w:val="18"/>
          <w:color w:val="auto"/>
        </w:rPr>
        <w:t xml:space="preserve">At contract inception, we analyze our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ASC 808. This assessment is performed throughout the life of the arrangement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in the responsibilities of all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therefore within the scope of ASC 606.</w:t>
      </w:r>
    </w:p>
    <w:p>
      <w:pPr>
        <w:spacing w:after="0" w:line="228"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We evaluate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our products and product candidates in a collaboration arrangement, where we are the principal on sales transactions with third parties, we recognize revenue, cost of sales and operating expenses on a gross basis in their respective lines in our consolidated statements of operations and comprehensive income (loss). Where we are not the principal on sales transactions with third parties, we record our share of the revenues, cost of sales and operating expenses on a net basis as revenue (expenses) from the collaboration arrangement in our consolidated statements of operations and comprehensive income (loss).</w:t>
      </w:r>
    </w:p>
    <w:p>
      <w:pPr>
        <w:spacing w:after="0" w:line="229" w:lineRule="exact"/>
        <w:rPr>
          <w:sz w:val="20"/>
          <w:szCs w:val="20"/>
          <w:color w:val="auto"/>
        </w:rPr>
      </w:pPr>
    </w:p>
    <w:p>
      <w:pPr>
        <w:ind w:left="60" w:right="119" w:firstLine="648"/>
        <w:spacing w:after="0" w:line="252" w:lineRule="auto"/>
        <w:rPr>
          <w:sz w:val="20"/>
          <w:szCs w:val="20"/>
          <w:color w:val="auto"/>
        </w:rPr>
      </w:pPr>
      <w:r>
        <w:rPr>
          <w:rFonts w:ascii="Times New Roman" w:cs="Times New Roman" w:eastAsia="Times New Roman" w:hAnsi="Times New Roman"/>
          <w:sz w:val="17"/>
          <w:szCs w:val="17"/>
          <w:color w:val="auto"/>
        </w:rPr>
        <w:t>For elements accounted within scope of ASC 606, to determine the appropriate amount of revenue to be recognized for the arrangements,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We use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w:t>
      </w:r>
    </w:p>
    <w:p>
      <w:pPr>
        <w:spacing w:after="0" w:line="208"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Exclusive Licenses. </w:t>
      </w:r>
      <w:r>
        <w:rPr>
          <w:rFonts w:ascii="Times New Roman" w:cs="Times New Roman" w:eastAsia="Times New Roman" w:hAnsi="Times New Roman"/>
          <w:sz w:val="18"/>
          <w:szCs w:val="18"/>
          <w:color w:val="auto"/>
        </w:rPr>
        <w:t>If the license to our intellectual property is determined to be distinct from the other promises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performance obligations identified in the arrangement, we recognize revenue from non-refundable, upfront fees allocated to the license when the license is transferred to the customer and the customer is able to use and benefit from the license. In assessing whether a promise or performance obligation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1" w:lineRule="auto"/>
        <w:rPr>
          <w:sz w:val="20"/>
          <w:szCs w:val="20"/>
          <w:color w:val="auto"/>
        </w:rPr>
      </w:pPr>
      <w:r>
        <w:rPr>
          <w:rFonts w:ascii="Times New Roman" w:cs="Times New Roman" w:eastAsia="Times New Roman" w:hAnsi="Times New Roman"/>
          <w:sz w:val="18"/>
          <w:szCs w:val="18"/>
          <w:color w:val="auto"/>
        </w:rPr>
        <w:t>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22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promises under our collaboration agreements may include research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services to be performed by our employees on behalf of the partner. Payments or reimbursements resulting from our research and development efforts are recognized as revenue when the services are performed and presented on a gross basis because we are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224"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210"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Milestone Payments. </w:t>
      </w:r>
      <w:r>
        <w:rPr>
          <w:rFonts w:ascii="Times New Roman" w:cs="Times New Roman" w:eastAsia="Times New Roman" w:hAnsi="Times New Roman"/>
          <w:sz w:val="18"/>
          <w:szCs w:val="18"/>
          <w:color w:val="auto"/>
        </w:rPr>
        <w:t>At the inception of each arrangement that includes research or development milestone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we evaluate whether the milestones are considered probable of being achieved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226"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upon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sales and milestone payments based on a level of sales,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26" w:lineRule="exact"/>
        <w:rPr>
          <w:sz w:val="20"/>
          <w:szCs w:val="20"/>
          <w:color w:val="auto"/>
        </w:rPr>
      </w:pPr>
    </w:p>
    <w:p>
      <w:pPr>
        <w:ind w:left="60" w:right="139" w:firstLine="648"/>
        <w:spacing w:after="0" w:line="241" w:lineRule="auto"/>
        <w:rPr>
          <w:sz w:val="20"/>
          <w:szCs w:val="20"/>
          <w:color w:val="auto"/>
        </w:rPr>
      </w:pPr>
      <w:r>
        <w:rPr>
          <w:rFonts w:ascii="Times New Roman" w:cs="Times New Roman" w:eastAsia="Times New Roman" w:hAnsi="Times New Roman"/>
          <w:sz w:val="18"/>
          <w:szCs w:val="18"/>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If we transfer goods or services to a customer before the customer pays consideration or before payment is due, we record a contract asset as unbilled accounts receivable on the consolidated balance sheets.</w:t>
      </w:r>
    </w:p>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54"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Accounts receivables arise from product sales and amounts due from our collaboration partners. The amount from product sales represents amounts due from specialty pharmacy providers in the U.S. and in the European Union. We monitor economic conditions and the financial performance and credit worthiness of our counterparties to identify facts or circumstances that may indicate that our receivables are at risk of collection. We provide reserves against</w:t>
      </w:r>
    </w:p>
    <w:p>
      <w:pPr>
        <w:sectPr>
          <w:pgSz w:w="11900" w:h="16838" w:orient="portrait"/>
          <w:cols w:equalWidth="0" w:num="1">
            <w:col w:w="9019"/>
          </w:cols>
          <w:pgMar w:left="1440" w:top="513" w:right="1440" w:bottom="1440" w:gutter="0" w:footer="0" w:header="0"/>
        </w:sect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9" w:name="page100"/>
    <w:bookmarkEnd w:id="9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45" w:lineRule="auto"/>
        <w:rPr>
          <w:sz w:val="20"/>
          <w:szCs w:val="20"/>
          <w:color w:val="auto"/>
        </w:rPr>
      </w:pPr>
      <w:r>
        <w:rPr>
          <w:rFonts w:ascii="Times New Roman" w:cs="Times New Roman" w:eastAsia="Times New Roman" w:hAnsi="Times New Roman"/>
          <w:sz w:val="18"/>
          <w:szCs w:val="18"/>
          <w:color w:val="auto"/>
        </w:rPr>
        <w:t>accounts receivable for estimated losses that may result from a customer’s inability to pay based on the composition of our accounts receivable, considering past events, current economic conditions, and reasonable and supportable forecasts about the future economic conditions. The contractual life of our accounts receivable is generally short-term. Amounts determined to be uncollectible are charged or written-off against the reserve.</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54"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We classify our inventory costs as long-term when we expect to utilize the inventory beyond the normal operating cycle and include these costs in other assets in the consolidated balance sheets.</w:t>
      </w:r>
    </w:p>
    <w:p>
      <w:pPr>
        <w:spacing w:after="0" w:line="212" w:lineRule="exact"/>
        <w:rPr>
          <w:sz w:val="20"/>
          <w:szCs w:val="20"/>
          <w:color w:val="auto"/>
        </w:rPr>
      </w:pPr>
    </w:p>
    <w:p>
      <w:pPr>
        <w:ind w:left="60" w:right="359" w:firstLine="648"/>
        <w:spacing w:after="0" w:line="245" w:lineRule="auto"/>
        <w:rPr>
          <w:sz w:val="20"/>
          <w:szCs w:val="20"/>
          <w:color w:val="auto"/>
        </w:rPr>
      </w:pPr>
      <w:r>
        <w:rPr>
          <w:rFonts w:ascii="Times New Roman" w:cs="Times New Roman" w:eastAsia="Times New Roman" w:hAnsi="Times New Roman"/>
          <w:sz w:val="18"/>
          <w:szCs w:val="18"/>
          <w:color w:val="auto"/>
        </w:rPr>
        <w:t>Prior to the regulatory approval of our drug candidates, we incur expenses for the manufacture of drug product supplies to support clinical development that could potentially be available to support the commercial launch of those drugs. Until the date at which regulatory approval has been received or is otherwise considered probable, we record all such costs as research and development expenses.</w:t>
      </w:r>
    </w:p>
    <w:p>
      <w:pPr>
        <w:spacing w:after="0" w:line="221"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color w:val="auto"/>
        </w:rPr>
        <w:t>We perform an assessment of the recoverability of capitalized inventories during each reporting period and write down any excess and obsolete inventory to its net realizable value in the period in which the impairment is first identified. Such impairment charges, should they occur, are recorded as a component of cost of product sales in the condensed consolidated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Accrued Research and Development Expenses</w:t>
      </w:r>
    </w:p>
    <w:p>
      <w:pPr>
        <w:spacing w:after="0" w:line="241"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229"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229" w:lineRule="exact"/>
        <w:rPr>
          <w:sz w:val="20"/>
          <w:szCs w:val="20"/>
          <w:color w:val="auto"/>
        </w:rPr>
      </w:pPr>
    </w:p>
    <w:p>
      <w:pPr>
        <w:ind w:left="60" w:right="299" w:firstLine="648"/>
        <w:spacing w:after="0" w:line="245" w:lineRule="auto"/>
        <w:rPr>
          <w:sz w:val="20"/>
          <w:szCs w:val="20"/>
          <w:color w:val="auto"/>
        </w:rPr>
      </w:pPr>
      <w:r>
        <w:rPr>
          <w:rFonts w:ascii="Times New Roman" w:cs="Times New Roman" w:eastAsia="Times New Roman" w:hAnsi="Times New Roman"/>
          <w:sz w:val="18"/>
          <w:szCs w:val="18"/>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254"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mainly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39"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 xml:space="preserve">We account for stock-based compensation awards in accordance with ASC 718, </w:t>
      </w:r>
      <w:r>
        <w:rPr>
          <w:rFonts w:ascii="Times New Roman" w:cs="Times New Roman" w:eastAsia="Times New Roman" w:hAnsi="Times New Roman"/>
          <w:sz w:val="18"/>
          <w:szCs w:val="18"/>
          <w:i w:val="1"/>
          <w:iCs w:val="1"/>
          <w:color w:val="auto"/>
        </w:rPr>
        <w:t>Compensation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which we refer to as ASC 718. We expense the fair value of stock-based awards granted to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board of directors over the requisite service period, which is typically the vesting period. Compensation cost for stock-based awards issued to employees is measured using the estimated fair value at the grant date and is adjusted to reflect actual forfeitures. We estimate the fair value of options granted to employees at the date of grant using the Black-Scholes option-pricing model that requires management to apply judgment and make estimates, including:</w:t>
      </w:r>
    </w:p>
    <w:p>
      <w:pPr>
        <w:spacing w:after="0" w:line="226" w:lineRule="exact"/>
        <w:rPr>
          <w:sz w:val="20"/>
          <w:szCs w:val="20"/>
          <w:color w:val="auto"/>
        </w:rPr>
      </w:pPr>
    </w:p>
    <w:p>
      <w:pPr>
        <w:ind w:left="1380" w:right="99" w:hanging="331"/>
        <w:spacing w:after="0" w:line="254" w:lineRule="auto"/>
        <w:tabs>
          <w:tab w:leader="none" w:pos="13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volatility, which is calculated based a blend of our reported volatility data for the length of time that market data is available for our stock and the historical data for a representative group of publicly traded companies, for which historical information is available. For these analyses, we select companies with comparable characteristics to ours including enterprise value, risk profiles,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intend to consistently apply this process using representative companies until a sufficient amount of historical information regarding the volatility of our own share price becomes available;</w:t>
      </w:r>
    </w:p>
    <w:p>
      <w:pPr>
        <w:spacing w:after="0" w:line="176" w:lineRule="exact"/>
        <w:rPr>
          <w:rFonts w:ascii="Times New Roman" w:cs="Times New Roman" w:eastAsia="Times New Roman" w:hAnsi="Times New Roman"/>
          <w:sz w:val="17"/>
          <w:szCs w:val="17"/>
          <w:color w:val="auto"/>
        </w:rPr>
      </w:pPr>
    </w:p>
    <w:p>
      <w:pPr>
        <w:ind w:left="1380" w:right="559" w:hanging="331"/>
        <w:spacing w:after="0" w:line="26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is based on the U.S. Treasury yield curve in effect at the time of grant commensurate with the expected term assumption;</w:t>
      </w:r>
    </w:p>
    <w:p>
      <w:pPr>
        <w:spacing w:after="0" w:line="162" w:lineRule="exact"/>
        <w:rPr>
          <w:rFonts w:ascii="Times New Roman" w:cs="Times New Roman" w:eastAsia="Times New Roman" w:hAnsi="Times New Roman"/>
          <w:sz w:val="18"/>
          <w:szCs w:val="18"/>
          <w:color w:val="auto"/>
        </w:rPr>
      </w:pPr>
    </w:p>
    <w:p>
      <w:pPr>
        <w:ind w:left="1380" w:right="219" w:hanging="331"/>
        <w:spacing w:after="0" w:line="241"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which we calculate using the simplified method, as prescribed by the Securities and Exchange Commission Staff Accounting Bulletin No. 107, Share-Based Payment, as we have insufficient historical information regarding our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183" w:lineRule="exact"/>
        <w:rPr>
          <w:rFonts w:ascii="Times New Roman" w:cs="Times New Roman" w:eastAsia="Times New Roman" w:hAnsi="Times New Roman"/>
          <w:sz w:val="18"/>
          <w:szCs w:val="18"/>
          <w:color w:val="auto"/>
        </w:rPr>
      </w:pPr>
    </w:p>
    <w:p>
      <w:pPr>
        <w:ind w:left="1380" w:right="319" w:hanging="331"/>
        <w:spacing w:after="0" w:line="266" w:lineRule="auto"/>
        <w:tabs>
          <w:tab w:leader="none" w:pos="1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which is zero based on the fact that we never paid cash dividends and do not expect to pay any cash dividends in the foreseeable future.</w:t>
      </w:r>
    </w:p>
    <w:p>
      <w:pPr>
        <w:spacing w:after="0" w:line="203" w:lineRule="exact"/>
        <w:rPr>
          <w:sz w:val="20"/>
          <w:szCs w:val="20"/>
          <w:color w:val="auto"/>
        </w:rPr>
      </w:pPr>
    </w:p>
    <w:p>
      <w:pPr>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Stock-based awards issued to non-employees, including directors for non-board-related services, are accounted for based on the fair value of such services received or the fair value of the award granted on the grant date, whichever is more reliably measured. Stock-based awards subject to service-based vesting conditions are expensed on a straight-line basis over the vesting period.</w:t>
      </w:r>
    </w:p>
    <w:p>
      <w:pPr>
        <w:spacing w:after="0" w:line="208" w:lineRule="exact"/>
        <w:rPr>
          <w:sz w:val="20"/>
          <w:szCs w:val="20"/>
          <w:color w:val="auto"/>
        </w:rPr>
      </w:pPr>
    </w:p>
    <w:p>
      <w:pPr>
        <w:jc w:val="both"/>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The purchase price of common stock under our 2015 employee stock purchase plan, as amended, or 2015 ESPP, is equal to 85% of the lesser of (i) the fair market value per share of the common stock on the first business day of an offering period and (ii) the fair market value per share of the common stock on the purchase date. The fair value of</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6" w:lineRule="auto"/>
        <w:rPr>
          <w:sz w:val="20"/>
          <w:szCs w:val="20"/>
          <w:color w:val="auto"/>
        </w:rPr>
      </w:pPr>
      <w:r>
        <w:rPr>
          <w:rFonts w:ascii="Times New Roman" w:cs="Times New Roman" w:eastAsia="Times New Roman" w:hAnsi="Times New Roman"/>
          <w:sz w:val="17"/>
          <w:szCs w:val="17"/>
          <w:color w:val="auto"/>
        </w:rPr>
        <w:t>the discounted purchases made under our 2015 ESPP is calculated using the Black-Scholes valuation model. The fair value of the look-back provision plus the 15% discount is recognized as compensation expense over the 180-day purchase period.</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52"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 xml:space="preserve">Leases are accounted for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ASC 842.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213"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225" w:lineRule="exact"/>
        <w:rPr>
          <w:sz w:val="20"/>
          <w:szCs w:val="20"/>
          <w:color w:val="auto"/>
        </w:rPr>
      </w:pPr>
    </w:p>
    <w:p>
      <w:pPr>
        <w:jc w:val="both"/>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217" w:lineRule="exact"/>
        <w:rPr>
          <w:sz w:val="20"/>
          <w:szCs w:val="20"/>
          <w:color w:val="auto"/>
        </w:rPr>
      </w:pPr>
    </w:p>
    <w:p>
      <w:pPr>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w:t>
      </w:r>
    </w:p>
    <w:p>
      <w:pPr>
        <w:spacing w:after="0" w:line="212"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99" w:lineRule="exact"/>
        <w:rPr>
          <w:sz w:val="20"/>
          <w:szCs w:val="20"/>
          <w:color w:val="auto"/>
        </w:rPr>
      </w:pPr>
    </w:p>
    <w:p>
      <w:pPr>
        <w:ind w:left="60" w:right="199" w:firstLine="648"/>
        <w:spacing w:after="0" w:line="241" w:lineRule="auto"/>
        <w:rPr>
          <w:sz w:val="20"/>
          <w:szCs w:val="20"/>
          <w:color w:val="auto"/>
        </w:rPr>
      </w:pPr>
      <w:r>
        <w:rPr>
          <w:rFonts w:ascii="Times New Roman" w:cs="Times New Roman" w:eastAsia="Times New Roman" w:hAnsi="Times New Roman"/>
          <w:sz w:val="18"/>
          <w:szCs w:val="18"/>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224" w:lineRule="exact"/>
        <w:rPr>
          <w:sz w:val="20"/>
          <w:szCs w:val="20"/>
          <w:color w:val="auto"/>
        </w:rPr>
      </w:pPr>
    </w:p>
    <w:p>
      <w:pPr>
        <w:ind w:left="60" w:right="299" w:firstLine="648"/>
        <w:spacing w:after="0" w:line="250" w:lineRule="auto"/>
        <w:rPr>
          <w:sz w:val="20"/>
          <w:szCs w:val="20"/>
          <w:color w:val="auto"/>
        </w:rPr>
      </w:pPr>
      <w:r>
        <w:rPr>
          <w:rFonts w:ascii="Times New Roman" w:cs="Times New Roman" w:eastAsia="Times New Roman" w:hAnsi="Times New Roman"/>
          <w:sz w:val="18"/>
          <w:szCs w:val="18"/>
          <w:color w:val="auto"/>
        </w:rPr>
        <w:t>We have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2020 and 2019</w:t>
      </w:r>
    </w:p>
    <w:p>
      <w:pPr>
        <w:spacing w:after="0" w:line="256" w:lineRule="exact"/>
        <w:rPr>
          <w:sz w:val="20"/>
          <w:szCs w:val="20"/>
          <w:color w:val="auto"/>
        </w:rPr>
      </w:pPr>
    </w:p>
    <w:p>
      <w:pPr>
        <w:ind w:left="60" w:right="579" w:firstLine="648"/>
        <w:spacing w:after="0" w:line="249"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2020 and 2019, together with the changes in those items in dollars and as a percentage:</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22,134</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22,134</w:t>
            </w:r>
          </w:p>
        </w:tc>
        <w:tc>
          <w:tcPr>
            <w:tcW w:w="14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771,601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705,089</w:t>
            </w:r>
          </w:p>
        </w:tc>
        <w:tc>
          <w:tcPr>
            <w:tcW w:w="14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793,735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66,512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727,223</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1,093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Cost and operating expenses: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326,860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331,450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(4,590)</w:t>
            </w:r>
          </w:p>
        </w:tc>
        <w:tc>
          <w:tcPr>
            <w:tcW w:w="820" w:type="dxa"/>
            <w:vAlign w:val="bottom"/>
            <w:gridSpan w:val="2"/>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157,743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96,388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61,355</w:t>
            </w:r>
          </w:p>
        </w:tc>
        <w:tc>
          <w:tcPr>
            <w:tcW w:w="14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cost and operating expenses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485,028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427,838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57,190</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13,732</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(7,133)</w:t>
            </w:r>
          </w:p>
        </w:tc>
        <w:tc>
          <w:tcPr>
            <w:tcW w:w="820" w:type="dxa"/>
            <w:vAlign w:val="bottom"/>
            <w:gridSpan w:val="2"/>
            <w:shd w:val="clear" w:color="auto" w:fill="CCEE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03"/>
        </w:trPr>
        <w:tc>
          <w:tcPr>
            <w:tcW w:w="5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6,233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13,632</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(7,399)</w:t>
            </w: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2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314,940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(347,694)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662,634</w:t>
            </w:r>
          </w:p>
        </w:tc>
        <w:tc>
          <w:tcPr>
            <w:tcW w:w="14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313,882</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(347,694)</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661,576</w:t>
            </w:r>
          </w:p>
        </w:tc>
        <w:tc>
          <w:tcPr>
            <w:tcW w:w="1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254"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Product revenue, net was $22.1 million for the year ended December 31, 2020. We started generating revenue from sales of AYVAKIT in the first quarter of 2020 following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For the year ended December 31, 2020, we recorded net product revenue from the sale of AYVAKIT/AYVAKYT for a total of $21.2 million. 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 For the year ended December 31, 2020, we recorded net product revenue from the sale of GAVRETO for a total of $0.9 million.</w:t>
      </w:r>
    </w:p>
    <w:p>
      <w:pPr>
        <w:spacing w:after="0" w:line="23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41"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Collaboration revenue increased by $705.1 million from $66.5 million for the year ended December 31, 2019 to $771.6 million for the year ended December 31, 2020. For the year ended December 31, 2020, our collaboration revenue mainly consisted of $753.1 million in revenue under our collaboration agreement with Roche for pralsetinib, $14.6 million revenue under our cancer immunotherapy collaboration with Roche, and $3.6 million in revenue under our CStone collaboration. Revenue recognized under our collaboration with Roche for pralsetinib for the year ended</w:t>
      </w:r>
    </w:p>
    <w:p>
      <w:pPr>
        <w:spacing w:after="0" w:line="2"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December 31, 2020 consisted of $695.7 million upfront cash payment including the $20.7 million premium associated with the $100.0 million equity investment by Roche, $55.0 million in specified regulatory and commercialization milestone payments and $2.4 million associated with services related to Roche territory-specific activities. We recognized $14.6 million in revenue under our cancer immunotherapy collaboration with Roche for the year ended December 31, 2020, which was primarily related to the amortization of the total $64.5 million of upfront and milestone payments received as of such period. Revenue recognized under our CStone collaboration for the year ended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December 31, 2020 primarily consisted of $2.0 million in milestone revenue related to a development milestone that was achieved during the year and $1.6 million associated with drug supply related to CStone territory-specific activities.</w:t>
      </w:r>
    </w:p>
    <w:p>
      <w:pPr>
        <w:spacing w:after="0" w:line="203" w:lineRule="exact"/>
        <w:rPr>
          <w:sz w:val="20"/>
          <w:szCs w:val="20"/>
          <w:color w:val="auto"/>
        </w:rPr>
      </w:pPr>
    </w:p>
    <w:p>
      <w:pPr>
        <w:ind w:left="60" w:right="139" w:firstLine="648"/>
        <w:spacing w:after="0" w:line="254" w:lineRule="auto"/>
        <w:rPr>
          <w:sz w:val="20"/>
          <w:szCs w:val="20"/>
          <w:color w:val="auto"/>
        </w:rPr>
      </w:pPr>
      <w:r>
        <w:rPr>
          <w:rFonts w:ascii="Times New Roman" w:cs="Times New Roman" w:eastAsia="Times New Roman" w:hAnsi="Times New Roman"/>
          <w:sz w:val="17"/>
          <w:szCs w:val="17"/>
          <w:color w:val="auto"/>
        </w:rPr>
        <w:t>Collaboration revenue for the year ended December 31, 2019 consisted of $46.2 million revenue under the Clementia license agreement, $12.1 million in revenue under our CStone collaboration and $8.2 million revenue under our cancer immunotherapy collaboration with Roche. Revenue recognized under the Clementia license agreement for the year ended December 31, 2019 consisted of a $25.0 million upfront payment received, a $20.0 million cash milestone payment due and paid in the third quarter of 2020 and a $1.2 million inventory transfer. Revenue recognized under our CStone collaboration for the year ended December 31, 2019 primarily consisted of $12.0 million in milestone revenue related to several development and regulatory milestones that were achieved during the year. We recognized $8.2 million in revenue under our cancer immunotherapy collaboration with Roche for the year ended December 31, 2019, which was primarily related to the amortization of the total $63.0 million of upfront and milestone payments received during such period.</w:t>
      </w: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241" w:lineRule="exact"/>
        <w:rPr>
          <w:sz w:val="20"/>
          <w:szCs w:val="20"/>
          <w:color w:val="auto"/>
        </w:rPr>
      </w:pPr>
    </w:p>
    <w:p>
      <w:pPr>
        <w:ind w:left="60" w:right="99" w:firstLine="648"/>
        <w:spacing w:after="0" w:line="250" w:lineRule="auto"/>
        <w:rPr>
          <w:sz w:val="20"/>
          <w:szCs w:val="20"/>
          <w:color w:val="auto"/>
        </w:rPr>
      </w:pPr>
      <w:r>
        <w:rPr>
          <w:rFonts w:ascii="Times New Roman" w:cs="Times New Roman" w:eastAsia="Times New Roman" w:hAnsi="Times New Roman"/>
          <w:sz w:val="18"/>
          <w:szCs w:val="18"/>
          <w:color w:val="auto"/>
        </w:rPr>
        <w:t>Cost of sales was $0.4 million for the year ended December 31, 2020 and was related to manufacturing costs associated with our product sales. Costs associated with the manufacture of our drugs prior to FDA approval were recorded as research and development expenses and, therefore, are not included in cost of sales during such period.</w:t>
      </w: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54"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Research and development expense decreased by $4.6 million from $331.5 million for the year ended December 31, 2019 to $326.9 million for the year ended December 31, 2020. The decrease in research and development expense was primarily related to $20.5 million reimbursement from the global development cost sharing arrangement under our collaboration with Roche for pralsetinib and approximately $12.6 million in decreased expenses associated with clinical and commercial manufacturing activities. This decrease in research and development expense was primarily offset by an increase of approximately $18.7 million in personnel expense, primarily due to an increase in headcount, which was driven by growth in the clinical and manufacturing organizations and an increase of $5.0 million in stock-based compensation expense.</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54"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Selling, general and administrative expense increased by $61.4 million from $96.4 million for the year ended December 31, 2019 to $157.7 million for the year ended December 31, 2020. The increase in selling, general and administrative expense was primarily related to increased costs and personnel expenses, including an increase of $15.8 million in stock-based compensation expense, associated with building our commercial infrastructure and to support the overall growth of our business, as well as an increase of $17.5 million in commercial expenses to build our commercial infrastructure for commercialization of AYVAKIT/AYVAKYT and GAVRETO. The increase in selling, general and administrative expense was partially offset by a $10.6 million reimbursement in connection with the commercialization of GAVRETO in the U.S. under our collaboration with Roche for pralsetinib.</w:t>
      </w:r>
    </w:p>
    <w:p>
      <w:pPr>
        <w:spacing w:after="0" w:line="2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income (expense), net decreased by $7.1 million from $13.7 million for the year ended</w:t>
      </w:r>
    </w:p>
    <w:p>
      <w:pPr>
        <w:spacing w:after="0" w:line="16" w:lineRule="exact"/>
        <w:rPr>
          <w:sz w:val="20"/>
          <w:szCs w:val="20"/>
          <w:color w:val="auto"/>
        </w:rPr>
      </w:pPr>
    </w:p>
    <w:p>
      <w:pPr>
        <w:ind w:left="60" w:right="179"/>
        <w:spacing w:after="0" w:line="239" w:lineRule="auto"/>
        <w:rPr>
          <w:sz w:val="20"/>
          <w:szCs w:val="20"/>
          <w:color w:val="auto"/>
        </w:rPr>
      </w:pPr>
      <w:r>
        <w:rPr>
          <w:rFonts w:ascii="Times New Roman" w:cs="Times New Roman" w:eastAsia="Times New Roman" w:hAnsi="Times New Roman"/>
          <w:sz w:val="18"/>
          <w:szCs w:val="18"/>
          <w:color w:val="auto"/>
        </w:rPr>
        <w:t>December 31, 2019 to $6.6 million for the year ended December 31, 2020. The decrease was primarily due to a lower rate of return on investments caused by the severe liquidity crisis in the capital markets resulting from the COVID-19 pandemic.</w:t>
      </w:r>
    </w:p>
    <w:p>
      <w:pPr>
        <w:spacing w:after="0" w:line="22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Other expense, net increased by less than $0.3 million from $0.1 million for the year ended December 31, 2019 to $0.4 million for the year ended December 31, 2020. The increase was primarily related to changes in foreign currency exchange rates.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54"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Income tax expense consisted of $1.1 million for the year ended December 31, 2020, related to the income taxes provisions associated with the taxable income generated from our collaboration with Roche for pralsetinib and our product sales in certain state jurisdictions.</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2019 and 2018</w:t>
      </w:r>
    </w:p>
    <w:p>
      <w:pPr>
        <w:spacing w:after="0" w:line="243" w:lineRule="exact"/>
        <w:rPr>
          <w:sz w:val="20"/>
          <w:szCs w:val="20"/>
          <w:color w:val="auto"/>
        </w:rPr>
      </w:pPr>
    </w:p>
    <w:p>
      <w:pPr>
        <w:ind w:left="60" w:right="579" w:firstLine="648"/>
        <w:spacing w:after="0" w:line="249"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2019 and 2018, together with the changes in those items in dollars and as a percentage:</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69"/>
        </w:trPr>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98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8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gridSpan w:val="3"/>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Collaboration revenue</w:t>
            </w:r>
          </w:p>
        </w:tc>
        <w:tc>
          <w:tcPr>
            <w:tcW w:w="124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66,512</w:t>
            </w:r>
          </w:p>
        </w:tc>
        <w:tc>
          <w:tcPr>
            <w:tcW w:w="2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44,521</w:t>
            </w:r>
          </w:p>
        </w:tc>
        <w:tc>
          <w:tcPr>
            <w:tcW w:w="320" w:type="dxa"/>
            <w:vAlign w:val="bottom"/>
            <w:gridSpan w:val="2"/>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21,991</w:t>
            </w:r>
          </w:p>
        </w:tc>
        <w:tc>
          <w:tcPr>
            <w:tcW w:w="980" w:type="dxa"/>
            <w:vAlign w:val="bottom"/>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331,450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243,621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87,829</w:t>
            </w:r>
          </w:p>
        </w:tc>
        <w:tc>
          <w:tcPr>
            <w:tcW w:w="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96,388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47,928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48,460</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427,838</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291,549</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136,289</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income (expense), net</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10,566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3,166</w:t>
            </w:r>
          </w:p>
        </w:tc>
        <w:tc>
          <w:tcPr>
            <w:tcW w:w="82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(80)</w:t>
            </w:r>
          </w:p>
        </w:tc>
        <w:tc>
          <w:tcPr>
            <w:tcW w:w="8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other income (expense)</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10,386</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3,246</w:t>
            </w: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(347,694)</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(236,642)</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111,052</w:t>
            </w:r>
          </w:p>
        </w:tc>
        <w:tc>
          <w:tcPr>
            <w:tcW w:w="160" w:type="dxa"/>
            <w:vAlign w:val="bottom"/>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54"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Collaboration revenue increased by $22.0 million from $44.5 million for the year ended December 31, 2018 to $66.5 million for the year ended December 31, 2019. Collaboration revenue for the year ended December 31, 2019 consisted of $46.2 million revenue under the Clementia license agreement, $12.1 million in revenue under our CStone collaboration and $8.2 million revenue under our cancer immunotherapy collaboration with Roche. Revenue recognized under the Clementia license agreement for the year ended December 31, 2019 consisted of a $25.0 million upfront payment received, a $20.0 million cash milestone payment due and paid in the third quarter of 2020 and a $1.2 million inventory transfer. Revenue recognized under our CStone collaboration for the year ended December 31, 2019 primarily consisted of $12.0 million in milestone revenue related to several development and regulatory milestones that were achieved during the year. We recognized $8.2 million in revenue under our cancer immunotherapy collaboration with Roche for the year ended December 31, 2019, which was primarily related to the amortization of the total $63.0 million of upfront and milestone payments received as of such period.</w:t>
      </w:r>
    </w:p>
    <w:p>
      <w:pPr>
        <w:spacing w:after="0" w:line="213"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Collaboration revenue for the year ended December 31, 2018 was related to the CStone collaboration and cancer immunotherapy collaboration with Roche. We entered into the CStone agreement on June 1, 2018 and recognized collaboration revenue of $40.0 million from the upfront payment under the CStone agreement for the year ended December 31, 2018. We recognized $4.5 million in collaboration revenue under the cancer immunotherapy agreement with Roche for the year ended December 31, 2018, which was primarily related to amortization of the total $55.0 million upfront and milestone payments received as of such period.</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254"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Research and development expense increased by $87.8 million from $243.6 million for the year ended December 31, 2018 to $331.5 million for the year ended December 31, 2019. The increase in research and development expense was primarily related to $35.3 million in increased expenses for external clinical activities related to avapritinib, pralsetinib and BLU-782 and $31.3 million in increased personnel expense, primarily due to an increase in headcount, which was driven by growth in the clinical and manufacturing organizations and an increase of $11.6 million in stock-based compensation expense.</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54" w:lineRule="exact"/>
        <w:rPr>
          <w:sz w:val="20"/>
          <w:szCs w:val="20"/>
          <w:color w:val="auto"/>
        </w:rPr>
      </w:pPr>
    </w:p>
    <w:p>
      <w:pPr>
        <w:ind w:left="60" w:right="239" w:firstLine="648"/>
        <w:spacing w:after="0" w:line="242" w:lineRule="auto"/>
        <w:rPr>
          <w:sz w:val="20"/>
          <w:szCs w:val="20"/>
          <w:color w:val="auto"/>
        </w:rPr>
      </w:pPr>
      <w:r>
        <w:rPr>
          <w:rFonts w:ascii="Times New Roman" w:cs="Times New Roman" w:eastAsia="Times New Roman" w:hAnsi="Times New Roman"/>
          <w:sz w:val="18"/>
          <w:szCs w:val="18"/>
          <w:color w:val="auto"/>
        </w:rPr>
        <w:t>General and administrative expense increased by $48.5 million from $47.9 million for the year ended December 31, 2018 to $96.4 million for the year ended December 31, 2019. The increase in general and administrative expense was primarily related to increased costs and personnel expenses, including an increase of $12.5 million in stock-based compensation expense, associated with building our commercial infrastructure and to support the overall growth of our business globally.</w:t>
      </w:r>
    </w:p>
    <w:p>
      <w:pPr>
        <w:spacing w:after="0" w:line="22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41"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Interest income (expense), net increased by $3.2 million from $10.6 million for the year ended December 31, 2018 to $13.7 million for the year ended December 31, 2019. The increase was primarily related to higher average investment balances and a higher rate of return on investments.</w:t>
      </w:r>
    </w:p>
    <w:p>
      <w:pPr>
        <w:spacing w:after="0" w:line="21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54" w:lineRule="exact"/>
        <w:rPr>
          <w:sz w:val="20"/>
          <w:szCs w:val="20"/>
          <w:color w:val="auto"/>
        </w:rPr>
      </w:pPr>
    </w:p>
    <w:p>
      <w:pPr>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Other income (expense), net, decreased by $0.1 million from $0.2 million of expense for the year ended December 31, 2018 to $0.1 million of expense for the year ended December 31, 2019. The decrease was primarily related to changes in foreign currency exchange rates.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56"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preferred and common stock, collaborations and a license agreement. Through December 31, 2020, we have received an aggregate of $2.9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$910.8 million in upfront payments and milestone payments under our collaborations with Roche and CStone, our license agreement with Clementia and our former collaboration with Alexion. In addition, since January 2020, we have generated limited product revenue.</w:t>
      </w: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of $1,549.7 million.</w:t>
      </w:r>
    </w:p>
    <w:p>
      <w:pPr>
        <w:spacing w:after="0" w:line="25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54" w:lineRule="exact"/>
        <w:rPr>
          <w:sz w:val="20"/>
          <w:szCs w:val="20"/>
          <w:color w:val="auto"/>
        </w:rPr>
      </w:pPr>
    </w:p>
    <w:p>
      <w:pPr>
        <w:ind w:left="60" w:right="179" w:firstLine="648"/>
        <w:spacing w:after="0" w:line="249" w:lineRule="auto"/>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2020, 2019 and 2018:</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4"/>
                <w:szCs w:val="14"/>
                <w:color w:val="auto"/>
              </w:rPr>
            </w:pPr>
          </w:p>
        </w:tc>
        <w:tc>
          <w:tcPr>
            <w:tcW w:w="278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000" w:type="dxa"/>
            <w:vAlign w:val="bottom"/>
            <w:tcBorders>
              <w:bottom w:val="single" w:sz="8" w:color="CCEEFF"/>
            </w:tcBorders>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(175,009)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(434,249)</w:t>
            </w:r>
          </w:p>
        </w:tc>
        <w:tc>
          <w:tcPr>
            <w:tcW w:w="1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(16,466)</w:t>
            </w:r>
          </w:p>
        </w:tc>
        <w:tc>
          <w:tcPr>
            <w:tcW w:w="1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Times New Roman" w:cs="Times New Roman" w:eastAsia="Times New Roman" w:hAnsi="Times New Roman"/>
                <w:sz w:val="18"/>
                <w:szCs w:val="18"/>
                <w:color w:val="auto"/>
              </w:rPr>
              <w:t>(161,088)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617,759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340,638</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4,454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570,545</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46,157</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(331,643)</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 w:right="25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Net Cash Provided by (Used in) Operating Activities. </w:t>
      </w:r>
      <w:r>
        <w:rPr>
          <w:rFonts w:ascii="Times New Roman" w:cs="Times New Roman" w:eastAsia="Times New Roman" w:hAnsi="Times New Roman"/>
          <w:sz w:val="18"/>
          <w:szCs w:val="18"/>
          <w:color w:val="auto"/>
        </w:rPr>
        <w:t>For the year ended December 31, 2020,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2019, the $665.1 million increase in net cash provided by operating activities was primarily due to the increased net income during this period of $661.6 million, which was driven by the $753.1 million collaboration revenue recognized under our collaboration agreement with Roche for pralsetinib.</w:t>
      </w:r>
    </w:p>
    <w:p>
      <w:pPr>
        <w:spacing w:after="0" w:line="220" w:lineRule="exact"/>
        <w:rPr>
          <w:sz w:val="20"/>
          <w:szCs w:val="20"/>
          <w:color w:val="auto"/>
        </w:rPr>
      </w:pPr>
    </w:p>
    <w:p>
      <w:pPr>
        <w:ind w:left="60" w:right="259" w:firstLine="648"/>
        <w:spacing w:after="0" w:line="296" w:lineRule="auto"/>
        <w:rPr>
          <w:sz w:val="20"/>
          <w:szCs w:val="20"/>
          <w:color w:val="auto"/>
        </w:rPr>
      </w:pPr>
      <w:r>
        <w:rPr>
          <w:rFonts w:ascii="Times New Roman" w:cs="Times New Roman" w:eastAsia="Times New Roman" w:hAnsi="Times New Roman"/>
          <w:sz w:val="17"/>
          <w:szCs w:val="17"/>
          <w:color w:val="auto"/>
        </w:rPr>
        <w:t>For the year ended December 31, 2019, compared to the same period in 2018, the $103.0 million increase in net cash used in operating activities was primarily due to the increase in net loss during this period of $110.0 million, which</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6" w:name="page107"/>
    <w:bookmarkEnd w:id="10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42" w:lineRule="auto"/>
        <w:rPr>
          <w:sz w:val="20"/>
          <w:szCs w:val="20"/>
          <w:color w:val="auto"/>
        </w:rPr>
      </w:pPr>
      <w:r>
        <w:rPr>
          <w:rFonts w:ascii="Times New Roman" w:cs="Times New Roman" w:eastAsia="Times New Roman" w:hAnsi="Times New Roman"/>
          <w:sz w:val="18"/>
          <w:szCs w:val="18"/>
          <w:color w:val="auto"/>
        </w:rPr>
        <w:t>was driven by increased payroll and payroll-related expenses and spending on pre-clinical, clinical and pre-commercial activities, partially offset by upfront and milestone payments received during year ended December 31, 2019. The net cash flows provided by operating activities for year ended December 31, 2019 reflect a $25.0 million upfront payment received under the Clementia agreement, an aggregate of $10.0 million in milestone payments received under the CStone agreement and an $8.0 million milestone payment received under the cancer immunotherapy agreement with Roche.</w:t>
      </w:r>
    </w:p>
    <w:p>
      <w:pPr>
        <w:spacing w:after="0" w:line="223" w:lineRule="exact"/>
        <w:rPr>
          <w:sz w:val="20"/>
          <w:szCs w:val="20"/>
          <w:color w:val="auto"/>
        </w:rPr>
      </w:pPr>
    </w:p>
    <w:p>
      <w:pPr>
        <w:ind w:left="60" w:right="199" w:firstLine="648"/>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Net Cash Used in Investing Activities. </w:t>
      </w:r>
      <w:r>
        <w:rPr>
          <w:rFonts w:ascii="Times New Roman" w:cs="Times New Roman" w:eastAsia="Times New Roman" w:hAnsi="Times New Roman"/>
          <w:sz w:val="18"/>
          <w:szCs w:val="18"/>
          <w:color w:val="auto"/>
        </w:rPr>
        <w:t>For the year ended December 31, 2020,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the $417.8 million increase in net cash used in investing activities was primarily due to an increase in net purchases of available-for-sale investments.</w:t>
      </w:r>
    </w:p>
    <w:p>
      <w:pPr>
        <w:spacing w:after="0" w:line="217" w:lineRule="exact"/>
        <w:rPr>
          <w:sz w:val="20"/>
          <w:szCs w:val="20"/>
          <w:color w:val="auto"/>
        </w:rPr>
      </w:pPr>
    </w:p>
    <w:p>
      <w:pPr>
        <w:ind w:left="60" w:right="23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2019, compared to the same period in 2018, the $144.6 million decrease in net cash used in investing activities was primarily due a decrease in net purchases of available-for-sale investments.</w:t>
      </w:r>
    </w:p>
    <w:p>
      <w:pPr>
        <w:spacing w:after="0" w:line="187"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Financing Activities. </w:t>
      </w:r>
      <w:r>
        <w:rPr>
          <w:rFonts w:ascii="Times New Roman" w:cs="Times New Roman" w:eastAsia="Times New Roman" w:hAnsi="Times New Roman"/>
          <w:sz w:val="18"/>
          <w:szCs w:val="18"/>
          <w:color w:val="auto"/>
        </w:rPr>
        <w:t>For the year ended December 31, 2020, compared to the same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2019, the $277.1 million increase in net cash provided by financing activities was primarily due to the $175.7 million increase in proceeds received from our common stock offerings net of issuance costs, the $79.3 million received from the issuance of common stock related to the collaboration agreement with Roche for pralsetinib, and a $22.0 million increase in net proceeds received from stock option exercises and the issuance of common stock under our employee stock purchase plan.</w:t>
      </w:r>
    </w:p>
    <w:p>
      <w:pPr>
        <w:spacing w:after="0" w:line="226"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For the year ended December 31, 2019, compared to the same period in 2018, the $336.2 million increase in net cash provided by financing activities was primarily due to a $327.5 million increase in net proceeds received from our April 2019 follow-on public offering, and a $6.9 million increase in net proceeds received from stock option exercises and the issuance of common stock under our employee stock purchase plan.</w:t>
      </w:r>
    </w:p>
    <w:p>
      <w:pPr>
        <w:spacing w:after="0" w:line="21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241"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in additional geographies.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 approved drugs or drug candidates or otherwise expand more rapidly than we presently anticipate. Accordingly, we may seek to obtain additional funding from time to time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226"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2020, we had cash, cash equivalents and marketable securities of $1,549.7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296" w:lineRule="auto"/>
        <w:tabs>
          <w:tab w:leader="none" w:pos="13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 of our commercialization efforts and market acceptance for AYVAKIT/AYVAKYT, GAVRETO or any of our current or future drug candidates for which we receive marketing approval;</w:t>
      </w:r>
    </w:p>
    <w:p>
      <w:pPr>
        <w:spacing w:after="0" w:line="138" w:lineRule="exact"/>
        <w:rPr>
          <w:rFonts w:ascii="Times New Roman" w:cs="Times New Roman" w:eastAsia="Times New Roman" w:hAnsi="Times New Roman"/>
          <w:sz w:val="17"/>
          <w:szCs w:val="17"/>
          <w:color w:val="auto"/>
        </w:rPr>
      </w:pPr>
    </w:p>
    <w:p>
      <w:pPr>
        <w:ind w:left="1380" w:right="339" w:hanging="331"/>
        <w:spacing w:after="0" w:line="250" w:lineRule="auto"/>
        <w:tabs>
          <w:tab w:leader="none" w:pos="1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79" w:hanging="331"/>
        <w:spacing w:after="0" w:line="245"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securing manufacturing, packaging and labeling arrangements for development activities and commercial production, including active pharmaceutical ingredient, or API, drug substance and drug product material for use in pre-clinical studies, clinical trials, our compassionate use program and for use as commercial supply, as applicable;</w:t>
      </w:r>
    </w:p>
    <w:p>
      <w:pPr>
        <w:spacing w:after="0" w:line="180" w:lineRule="exact"/>
        <w:rPr>
          <w:rFonts w:ascii="Times New Roman" w:cs="Times New Roman" w:eastAsia="Times New Roman" w:hAnsi="Times New Roman"/>
          <w:sz w:val="18"/>
          <w:szCs w:val="18"/>
          <w:color w:val="auto"/>
        </w:rPr>
      </w:pPr>
    </w:p>
    <w:p>
      <w:pPr>
        <w:ind w:left="1380" w:right="159" w:hanging="331"/>
        <w:spacing w:after="0" w:line="266"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approved drugs and drug candidates;</w:t>
      </w:r>
    </w:p>
    <w:p>
      <w:pPr>
        <w:spacing w:after="0" w:line="162" w:lineRule="exact"/>
        <w:rPr>
          <w:rFonts w:ascii="Times New Roman" w:cs="Times New Roman" w:eastAsia="Times New Roman" w:hAnsi="Times New Roman"/>
          <w:sz w:val="18"/>
          <w:szCs w:val="18"/>
          <w:color w:val="auto"/>
        </w:rPr>
      </w:pPr>
    </w:p>
    <w:p>
      <w:pPr>
        <w:ind w:left="1380" w:right="339" w:hanging="331"/>
        <w:spacing w:after="0" w:line="250"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76" w:lineRule="exact"/>
        <w:rPr>
          <w:rFonts w:ascii="Times New Roman" w:cs="Times New Roman" w:eastAsia="Times New Roman" w:hAnsi="Times New Roman"/>
          <w:sz w:val="18"/>
          <w:szCs w:val="18"/>
          <w:color w:val="auto"/>
        </w:rPr>
      </w:pPr>
    </w:p>
    <w:p>
      <w:pPr>
        <w:ind w:left="1380" w:right="239" w:hanging="331"/>
        <w:spacing w:after="0" w:line="250"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76" w:lineRule="exact"/>
        <w:rPr>
          <w:rFonts w:ascii="Times New Roman" w:cs="Times New Roman" w:eastAsia="Times New Roman" w:hAnsi="Times New Roman"/>
          <w:sz w:val="18"/>
          <w:szCs w:val="18"/>
          <w:color w:val="auto"/>
        </w:rPr>
      </w:pPr>
    </w:p>
    <w:p>
      <w:pPr>
        <w:ind w:left="1380" w:right="119" w:hanging="331"/>
        <w:spacing w:after="0" w:line="250"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76" w:lineRule="exact"/>
        <w:rPr>
          <w:rFonts w:ascii="Times New Roman" w:cs="Times New Roman" w:eastAsia="Times New Roman" w:hAnsi="Times New Roman"/>
          <w:sz w:val="18"/>
          <w:szCs w:val="18"/>
          <w:color w:val="auto"/>
        </w:rPr>
      </w:pPr>
    </w:p>
    <w:p>
      <w:pPr>
        <w:ind w:left="1380" w:right="759" w:hanging="331"/>
        <w:spacing w:after="0" w:line="266"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obligated to reimburse, or entitled to reimbursement of, research and development, clinical or other costs under future collaboration agreements, if any;</w:t>
      </w:r>
    </w:p>
    <w:p>
      <w:pPr>
        <w:spacing w:after="0" w:line="162" w:lineRule="exact"/>
        <w:rPr>
          <w:rFonts w:ascii="Times New Roman" w:cs="Times New Roman" w:eastAsia="Times New Roman" w:hAnsi="Times New Roman"/>
          <w:sz w:val="18"/>
          <w:szCs w:val="18"/>
          <w:color w:val="auto"/>
        </w:rPr>
      </w:pPr>
    </w:p>
    <w:p>
      <w:pPr>
        <w:ind w:left="1380" w:right="259" w:hanging="331"/>
        <w:spacing w:after="0" w:line="266"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approved drugs, drug candidates or technologies and the terms of any such arrangements;</w:t>
      </w:r>
    </w:p>
    <w:p>
      <w:pPr>
        <w:spacing w:after="0" w:line="162" w:lineRule="exact"/>
        <w:rPr>
          <w:rFonts w:ascii="Times New Roman" w:cs="Times New Roman" w:eastAsia="Times New Roman" w:hAnsi="Times New Roman"/>
          <w:sz w:val="18"/>
          <w:szCs w:val="18"/>
          <w:color w:val="auto"/>
        </w:rPr>
      </w:pPr>
    </w:p>
    <w:p>
      <w:pPr>
        <w:ind w:left="1380" w:right="699" w:hanging="331"/>
        <w:spacing w:after="0" w:line="266"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current or future collaborations for the development and commercialization of companion diagnostic tests;</w:t>
      </w:r>
    </w:p>
    <w:p>
      <w:pPr>
        <w:spacing w:after="0" w:line="162" w:lineRule="exact"/>
        <w:rPr>
          <w:rFonts w:ascii="Times New Roman" w:cs="Times New Roman" w:eastAsia="Times New Roman" w:hAnsi="Times New Roman"/>
          <w:sz w:val="18"/>
          <w:szCs w:val="18"/>
          <w:color w:val="auto"/>
        </w:rPr>
      </w:pPr>
    </w:p>
    <w:p>
      <w:pPr>
        <w:ind w:left="1380" w:right="759" w:hanging="331"/>
        <w:spacing w:after="0" w:line="266" w:lineRule="auto"/>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 and</w:t>
      </w:r>
    </w:p>
    <w:p>
      <w:pPr>
        <w:spacing w:after="0" w:line="162" w:lineRule="exact"/>
        <w:rPr>
          <w:rFonts w:ascii="Times New Roman" w:cs="Times New Roman" w:eastAsia="Times New Roman" w:hAnsi="Times New Roman"/>
          <w:sz w:val="18"/>
          <w:szCs w:val="18"/>
          <w:color w:val="auto"/>
        </w:rPr>
      </w:pPr>
    </w:p>
    <w:p>
      <w:pPr>
        <w:ind w:left="1380" w:hanging="331"/>
        <w:spacing w:after="0"/>
        <w:tabs>
          <w:tab w:leader="none" w:pos="13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continuing to expand our operations.</w:t>
      </w:r>
    </w:p>
    <w:p>
      <w:pPr>
        <w:spacing w:after="0" w:line="252"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and pralsetinib in additional indications or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in additional geographies, may not achieve commercial success. Accordingly, we may need to rely on additional financing to achieve our business objectives. Adequate additional financing may not be available to us on acceptable terms, or at all.</w:t>
      </w:r>
    </w:p>
    <w:p>
      <w:pPr>
        <w:spacing w:after="0" w:line="232" w:lineRule="exact"/>
        <w:rPr>
          <w:sz w:val="20"/>
          <w:szCs w:val="20"/>
          <w:color w:val="auto"/>
        </w:rPr>
      </w:pPr>
    </w:p>
    <w:p>
      <w:pPr>
        <w:ind w:left="60" w:right="219" w:firstLine="648"/>
        <w:spacing w:after="0" w:line="238"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8" w:name="page109"/>
    <w:bookmarkEnd w:id="10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left="60" w:right="619" w:firstLine="648"/>
        <w:spacing w:after="0" w:line="266" w:lineRule="auto"/>
        <w:rPr>
          <w:sz w:val="20"/>
          <w:szCs w:val="20"/>
          <w:color w:val="auto"/>
        </w:rPr>
      </w:pPr>
      <w:r>
        <w:rPr>
          <w:rFonts w:ascii="Times New Roman" w:cs="Times New Roman" w:eastAsia="Times New Roman" w:hAnsi="Times New Roman"/>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our significant contractual obligations as of payment due date by period at</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2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8"/>
          </w:tcPr>
          <w:p>
            <w:pPr>
              <w:ind w:left="10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3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gridSpan w:val="2"/>
          </w:tcPr>
          <w:p>
            <w:pPr>
              <w:ind w:left="160"/>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5"/>
                <w:szCs w:val="15"/>
                <w:color w:val="auto"/>
              </w:rPr>
            </w:pPr>
          </w:p>
        </w:tc>
        <w:tc>
          <w:tcPr>
            <w:tcW w:w="12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Less than 1 Year</w:t>
            </w:r>
          </w:p>
        </w:tc>
        <w:tc>
          <w:tcPr>
            <w:tcW w:w="140" w:type="dxa"/>
            <w:vAlign w:val="bottom"/>
          </w:tcPr>
          <w:p>
            <w:pPr>
              <w:spacing w:after="0"/>
              <w:rPr>
                <w:sz w:val="15"/>
                <w:szCs w:val="15"/>
                <w:color w:val="auto"/>
              </w:rPr>
            </w:pPr>
          </w:p>
        </w:tc>
        <w:tc>
          <w:tcPr>
            <w:tcW w:w="1120" w:type="dxa"/>
            <w:vAlign w:val="bottom"/>
            <w:gridSpan w:val="2"/>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1 to 3 Years</w:t>
            </w:r>
          </w:p>
        </w:tc>
        <w:tc>
          <w:tcPr>
            <w:tcW w:w="200" w:type="dxa"/>
            <w:vAlign w:val="bottom"/>
          </w:tcPr>
          <w:p>
            <w:pPr>
              <w:spacing w:after="0"/>
              <w:rPr>
                <w:sz w:val="15"/>
                <w:szCs w:val="15"/>
                <w:color w:val="auto"/>
              </w:rPr>
            </w:pPr>
          </w:p>
        </w:tc>
        <w:tc>
          <w:tcPr>
            <w:tcW w:w="1060" w:type="dxa"/>
            <w:vAlign w:val="bottom"/>
            <w:gridSpan w:val="2"/>
          </w:tcPr>
          <w:p>
            <w:pPr>
              <w:ind w:left="80"/>
              <w:spacing w:after="0" w:line="183" w:lineRule="exact"/>
              <w:rPr>
                <w:sz w:val="20"/>
                <w:szCs w:val="20"/>
                <w:color w:val="auto"/>
              </w:rPr>
            </w:pPr>
            <w:r>
              <w:rPr>
                <w:rFonts w:ascii="Times New Roman" w:cs="Times New Roman" w:eastAsia="Times New Roman" w:hAnsi="Times New Roman"/>
                <w:sz w:val="16"/>
                <w:szCs w:val="16"/>
                <w:b w:val="1"/>
                <w:bCs w:val="1"/>
                <w:color w:val="auto"/>
              </w:rPr>
              <w:t>3 to 5 Years</w:t>
            </w:r>
          </w:p>
        </w:tc>
        <w:tc>
          <w:tcPr>
            <w:tcW w:w="140" w:type="dxa"/>
            <w:vAlign w:val="bottom"/>
          </w:tcPr>
          <w:p>
            <w:pPr>
              <w:spacing w:after="0"/>
              <w:rPr>
                <w:sz w:val="15"/>
                <w:szCs w:val="15"/>
                <w:color w:val="auto"/>
              </w:rPr>
            </w:pPr>
          </w:p>
        </w:tc>
        <w:tc>
          <w:tcPr>
            <w:tcW w:w="13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b w:val="1"/>
                <w:bCs w:val="1"/>
                <w:color w:val="auto"/>
              </w:rPr>
              <w:t>More than 5 Years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Minimum purchase obligations</w:t>
            </w:r>
          </w:p>
        </w:tc>
        <w:tc>
          <w:tcPr>
            <w:tcW w:w="26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30,875</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7,465</w:t>
            </w: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12,330</w:t>
            </w:r>
          </w:p>
        </w:tc>
        <w:tc>
          <w:tcPr>
            <w:tcW w:w="40" w:type="dxa"/>
            <w:vAlign w:val="bottom"/>
          </w:tcPr>
          <w:p>
            <w:pPr>
              <w:spacing w:after="0"/>
              <w:rPr>
                <w:sz w:val="17"/>
                <w:szCs w:val="17"/>
                <w:color w:val="auto"/>
              </w:rPr>
            </w:pPr>
          </w:p>
        </w:tc>
        <w:tc>
          <w:tcPr>
            <w:tcW w:w="2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11,080</w:t>
            </w: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126,179</w:t>
            </w: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14,879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27,700</w:t>
            </w:r>
          </w:p>
        </w:tc>
        <w:tc>
          <w:tcPr>
            <w:tcW w:w="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26,758</w:t>
            </w: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56,842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3"/>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157,054</w:t>
            </w: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22,344</w:t>
            </w: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40,030</w:t>
            </w:r>
          </w:p>
        </w:tc>
        <w:tc>
          <w:tcPr>
            <w:tcW w:w="4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37,838</w:t>
            </w: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56,842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In the normal course of business, we enter into agreements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228"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We also have obligations to make future payments to third parties that become due and payable on the achievement of certain milestones, including future payments to third parties with whom we have entered into agreements to develop and commercialize companion diagnostic tests for certain of our drug candidates. We have not included these commitments on our balance sheet or in the table above because the achievement and timing of these milestones is not fixed and determinable.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jc w:val="both"/>
        <w:ind w:left="60" w:right="179"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2020 and 2019, we had cash, cash equivalents and marketable securities of $1,549.7 million and $548.0 million, respectively, consisting primarily of money market funds and investments in U.S. government agency securities and treasury obligations.</w:t>
      </w:r>
    </w:p>
    <w:p>
      <w:pPr>
        <w:spacing w:after="0" w:line="150"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including recent changes resulting from the impact of the COVID-19 pandemic.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December 31, 2020 and 2019, we held limited funds and future obligations denominated in foreign currencies.</w:t>
      </w:r>
    </w:p>
    <w:p>
      <w:pPr>
        <w:spacing w:after="0" w:line="158" w:lineRule="exact"/>
        <w:rPr>
          <w:sz w:val="20"/>
          <w:szCs w:val="20"/>
          <w:color w:val="auto"/>
        </w:rPr>
      </w:pPr>
    </w:p>
    <w:p>
      <w:pPr>
        <w:jc w:val="both"/>
        <w:ind w:left="60" w:right="439" w:firstLine="648"/>
        <w:spacing w:after="0" w:line="250"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clinical trial and manufacturing costs. We do not believe that inflation had a material effect on our business, financial condition or results of operations during the years ended December 31, 2020 and 2019.</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75"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of this Annual Report on Form 10-K.</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 in and Disagreements with Accountants on Accounting and Financial Disclosure.</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Evaluation of our Disclosure Controls and Procedures</w:t>
      </w:r>
    </w:p>
    <w:p>
      <w:pPr>
        <w:spacing w:after="0" w:line="216" w:lineRule="exact"/>
        <w:rPr>
          <w:sz w:val="20"/>
          <w:szCs w:val="20"/>
          <w:color w:val="auto"/>
        </w:rPr>
      </w:pPr>
    </w:p>
    <w:p>
      <w:pPr>
        <w:ind w:left="60" w:right="99" w:firstLine="648"/>
        <w:spacing w:after="0" w:line="238"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8"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2020. Based upon such evaluation, our Chief Executive Officer and Chief Financial Officer have concluded that, as of December 31, 2020, our disclosure controls and procedures were effective at the reasonable assurance level.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6"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85" w:lineRule="exact"/>
        <w:rPr>
          <w:sz w:val="20"/>
          <w:szCs w:val="20"/>
          <w:color w:val="auto"/>
        </w:rPr>
      </w:pPr>
    </w:p>
    <w:p>
      <w:pPr>
        <w:ind w:left="1380" w:right="919" w:hanging="331"/>
        <w:spacing w:after="0" w:line="266"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a company’s assets;</w:t>
      </w:r>
    </w:p>
    <w:p>
      <w:pPr>
        <w:spacing w:after="0" w:line="162" w:lineRule="exact"/>
        <w:rPr>
          <w:rFonts w:ascii="Times New Roman" w:cs="Times New Roman" w:eastAsia="Times New Roman" w:hAnsi="Times New Roman"/>
          <w:sz w:val="18"/>
          <w:szCs w:val="18"/>
          <w:color w:val="auto"/>
        </w:rPr>
      </w:pPr>
    </w:p>
    <w:p>
      <w:pPr>
        <w:ind w:left="1380" w:right="219" w:hanging="331"/>
        <w:spacing w:after="0" w:line="245" w:lineRule="auto"/>
        <w:tabs>
          <w:tab w:leader="none" w:pos="1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380" w:right="239" w:hanging="331"/>
        <w:spacing w:after="0" w:line="266" w:lineRule="auto"/>
        <w:tabs>
          <w:tab w:leader="none" w:pos="1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principal executive officer and principal financial officer, our management assessed the effectiveness of our internal control over financial reporting as of December 31, 2020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2020.</w:t>
      </w:r>
    </w:p>
    <w:p>
      <w:pPr>
        <w:spacing w:after="0" w:line="185" w:lineRule="exact"/>
        <w:rPr>
          <w:sz w:val="20"/>
          <w:szCs w:val="20"/>
          <w:color w:val="auto"/>
        </w:rPr>
      </w:pPr>
    </w:p>
    <w:p>
      <w:pPr>
        <w:ind w:left="60" w:right="439" w:firstLine="648"/>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has issued an attestation report of our internal control over financial reporting. This report appears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 Blueprint Medicines Corporation</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Opinion on Internal Control Over Financial Reporting</w:t>
      </w:r>
    </w:p>
    <w:p>
      <w:pPr>
        <w:spacing w:after="0" w:line="216"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We have audited Blueprint Medicines Corporation’s internal control over financial reporting as of December 31, 2020,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2020, based on the COSO criteria.</w:t>
      </w:r>
    </w:p>
    <w:p>
      <w:pPr>
        <w:spacing w:after="0" w:line="171" w:lineRule="exact"/>
        <w:rPr>
          <w:sz w:val="20"/>
          <w:szCs w:val="20"/>
          <w:color w:val="auto"/>
        </w:rPr>
      </w:pPr>
    </w:p>
    <w:p>
      <w:pPr>
        <w:jc w:val="both"/>
        <w:ind w:left="60" w:right="59" w:firstLine="648"/>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Blueprint Medicines Corporation as of December 31, 2020 and 2019, the related consolidated statements of operations and comprehensive income (loss), stockholders’ equity, and cash flows for each of the three years in the period ended December 31, 2020, and the related notes and our report dated February 17, 2021 expressed an unqualified opinion thereon.</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16" w:lineRule="exact"/>
        <w:rPr>
          <w:sz w:val="20"/>
          <w:szCs w:val="20"/>
          <w:color w:val="auto"/>
        </w:rPr>
      </w:pPr>
    </w:p>
    <w:p>
      <w:pPr>
        <w:jc w:val="both"/>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3"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1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ectPr>
          <w:pgSz w:w="11900" w:h="16838" w:orient="portrait"/>
          <w:cols w:equalWidth="0" w:num="1">
            <w:col w:w="9019"/>
          </w:cols>
          <w:pgMar w:left="1440" w:top="513" w:right="1440" w:bottom="1440" w:gutter="0" w:footer="0" w:header="0"/>
        </w:sect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1" w:name="page112"/>
    <w:bookmarkEnd w:id="11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8"/>
          <w:szCs w:val="18"/>
          <w:color w:val="auto"/>
        </w:rPr>
        <w:t>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ind w:left="60"/>
        <w:spacing w:after="0"/>
        <w:rPr>
          <w:sz w:val="20"/>
          <w:szCs w:val="20"/>
          <w:color w:val="auto"/>
        </w:rPr>
      </w:pPr>
      <w:r>
        <w:rPr>
          <w:rFonts w:ascii="Times New Roman" w:cs="Times New Roman" w:eastAsia="Times New Roman" w:hAnsi="Times New Roman"/>
          <w:sz w:val="18"/>
          <w:szCs w:val="18"/>
          <w:color w:val="auto"/>
        </w:rPr>
        <w:t>February 17, 2021</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December 31, 2020 that has materially affected, or is reasonably likely to materially affect, our internal control over financial reporting.</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2021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2021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2021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2021 Annual Meeting of Stockholders and is incorporated herein by reference.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16"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2021 Annual Meeting of Stockholders and is incorporated herein by reference.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2" w:name="page113"/>
    <w:bookmarkEnd w:id="11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16" w:lineRule="exact"/>
        <w:rPr>
          <w:sz w:val="20"/>
          <w:szCs w:val="20"/>
          <w:color w:val="auto"/>
        </w:rPr>
      </w:pPr>
    </w:p>
    <w:p>
      <w:pPr>
        <w:ind w:left="1260" w:hanging="562"/>
        <w:spacing w:after="0"/>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12"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following documents are included on pages F-1 through F-39 attached hereto and are filed as part of this Annual Report on Form 10-K.</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960" w:type="dxa"/>
            <w:vAlign w:val="bottom"/>
            <w:gridSpan w:val="2"/>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Report of Independent Registered Public Accounting Firm</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3"/>
        </w:trPr>
        <w:tc>
          <w:tcPr>
            <w:tcW w:w="6960" w:type="dxa"/>
            <w:vAlign w:val="bottom"/>
            <w:gridSpan w:val="2"/>
          </w:tcPr>
          <w:p>
            <w:pPr>
              <w:spacing w:after="0" w:line="202" w:lineRule="exact"/>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Consolidated Balance Sheets</w:t>
              </w:r>
            </w:hyperlink>
          </w:p>
        </w:tc>
        <w:tc>
          <w:tcPr>
            <w:tcW w:w="1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F-5</w:t>
            </w:r>
          </w:p>
        </w:tc>
      </w:tr>
      <w:tr>
        <w:trPr>
          <w:trHeight w:val="203"/>
        </w:trPr>
        <w:tc>
          <w:tcPr>
            <w:tcW w:w="6960" w:type="dxa"/>
            <w:vAlign w:val="bottom"/>
            <w:gridSpan w:val="2"/>
          </w:tcPr>
          <w:p>
            <w:pPr>
              <w:spacing w:after="0" w:line="202" w:lineRule="exact"/>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Consolidated Statements of Operations and Comprehensive Income (Loss)</w:t>
              </w:r>
            </w:hyperlink>
          </w:p>
        </w:tc>
        <w:tc>
          <w:tcPr>
            <w:tcW w:w="1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F-6</w:t>
            </w:r>
          </w:p>
        </w:tc>
      </w:tr>
      <w:tr>
        <w:trPr>
          <w:trHeight w:val="203"/>
        </w:trPr>
        <w:tc>
          <w:tcPr>
            <w:tcW w:w="6960" w:type="dxa"/>
            <w:vAlign w:val="bottom"/>
            <w:gridSpan w:val="2"/>
          </w:tcPr>
          <w:p>
            <w:pPr>
              <w:spacing w:after="0" w:line="202" w:lineRule="exact"/>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Consolidated Statements of Stockholders’ Equity</w:t>
              </w:r>
            </w:hyperlink>
          </w:p>
        </w:tc>
        <w:tc>
          <w:tcPr>
            <w:tcW w:w="1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F-7</w:t>
            </w:r>
          </w:p>
        </w:tc>
      </w:tr>
      <w:tr>
        <w:trPr>
          <w:trHeight w:val="203"/>
        </w:trPr>
        <w:tc>
          <w:tcPr>
            <w:tcW w:w="6960" w:type="dxa"/>
            <w:vAlign w:val="bottom"/>
            <w:gridSpan w:val="2"/>
          </w:tcPr>
          <w:p>
            <w:pPr>
              <w:spacing w:after="0" w:line="202" w:lineRule="exact"/>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Consolidated Statements of Cash Flows</w:t>
              </w:r>
            </w:hyperlink>
          </w:p>
        </w:tc>
        <w:tc>
          <w:tcPr>
            <w:tcW w:w="19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F-8</w:t>
            </w:r>
          </w:p>
        </w:tc>
      </w:tr>
      <w:tr>
        <w:trPr>
          <w:trHeight w:val="234"/>
        </w:trPr>
        <w:tc>
          <w:tcPr>
            <w:tcW w:w="6960" w:type="dxa"/>
            <w:vAlign w:val="bottom"/>
            <w:gridSpan w:val="2"/>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Notes to Consolidated Financial Statements</w:t>
              </w:r>
            </w:hyperlink>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405"/>
        </w:trPr>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1940" w:type="dxa"/>
            <w:vAlign w:val="bottom"/>
          </w:tcPr>
          <w:p>
            <w:pPr>
              <w:spacing w:after="0"/>
              <w:rPr>
                <w:sz w:val="24"/>
                <w:szCs w:val="24"/>
                <w:color w:val="auto"/>
              </w:rPr>
            </w:pPr>
          </w:p>
        </w:tc>
      </w:tr>
    </w:tbl>
    <w:p>
      <w:pPr>
        <w:spacing w:after="0" w:line="171"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Schedules have been omitted since they are either not required or not applicable or the information is otherwise included herein.</w:t>
      </w:r>
    </w:p>
    <w:p>
      <w:pPr>
        <w:spacing w:after="0" w:line="149" w:lineRule="exact"/>
        <w:rPr>
          <w:sz w:val="20"/>
          <w:szCs w:val="20"/>
          <w:color w:val="auto"/>
        </w:rPr>
      </w:pPr>
    </w:p>
    <w:p>
      <w:pPr>
        <w:ind w:left="1260" w:hanging="562"/>
        <w:spacing w:after="0"/>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8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7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760" w:type="dxa"/>
            <w:vAlign w:val="bottom"/>
            <w:gridSpan w:val="2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Description of Exhibit</w:t>
            </w: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Form</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Exhibit Number</w:t>
            </w:r>
          </w:p>
        </w:tc>
        <w:tc>
          <w:tcPr>
            <w:tcW w:w="14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Filing Date</w:t>
            </w:r>
          </w:p>
        </w:tc>
      </w:tr>
      <w:tr>
        <w:trPr>
          <w:trHeight w:val="169"/>
        </w:trPr>
        <w:tc>
          <w:tcPr>
            <w:tcW w:w="20" w:type="dxa"/>
            <w:vAlign w:val="bottom"/>
          </w:tcPr>
          <w:p>
            <w:pPr>
              <w:spacing w:after="0"/>
              <w:rPr>
                <w:sz w:val="14"/>
                <w:szCs w:val="14"/>
                <w:color w:val="auto"/>
              </w:rPr>
            </w:pPr>
          </w:p>
        </w:tc>
        <w:tc>
          <w:tcPr>
            <w:tcW w:w="70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Borders>
              <w:top w:val="single" w:sz="8" w:color="auto"/>
            </w:tcBorders>
            <w:gridSpan w:val="24"/>
          </w:tcPr>
          <w:p>
            <w:pPr>
              <w:spacing w:after="0" w:line="169"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Sales Agreement, dated as of July 30, 2020, by</w:t>
              </w:r>
            </w:hyperlink>
          </w:p>
        </w:tc>
        <w:tc>
          <w:tcPr>
            <w:tcW w:w="1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001-37359</w:t>
            </w:r>
          </w:p>
        </w:tc>
        <w:tc>
          <w:tcPr>
            <w:tcW w:w="160" w:type="dxa"/>
            <w:vAlign w:val="bottom"/>
          </w:tcPr>
          <w:p>
            <w:pPr>
              <w:spacing w:after="0"/>
              <w:rPr>
                <w:sz w:val="14"/>
                <w:szCs w:val="14"/>
                <w:color w:val="auto"/>
              </w:rPr>
            </w:pPr>
          </w:p>
        </w:tc>
        <w:tc>
          <w:tcPr>
            <w:tcW w:w="10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4"/>
                <w:szCs w:val="14"/>
                <w:color w:val="auto"/>
              </w:rPr>
            </w:pPr>
          </w:p>
        </w:tc>
        <w:tc>
          <w:tcPr>
            <w:tcW w:w="14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July 31, 2020</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8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and between Blueprint Medicines Corporation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and Cowen and Company, LLC</w:t>
              </w:r>
            </w:hyperlink>
          </w:p>
        </w:tc>
        <w:tc>
          <w:tcPr>
            <w:tcW w:w="1060" w:type="dxa"/>
            <w:vAlign w:val="bottom"/>
            <w:tcBorders>
              <w:top w:val="single" w:sz="8" w:color="0000EE"/>
            </w:tcBorders>
            <w:gridSpan w:val="1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Fifth Amended and Restated Certificate of</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001-37359</w:t>
            </w:r>
          </w:p>
        </w:tc>
        <w:tc>
          <w:tcPr>
            <w:tcW w:w="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9, 2015</w:t>
            </w: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8"/>
              </w:rPr>
            </w:pPr>
            <w:hyperlink r:id="rId158">
              <w:r>
                <w:rPr>
                  <w:rFonts w:ascii="Times New Roman" w:cs="Times New Roman" w:eastAsia="Times New Roman" w:hAnsi="Times New Roman"/>
                  <w:sz w:val="18"/>
                  <w:szCs w:val="18"/>
                  <w:color w:val="0000EE"/>
                  <w:w w:val="98"/>
                </w:rPr>
                <w:t>Incorporation of the Registrant</w:t>
              </w:r>
            </w:hyperlink>
          </w:p>
        </w:tc>
        <w:tc>
          <w:tcPr>
            <w:tcW w:w="840" w:type="dxa"/>
            <w:vAlign w:val="bottom"/>
            <w:tcBorders>
              <w:top w:val="single" w:sz="8" w:color="0000EE"/>
            </w:tcBorders>
            <w:gridSpan w:val="8"/>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5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1"/>
                <w:szCs w:val="21"/>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Amended and Restated Bylaws, as amended on</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001-37359</w:t>
            </w:r>
          </w:p>
        </w:tc>
        <w:tc>
          <w:tcPr>
            <w:tcW w:w="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6, 2020</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8"/>
              </w:rPr>
            </w:pPr>
            <w:hyperlink r:id="rId159">
              <w:r>
                <w:rPr>
                  <w:rFonts w:ascii="Times New Roman" w:cs="Times New Roman" w:eastAsia="Times New Roman" w:hAnsi="Times New Roman"/>
                  <w:sz w:val="18"/>
                  <w:szCs w:val="18"/>
                  <w:color w:val="0000EE"/>
                  <w:w w:val="98"/>
                </w:rPr>
                <w:t>April 30, 2020, of the Registrant</w:t>
              </w:r>
            </w:hyperlink>
          </w:p>
        </w:tc>
        <w:tc>
          <w:tcPr>
            <w:tcW w:w="1060" w:type="dxa"/>
            <w:vAlign w:val="bottom"/>
            <w:tcBorders>
              <w:top w:val="single" w:sz="8" w:color="0000EE"/>
            </w:tcBorders>
            <w:gridSpan w:val="11"/>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91"/>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3740" w:type="dxa"/>
            <w:vAlign w:val="bottom"/>
            <w:gridSpan w:val="27"/>
          </w:tcPr>
          <w:p>
            <w:pPr>
              <w:spacing w:after="0"/>
              <w:rPr>
                <w:rFonts w:ascii="Times New Roman" w:cs="Times New Roman" w:eastAsia="Times New Roman" w:hAnsi="Times New Roman"/>
                <w:sz w:val="18"/>
                <w:szCs w:val="18"/>
                <w:u w:val="single" w:color="auto"/>
                <w:color w:val="0000EE"/>
              </w:rPr>
            </w:pPr>
            <w:hyperlink r:id="rId160">
              <w:r>
                <w:rPr>
                  <w:rFonts w:ascii="Times New Roman" w:cs="Times New Roman" w:eastAsia="Times New Roman" w:hAnsi="Times New Roman"/>
                  <w:sz w:val="18"/>
                  <w:szCs w:val="18"/>
                  <w:u w:val="single" w:color="auto"/>
                  <w:color w:val="0000EE"/>
                </w:rPr>
                <w:t>Specimen Common Stock Certificate</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S-1/A</w:t>
            </w:r>
          </w:p>
        </w:tc>
        <w:tc>
          <w:tcPr>
            <w:tcW w:w="106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333-202938</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20, 2015</w:t>
            </w:r>
          </w:p>
        </w:tc>
      </w:tr>
      <w:tr>
        <w:trPr>
          <w:trHeight w:val="229"/>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9"/>
                <w:szCs w:val="19"/>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Second Amended and Restated Investors’ Rights</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6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333-202938</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20" w:type="dxa"/>
            <w:vAlign w:val="bottom"/>
            <w:tcBorders>
              <w:top w:val="single" w:sz="8" w:color="0000EE"/>
            </w:tcBorders>
            <w:gridSpan w:val="24"/>
          </w:tcPr>
          <w:p>
            <w:pPr>
              <w:spacing w:after="0" w:line="182"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Agreement, dated as of November 7, 2014, by</w:t>
              </w:r>
            </w:hyperlink>
          </w:p>
        </w:tc>
        <w:tc>
          <w:tcPr>
            <w:tcW w:w="220" w:type="dxa"/>
            <w:vAlign w:val="bottom"/>
            <w:gridSpan w:val="3"/>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and among the Registrant and the Investors</w:t>
              </w:r>
            </w:hyperlink>
          </w:p>
        </w:tc>
        <w:tc>
          <w:tcPr>
            <w:tcW w:w="4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listed therein</w:t>
              </w:r>
            </w:hyperlink>
          </w:p>
        </w:tc>
        <w:tc>
          <w:tcPr>
            <w:tcW w:w="24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1"/>
                <w:szCs w:val="21"/>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Description of the Registrant’s securities</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001-37359</w:t>
            </w:r>
          </w:p>
        </w:tc>
        <w:tc>
          <w:tcPr>
            <w:tcW w:w="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2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registered pursuant to Section 12 of the</w:t>
              </w:r>
            </w:hyperlink>
          </w:p>
        </w:tc>
        <w:tc>
          <w:tcPr>
            <w:tcW w:w="80" w:type="dxa"/>
            <w:vAlign w:val="bottom"/>
          </w:tcPr>
          <w:p>
            <w:pPr>
              <w:spacing w:after="0"/>
              <w:rPr>
                <w:sz w:val="15"/>
                <w:szCs w:val="15"/>
                <w:color w:val="auto"/>
              </w:rPr>
            </w:pPr>
          </w:p>
        </w:tc>
        <w:tc>
          <w:tcPr>
            <w:tcW w:w="360" w:type="dxa"/>
            <w:vAlign w:val="bottom"/>
            <w:gridSpan w:val="5"/>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gridSpan w:val="27"/>
          </w:tcPr>
          <w:p>
            <w:pPr>
              <w:spacing w:after="0" w:line="182"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Securities and Exchange Act of 1934, as</w:t>
              </w:r>
            </w:hyperlink>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0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amended</w:t>
              </w:r>
            </w:hyperlink>
          </w:p>
        </w:tc>
        <w:tc>
          <w:tcPr>
            <w:tcW w:w="100" w:type="dxa"/>
            <w:vAlign w:val="bottom"/>
            <w:gridSpan w:val="2"/>
          </w:tcPr>
          <w:p>
            <w:pPr>
              <w:spacing w:after="0"/>
              <w:rPr>
                <w:sz w:val="15"/>
                <w:szCs w:val="15"/>
                <w:color w:val="auto"/>
              </w:rPr>
            </w:pPr>
          </w:p>
        </w:tc>
        <w:tc>
          <w:tcPr>
            <w:tcW w:w="360" w:type="dxa"/>
            <w:vAlign w:val="bottom"/>
            <w:gridSpan w:val="5"/>
          </w:tcPr>
          <w:p>
            <w:pPr>
              <w:spacing w:after="0"/>
              <w:rPr>
                <w:sz w:val="15"/>
                <w:szCs w:val="15"/>
                <w:color w:val="auto"/>
              </w:rPr>
            </w:pPr>
          </w:p>
        </w:tc>
        <w:tc>
          <w:tcPr>
            <w:tcW w:w="8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1"/>
                <w:szCs w:val="21"/>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2011 Stock Option and Grant Plan, as amended,</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6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333-202938</w:t>
            </w:r>
          </w:p>
        </w:tc>
        <w:tc>
          <w:tcPr>
            <w:tcW w:w="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40" w:type="dxa"/>
            <w:vAlign w:val="bottom"/>
            <w:tcBorders>
              <w:top w:val="single" w:sz="8" w:color="0000EE"/>
            </w:tcBorders>
            <w:gridSpan w:val="21"/>
          </w:tcPr>
          <w:p>
            <w:pPr>
              <w:spacing w:after="0"/>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and forms of award agreements thereunder</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4"/>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5"/>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2015 Stock Option and Incentive Plan and forms</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001-37359</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0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of award agreements thereunder</w:t>
              </w:r>
            </w:hyperlink>
          </w:p>
        </w:tc>
        <w:tc>
          <w:tcPr>
            <w:tcW w:w="240" w:type="dxa"/>
            <w:vAlign w:val="bottom"/>
            <w:gridSpan w:val="4"/>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9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3740" w:type="dxa"/>
            <w:vAlign w:val="bottom"/>
            <w:gridSpan w:val="27"/>
          </w:tcPr>
          <w:p>
            <w:pPr>
              <w:spacing w:after="0"/>
              <w:rPr>
                <w:rFonts w:ascii="Times New Roman" w:cs="Times New Roman" w:eastAsia="Times New Roman" w:hAnsi="Times New Roman"/>
                <w:sz w:val="18"/>
                <w:szCs w:val="18"/>
                <w:u w:val="single" w:color="auto"/>
                <w:color w:val="0000EE"/>
              </w:rPr>
            </w:pPr>
            <w:hyperlink r:id="rId165">
              <w:r>
                <w:rPr>
                  <w:rFonts w:ascii="Times New Roman" w:cs="Times New Roman" w:eastAsia="Times New Roman" w:hAnsi="Times New Roman"/>
                  <w:sz w:val="18"/>
                  <w:szCs w:val="18"/>
                  <w:u w:val="single" w:color="auto"/>
                  <w:color w:val="0000EE"/>
                </w:rPr>
                <w:t>2015 Employee Stock Purchase Plan</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gridSpan w:val="3"/>
          </w:tcPr>
          <w:p>
            <w:pPr>
              <w:jc w:val="center"/>
              <w:ind w:left="72"/>
              <w:spacing w:after="0"/>
              <w:rPr>
                <w:sz w:val="20"/>
                <w:szCs w:val="20"/>
                <w:color w:val="auto"/>
              </w:rPr>
            </w:pPr>
            <w:r>
              <w:rPr>
                <w:rFonts w:ascii="Times New Roman" w:cs="Times New Roman" w:eastAsia="Times New Roman" w:hAnsi="Times New Roman"/>
                <w:sz w:val="18"/>
                <w:szCs w:val="18"/>
                <w:color w:val="auto"/>
                <w:w w:val="99"/>
              </w:rPr>
              <w:t>001-37359</w:t>
            </w:r>
          </w:p>
        </w:tc>
        <w:tc>
          <w:tcPr>
            <w:tcW w:w="1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23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9"/>
                <w:szCs w:val="19"/>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2020 Inducement Plan and form of award</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S-8</w:t>
            </w:r>
          </w:p>
        </w:tc>
        <w:tc>
          <w:tcPr>
            <w:tcW w:w="106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333-238039</w:t>
            </w:r>
          </w:p>
        </w:tc>
        <w:tc>
          <w:tcPr>
            <w:tcW w:w="1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6, 2020</w:t>
            </w:r>
          </w:p>
        </w:tc>
      </w:tr>
      <w:tr>
        <w:trPr>
          <w:trHeight w:val="182"/>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agreements thereunder</w:t>
              </w:r>
            </w:hyperlink>
          </w:p>
        </w:tc>
        <w:tc>
          <w:tcPr>
            <w:tcW w:w="360" w:type="dxa"/>
            <w:vAlign w:val="bottom"/>
            <w:gridSpan w:val="5"/>
          </w:tcPr>
          <w:p>
            <w:pPr>
              <w:spacing w:after="0"/>
              <w:rPr>
                <w:sz w:val="15"/>
                <w:szCs w:val="15"/>
                <w:color w:val="auto"/>
              </w:rPr>
            </w:pPr>
          </w:p>
        </w:tc>
        <w:tc>
          <w:tcPr>
            <w:tcW w:w="120" w:type="dxa"/>
            <w:vAlign w:val="bottom"/>
            <w:gridSpan w:val="4"/>
          </w:tcPr>
          <w:p>
            <w:pPr>
              <w:spacing w:after="0"/>
              <w:rPr>
                <w:sz w:val="15"/>
                <w:szCs w:val="15"/>
                <w:color w:val="auto"/>
              </w:rPr>
            </w:pPr>
          </w:p>
        </w:tc>
        <w:tc>
          <w:tcPr>
            <w:tcW w:w="260" w:type="dxa"/>
            <w:vAlign w:val="bottom"/>
            <w:gridSpan w:val="5"/>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74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1"/>
                <w:szCs w:val="21"/>
                <w:color w:val="auto"/>
              </w:rPr>
            </w:pPr>
          </w:p>
        </w:tc>
        <w:tc>
          <w:tcPr>
            <w:tcW w:w="3740" w:type="dxa"/>
            <w:vAlign w:val="bottom"/>
            <w:gridSpan w:val="27"/>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Lease Agreement, dated February 11, 2015, by</w:t>
              </w:r>
            </w:hyperlink>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060" w:type="dxa"/>
            <w:vAlign w:val="bottom"/>
            <w:gridSpan w:val="3"/>
          </w:tcPr>
          <w:p>
            <w:pPr>
              <w:jc w:val="center"/>
              <w:ind w:left="92"/>
              <w:spacing w:after="0"/>
              <w:rPr>
                <w:sz w:val="20"/>
                <w:szCs w:val="20"/>
                <w:color w:val="auto"/>
              </w:rPr>
            </w:pPr>
            <w:r>
              <w:rPr>
                <w:rFonts w:ascii="Times New Roman" w:cs="Times New Roman" w:eastAsia="Times New Roman" w:hAnsi="Times New Roman"/>
                <w:sz w:val="18"/>
                <w:szCs w:val="18"/>
                <w:color w:val="auto"/>
              </w:rPr>
              <w:t>333-202938</w:t>
            </w:r>
          </w:p>
        </w:tc>
        <w:tc>
          <w:tcPr>
            <w:tcW w:w="16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940" w:type="dxa"/>
            <w:vAlign w:val="bottom"/>
            <w:gridSpan w:val="14"/>
            <w:shd w:val="clear" w:color="auto" w:fill="0000EE"/>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740" w:type="dxa"/>
            <w:vAlign w:val="bottom"/>
            <w:gridSpan w:val="27"/>
          </w:tcPr>
          <w:p>
            <w:pPr>
              <w:spacing w:after="0" w:line="182"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and between the Registrant and 38 Sidney Street</w:t>
              </w:r>
            </w:hyperlink>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8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Limited Partnership</w:t>
              </w:r>
            </w:hyperlink>
          </w:p>
        </w:tc>
        <w:tc>
          <w:tcPr>
            <w:tcW w:w="260" w:type="dxa"/>
            <w:vAlign w:val="bottom"/>
            <w:gridSpan w:val="5"/>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57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Borders>
              <w:top w:val="single" w:sz="8" w:color="0000EE"/>
            </w:tcBorders>
            <w:gridSpan w:val="4"/>
          </w:tcPr>
          <w:p>
            <w:pPr>
              <w:spacing w:after="0"/>
              <w:rPr>
                <w:sz w:val="24"/>
                <w:szCs w:val="24"/>
                <w:color w:val="auto"/>
              </w:rPr>
            </w:pPr>
          </w:p>
        </w:tc>
        <w:tc>
          <w:tcPr>
            <w:tcW w:w="2320" w:type="dxa"/>
            <w:vAlign w:val="bottom"/>
            <w:gridSpan w:val="23"/>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3" w:name="page114"/>
    <w:bookmarkEnd w:id="11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62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918"/>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First Amendment to Lease Agreement, dated</w:t>
              </w:r>
            </w:hyperlink>
          </w:p>
        </w:tc>
        <w:tc>
          <w:tcPr>
            <w:tcW w:w="520" w:type="dxa"/>
            <w:vAlign w:val="bottom"/>
            <w:gridSpan w:val="15"/>
          </w:tcPr>
          <w:p>
            <w:pPr>
              <w:spacing w:after="0"/>
              <w:rPr>
                <w:sz w:val="24"/>
                <w:szCs w:val="24"/>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83"/>
        </w:trPr>
        <w:tc>
          <w:tcPr>
            <w:tcW w:w="840" w:type="dxa"/>
            <w:vAlign w:val="bottom"/>
          </w:tcPr>
          <w:p>
            <w:pPr>
              <w:spacing w:after="0"/>
              <w:rPr>
                <w:sz w:val="15"/>
                <w:szCs w:val="15"/>
                <w:color w:val="auto"/>
              </w:rPr>
            </w:pPr>
          </w:p>
        </w:tc>
        <w:tc>
          <w:tcPr>
            <w:tcW w:w="3780" w:type="dxa"/>
            <w:vAlign w:val="bottom"/>
            <w:gridSpan w:val="33"/>
          </w:tcPr>
          <w:p>
            <w:pPr>
              <w:spacing w:after="0" w:line="182"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January 26, 2018, by and between the Registrant</w:t>
              </w:r>
            </w:hyperlink>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560" w:type="dxa"/>
            <w:vAlign w:val="bottom"/>
            <w:tcBorders>
              <w:top w:val="single" w:sz="8" w:color="0000EE"/>
            </w:tcBorders>
            <w:gridSpan w:val="31"/>
          </w:tcPr>
          <w:p>
            <w:pPr>
              <w:spacing w:after="0"/>
              <w:rPr>
                <w:rFonts w:ascii="Times New Roman" w:cs="Times New Roman" w:eastAsia="Times New Roman" w:hAnsi="Times New Roman"/>
                <w:sz w:val="18"/>
                <w:szCs w:val="18"/>
                <w:u w:val="single" w:color="auto"/>
                <w:color w:val="0000EE"/>
              </w:rPr>
            </w:pPr>
            <w:hyperlink r:id="rId168">
              <w:r>
                <w:rPr>
                  <w:rFonts w:ascii="Times New Roman" w:cs="Times New Roman" w:eastAsia="Times New Roman" w:hAnsi="Times New Roman"/>
                  <w:sz w:val="18"/>
                  <w:szCs w:val="18"/>
                  <w:u w:val="single" w:color="auto"/>
                  <w:color w:val="0000EE"/>
                </w:rPr>
                <w:t>and 38 Sidney Street Limited Partnership</w:t>
              </w:r>
            </w:hyperlink>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Lease Agreement, dated April 28, 2017, by and</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3, 2017</w:t>
            </w:r>
          </w:p>
        </w:tc>
      </w:tr>
      <w:tr>
        <w:trPr>
          <w:trHeight w:val="183"/>
        </w:trPr>
        <w:tc>
          <w:tcPr>
            <w:tcW w:w="840" w:type="dxa"/>
            <w:vAlign w:val="bottom"/>
          </w:tcPr>
          <w:p>
            <w:pPr>
              <w:spacing w:after="0"/>
              <w:rPr>
                <w:sz w:val="15"/>
                <w:szCs w:val="15"/>
                <w:color w:val="auto"/>
              </w:rPr>
            </w:pPr>
          </w:p>
        </w:tc>
        <w:tc>
          <w:tcPr>
            <w:tcW w:w="344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between the Registrant and UP 45/75 Sidney</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22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Street, LLC</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First Amendment of Lease, dated September 19,</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September 25, 2018</w:t>
            </w:r>
          </w:p>
        </w:tc>
      </w:tr>
      <w:tr>
        <w:trPr>
          <w:trHeight w:val="183"/>
        </w:trPr>
        <w:tc>
          <w:tcPr>
            <w:tcW w:w="840" w:type="dxa"/>
            <w:vAlign w:val="bottom"/>
          </w:tcPr>
          <w:p>
            <w:pPr>
              <w:spacing w:after="0"/>
              <w:rPr>
                <w:sz w:val="15"/>
                <w:szCs w:val="15"/>
                <w:color w:val="auto"/>
              </w:rPr>
            </w:pPr>
          </w:p>
        </w:tc>
        <w:tc>
          <w:tcPr>
            <w:tcW w:w="354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2018, between Blueprint Medicines Corporation</w:t>
              </w:r>
            </w:hyperlink>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2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and UP 45/75 Sidney Street, LLC</w:t>
              </w:r>
            </w:hyperlink>
          </w:p>
        </w:tc>
        <w:tc>
          <w:tcPr>
            <w:tcW w:w="60" w:type="dxa"/>
            <w:vAlign w:val="bottom"/>
            <w:gridSpan w:val="3"/>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Employment Agreement, dated November 6,</w:t>
              </w:r>
            </w:hyperlink>
          </w:p>
        </w:tc>
        <w:tc>
          <w:tcPr>
            <w:tcW w:w="520" w:type="dxa"/>
            <w:vAlign w:val="bottom"/>
            <w:gridSpan w:val="15"/>
          </w:tcPr>
          <w:p>
            <w:pPr>
              <w:spacing w:after="0"/>
              <w:rPr>
                <w:sz w:val="21"/>
                <w:szCs w:val="21"/>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November 9, 2015</w:t>
            </w:r>
          </w:p>
        </w:tc>
      </w:tr>
      <w:tr>
        <w:trPr>
          <w:trHeight w:val="183"/>
        </w:trPr>
        <w:tc>
          <w:tcPr>
            <w:tcW w:w="840" w:type="dxa"/>
            <w:vAlign w:val="bottom"/>
          </w:tcPr>
          <w:p>
            <w:pPr>
              <w:spacing w:after="0"/>
              <w:rPr>
                <w:sz w:val="15"/>
                <w:szCs w:val="15"/>
                <w:color w:val="auto"/>
              </w:rPr>
            </w:pPr>
          </w:p>
        </w:tc>
        <w:tc>
          <w:tcPr>
            <w:tcW w:w="3780" w:type="dxa"/>
            <w:vAlign w:val="bottom"/>
            <w:gridSpan w:val="33"/>
          </w:tcPr>
          <w:p>
            <w:pPr>
              <w:spacing w:after="0" w:line="182"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2015, by and between the Registrant and Jeffrey</w:t>
              </w:r>
            </w:hyperlink>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00" w:type="dxa"/>
            <w:vAlign w:val="bottom"/>
            <w:tcBorders>
              <w:top w:val="single" w:sz="8" w:color="0000EE"/>
            </w:tcBorders>
            <w:gridSpan w:val="28"/>
          </w:tcPr>
          <w:p>
            <w:pPr>
              <w:spacing w:after="0" w:line="182"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W. Albers</w:t>
              </w:r>
            </w:hyperlink>
          </w:p>
        </w:tc>
        <w:tc>
          <w:tcPr>
            <w:tcW w:w="80" w:type="dxa"/>
            <w:vAlign w:val="bottom"/>
            <w:gridSpan w:val="4"/>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Employment Agreement, dated November 6,</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November 9, 2015</w:t>
            </w:r>
          </w:p>
        </w:tc>
      </w:tr>
      <w:tr>
        <w:trPr>
          <w:trHeight w:val="183"/>
        </w:trPr>
        <w:tc>
          <w:tcPr>
            <w:tcW w:w="840" w:type="dxa"/>
            <w:vAlign w:val="bottom"/>
          </w:tcPr>
          <w:p>
            <w:pPr>
              <w:spacing w:after="0"/>
              <w:rPr>
                <w:sz w:val="15"/>
                <w:szCs w:val="15"/>
                <w:color w:val="auto"/>
              </w:rPr>
            </w:pPr>
          </w:p>
        </w:tc>
        <w:tc>
          <w:tcPr>
            <w:tcW w:w="324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2015, by and between the Registrant and</w:t>
              </w:r>
            </w:hyperlink>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28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Anthony L. Boral</w:t>
              </w:r>
            </w:hyperlink>
          </w:p>
        </w:tc>
        <w:tc>
          <w:tcPr>
            <w:tcW w:w="1660" w:type="dxa"/>
            <w:vAlign w:val="bottom"/>
            <w:tcBorders>
              <w:top w:val="single" w:sz="8" w:color="0000EE"/>
            </w:tcBorders>
            <w:gridSpan w:val="7"/>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First Amendment to Employment Agreement,</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January 11, 2021</w:t>
            </w:r>
          </w:p>
        </w:tc>
      </w:tr>
      <w:tr>
        <w:trPr>
          <w:trHeight w:val="183"/>
        </w:trPr>
        <w:tc>
          <w:tcPr>
            <w:tcW w:w="840" w:type="dxa"/>
            <w:vAlign w:val="bottom"/>
          </w:tcPr>
          <w:p>
            <w:pPr>
              <w:spacing w:after="0"/>
              <w:rPr>
                <w:sz w:val="15"/>
                <w:szCs w:val="15"/>
                <w:color w:val="auto"/>
              </w:rPr>
            </w:pPr>
          </w:p>
        </w:tc>
        <w:tc>
          <w:tcPr>
            <w:tcW w:w="332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dated January 11, 2021, by and between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88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Blueprint Medicines Corporation and</w:t>
              </w:r>
            </w:hyperlink>
          </w:p>
        </w:tc>
        <w:tc>
          <w:tcPr>
            <w:tcW w:w="900" w:type="dxa"/>
            <w:vAlign w:val="bottom"/>
            <w:gridSpan w:val="23"/>
          </w:tcPr>
          <w:p>
            <w:pPr>
              <w:jc w:val="right"/>
              <w:ind w:right="420"/>
              <w:spacing w:after="0" w:line="182" w:lineRule="exact"/>
              <w:rPr>
                <w:rFonts w:ascii="Times New Roman" w:cs="Times New Roman" w:eastAsia="Times New Roman" w:hAnsi="Times New Roman"/>
                <w:sz w:val="18"/>
                <w:szCs w:val="18"/>
                <w:color w:val="0000EE"/>
                <w:w w:val="72"/>
              </w:rPr>
            </w:pPr>
            <w:hyperlink r:id="rId173">
              <w:r>
                <w:rPr>
                  <w:rFonts w:ascii="Times New Roman" w:cs="Times New Roman" w:eastAsia="Times New Roman" w:hAnsi="Times New Roman"/>
                  <w:sz w:val="18"/>
                  <w:szCs w:val="18"/>
                  <w:color w:val="0000EE"/>
                  <w:w w:val="72"/>
                </w:rPr>
                <w:t>Anthony</w:t>
              </w:r>
            </w:hyperlink>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38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L. Boral, M.D., Ph.D.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Employment Agreement, dated March 10, 2016,</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183"/>
        </w:trPr>
        <w:tc>
          <w:tcPr>
            <w:tcW w:w="840" w:type="dxa"/>
            <w:vAlign w:val="bottom"/>
          </w:tcPr>
          <w:p>
            <w:pPr>
              <w:spacing w:after="0"/>
              <w:rPr>
                <w:sz w:val="15"/>
                <w:szCs w:val="15"/>
                <w:color w:val="auto"/>
              </w:rPr>
            </w:pPr>
          </w:p>
        </w:tc>
        <w:tc>
          <w:tcPr>
            <w:tcW w:w="354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by and between the Registrant and Kathryn</w:t>
              </w:r>
            </w:hyperlink>
          </w:p>
        </w:tc>
        <w:tc>
          <w:tcPr>
            <w:tcW w:w="4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Haviland</w:t>
              </w:r>
            </w:hyperlink>
          </w:p>
        </w:tc>
        <w:tc>
          <w:tcPr>
            <w:tcW w:w="2400" w:type="dxa"/>
            <w:vAlign w:val="bottom"/>
            <w:tcBorders>
              <w:top w:val="single" w:sz="8" w:color="0000EE"/>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First Amendment to Employment Agreement,</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February 5, 2019</w:t>
            </w:r>
          </w:p>
        </w:tc>
      </w:tr>
      <w:tr>
        <w:trPr>
          <w:trHeight w:val="182"/>
        </w:trPr>
        <w:tc>
          <w:tcPr>
            <w:tcW w:w="840" w:type="dxa"/>
            <w:vAlign w:val="bottom"/>
          </w:tcPr>
          <w:p>
            <w:pPr>
              <w:spacing w:after="0"/>
              <w:rPr>
                <w:sz w:val="15"/>
                <w:szCs w:val="15"/>
                <w:color w:val="auto"/>
              </w:rPr>
            </w:pPr>
          </w:p>
        </w:tc>
        <w:tc>
          <w:tcPr>
            <w:tcW w:w="332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dated January 30, 2019, by and between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16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Registrant and Kathryn Haviland</w:t>
              </w:r>
            </w:hyperlink>
          </w:p>
        </w:tc>
        <w:tc>
          <w:tcPr>
            <w:tcW w:w="120" w:type="dxa"/>
            <w:vAlign w:val="bottom"/>
            <w:gridSpan w:val="4"/>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2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Employment Agreement, dated September 6,</w:t>
              </w:r>
            </w:hyperlink>
          </w:p>
        </w:tc>
        <w:tc>
          <w:tcPr>
            <w:tcW w:w="500" w:type="dxa"/>
            <w:vAlign w:val="bottom"/>
            <w:gridSpan w:val="14"/>
          </w:tcPr>
          <w:p>
            <w:pPr>
              <w:spacing w:after="0"/>
              <w:rPr>
                <w:sz w:val="21"/>
                <w:szCs w:val="21"/>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83"/>
        </w:trPr>
        <w:tc>
          <w:tcPr>
            <w:tcW w:w="840" w:type="dxa"/>
            <w:vAlign w:val="bottom"/>
          </w:tcPr>
          <w:p>
            <w:pPr>
              <w:spacing w:after="0"/>
              <w:rPr>
                <w:sz w:val="15"/>
                <w:szCs w:val="15"/>
                <w:color w:val="auto"/>
              </w:rPr>
            </w:pPr>
          </w:p>
        </w:tc>
        <w:tc>
          <w:tcPr>
            <w:tcW w:w="3780" w:type="dxa"/>
            <w:vAlign w:val="bottom"/>
            <w:gridSpan w:val="33"/>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2016, by and between the Registrant and Tracey</w:t>
              </w:r>
            </w:hyperlink>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840" w:type="dxa"/>
            <w:vAlign w:val="bottom"/>
            <w:tcBorders>
              <w:top w:val="single" w:sz="8" w:color="0000EE"/>
              <w:bottom w:val="single" w:sz="8" w:color="0000EE"/>
            </w:tcBorders>
            <w:gridSpan w:val="3"/>
          </w:tcPr>
          <w:p>
            <w:pPr>
              <w:spacing w:after="0" w:line="182"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L. McCain</w:t>
              </w:r>
            </w:hyperlink>
          </w:p>
        </w:tc>
        <w:tc>
          <w:tcPr>
            <w:tcW w:w="2640" w:type="dxa"/>
            <w:vAlign w:val="bottom"/>
            <w:tcBorders>
              <w:top w:val="single" w:sz="8" w:color="0000EE"/>
            </w:tcBorders>
            <w:gridSpan w:val="24"/>
          </w:tcPr>
          <w:p>
            <w:pPr>
              <w:spacing w:after="0"/>
              <w:rPr>
                <w:sz w:val="15"/>
                <w:szCs w:val="15"/>
                <w:color w:val="auto"/>
              </w:rPr>
            </w:pPr>
          </w:p>
        </w:tc>
        <w:tc>
          <w:tcPr>
            <w:tcW w:w="100" w:type="dxa"/>
            <w:vAlign w:val="bottom"/>
            <w:gridSpan w:val="5"/>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2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Employment Agreement, dated November 9,</w:t>
              </w:r>
            </w:hyperlink>
          </w:p>
        </w:tc>
        <w:tc>
          <w:tcPr>
            <w:tcW w:w="520" w:type="dxa"/>
            <w:vAlign w:val="bottom"/>
            <w:gridSpan w:val="15"/>
          </w:tcPr>
          <w:p>
            <w:pPr>
              <w:spacing w:after="0"/>
              <w:rPr>
                <w:sz w:val="21"/>
                <w:szCs w:val="21"/>
                <w:color w:val="auto"/>
              </w:rPr>
            </w:pPr>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November 14, 2016</w:t>
            </w:r>
          </w:p>
        </w:tc>
      </w:tr>
      <w:tr>
        <w:trPr>
          <w:trHeight w:val="183"/>
        </w:trPr>
        <w:tc>
          <w:tcPr>
            <w:tcW w:w="840" w:type="dxa"/>
            <w:vAlign w:val="bottom"/>
          </w:tcPr>
          <w:p>
            <w:pPr>
              <w:spacing w:after="0"/>
              <w:rPr>
                <w:sz w:val="15"/>
                <w:szCs w:val="15"/>
                <w:color w:val="auto"/>
              </w:rPr>
            </w:pPr>
          </w:p>
        </w:tc>
        <w:tc>
          <w:tcPr>
            <w:tcW w:w="3780" w:type="dxa"/>
            <w:vAlign w:val="bottom"/>
            <w:gridSpan w:val="33"/>
          </w:tcPr>
          <w:p>
            <w:pPr>
              <w:spacing w:after="0" w:line="182"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2016, by and between the Registrant and Marion</w:t>
              </w:r>
            </w:hyperlink>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2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6"/>
              </w:rPr>
            </w:pPr>
            <w:hyperlink r:id="rId177">
              <w:r>
                <w:rPr>
                  <w:rFonts w:ascii="Times New Roman" w:cs="Times New Roman" w:eastAsia="Times New Roman" w:hAnsi="Times New Roman"/>
                  <w:sz w:val="18"/>
                  <w:szCs w:val="18"/>
                  <w:color w:val="0000EE"/>
                  <w:w w:val="96"/>
                </w:rPr>
                <w:t>Dorsch</w:t>
              </w:r>
            </w:hyperlink>
          </w:p>
        </w:tc>
        <w:tc>
          <w:tcPr>
            <w:tcW w:w="3060" w:type="dxa"/>
            <w:vAlign w:val="bottom"/>
            <w:tcBorders>
              <w:top w:val="single" w:sz="8" w:color="0000EE"/>
            </w:tcBorders>
            <w:gridSpan w:val="31"/>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Employment Agreement, dated October 10,</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October 31, 2017</w:t>
            </w:r>
          </w:p>
        </w:tc>
      </w:tr>
      <w:tr>
        <w:trPr>
          <w:trHeight w:val="183"/>
        </w:trPr>
        <w:tc>
          <w:tcPr>
            <w:tcW w:w="840" w:type="dxa"/>
            <w:vAlign w:val="bottom"/>
          </w:tcPr>
          <w:p>
            <w:pPr>
              <w:spacing w:after="0"/>
              <w:rPr>
                <w:sz w:val="15"/>
                <w:szCs w:val="15"/>
                <w:color w:val="auto"/>
              </w:rPr>
            </w:pPr>
          </w:p>
        </w:tc>
        <w:tc>
          <w:tcPr>
            <w:tcW w:w="314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2017, by and between the Registrant and</w:t>
              </w:r>
            </w:hyperlink>
          </w:p>
        </w:tc>
        <w:tc>
          <w:tcPr>
            <w:tcW w:w="200" w:type="dxa"/>
            <w:vAlign w:val="bottom"/>
            <w:gridSpan w:val="7"/>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44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Christopher Murray</w:t>
              </w:r>
            </w:hyperlink>
          </w:p>
        </w:tc>
        <w:tc>
          <w:tcPr>
            <w:tcW w:w="1500" w:type="dxa"/>
            <w:vAlign w:val="bottom"/>
            <w:tcBorders>
              <w:top w:val="single" w:sz="8" w:color="0000EE"/>
            </w:tcBorders>
            <w:gridSpan w:val="5"/>
          </w:tcPr>
          <w:p>
            <w:pPr>
              <w:spacing w:after="0"/>
              <w:rPr>
                <w:sz w:val="15"/>
                <w:szCs w:val="15"/>
                <w:color w:val="auto"/>
              </w:rPr>
            </w:pPr>
          </w:p>
        </w:tc>
        <w:tc>
          <w:tcPr>
            <w:tcW w:w="40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Employment Agreement, dated November 22,</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November 22, 2017</w:t>
            </w:r>
          </w:p>
        </w:tc>
      </w:tr>
      <w:tr>
        <w:trPr>
          <w:trHeight w:val="183"/>
        </w:trPr>
        <w:tc>
          <w:tcPr>
            <w:tcW w:w="840" w:type="dxa"/>
            <w:vAlign w:val="bottom"/>
          </w:tcPr>
          <w:p>
            <w:pPr>
              <w:spacing w:after="0"/>
              <w:rPr>
                <w:sz w:val="15"/>
                <w:szCs w:val="15"/>
                <w:color w:val="auto"/>
              </w:rPr>
            </w:pPr>
          </w:p>
        </w:tc>
        <w:tc>
          <w:tcPr>
            <w:tcW w:w="3340" w:type="dxa"/>
            <w:vAlign w:val="bottom"/>
            <w:tcBorders>
              <w:top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2017, by and between the Registrant and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36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Michael Landsittel</w:t>
              </w:r>
            </w:hyperlink>
          </w:p>
        </w:tc>
        <w:tc>
          <w:tcPr>
            <w:tcW w:w="1580" w:type="dxa"/>
            <w:vAlign w:val="bottom"/>
            <w:tcBorders>
              <w:top w:val="single" w:sz="8" w:color="0000EE"/>
            </w:tcBorders>
            <w:gridSpan w:val="6"/>
          </w:tcPr>
          <w:p>
            <w:pPr>
              <w:spacing w:after="0"/>
              <w:rPr>
                <w:sz w:val="15"/>
                <w:szCs w:val="15"/>
                <w:color w:val="auto"/>
              </w:rPr>
            </w:pPr>
          </w:p>
        </w:tc>
        <w:tc>
          <w:tcPr>
            <w:tcW w:w="42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First Amendment to Employment Agreement,</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February 5, 2019</w:t>
            </w:r>
          </w:p>
        </w:tc>
      </w:tr>
      <w:tr>
        <w:trPr>
          <w:trHeight w:val="183"/>
        </w:trPr>
        <w:tc>
          <w:tcPr>
            <w:tcW w:w="840" w:type="dxa"/>
            <w:vAlign w:val="bottom"/>
          </w:tcPr>
          <w:p>
            <w:pPr>
              <w:spacing w:after="0"/>
              <w:rPr>
                <w:sz w:val="15"/>
                <w:szCs w:val="15"/>
                <w:color w:val="auto"/>
              </w:rPr>
            </w:pPr>
          </w:p>
        </w:tc>
        <w:tc>
          <w:tcPr>
            <w:tcW w:w="3320" w:type="dxa"/>
            <w:vAlign w:val="bottom"/>
            <w:tcBorders>
              <w:top w:val="single" w:sz="8" w:color="0000EE"/>
            </w:tcBorders>
            <w:gridSpan w:val="20"/>
          </w:tcPr>
          <w:p>
            <w:pPr>
              <w:spacing w:after="0" w:line="182"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dated January 30, 2019, by and between the</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160" w:type="dxa"/>
            <w:vAlign w:val="bottom"/>
            <w:tcBorders>
              <w:top w:val="single" w:sz="8" w:color="0000EE"/>
            </w:tcBorders>
            <w:gridSpan w:val="15"/>
          </w:tcPr>
          <w:p>
            <w:pPr>
              <w:spacing w:after="0"/>
              <w:rPr>
                <w:rFonts w:ascii="Times New Roman" w:cs="Times New Roman" w:eastAsia="Times New Roman" w:hAnsi="Times New Roman"/>
                <w:sz w:val="18"/>
                <w:szCs w:val="18"/>
                <w:u w:val="single" w:color="auto"/>
                <w:color w:val="0000EE"/>
              </w:rPr>
            </w:pPr>
            <w:hyperlink r:id="rId180">
              <w:r>
                <w:rPr>
                  <w:rFonts w:ascii="Times New Roman" w:cs="Times New Roman" w:eastAsia="Times New Roman" w:hAnsi="Times New Roman"/>
                  <w:sz w:val="18"/>
                  <w:szCs w:val="18"/>
                  <w:u w:val="single" w:color="auto"/>
                  <w:color w:val="0000EE"/>
                </w:rPr>
                <w:t>Registrant and Michael Landsittel</w:t>
              </w:r>
            </w:hyperlink>
          </w:p>
        </w:tc>
        <w:tc>
          <w:tcPr>
            <w:tcW w:w="200" w:type="dxa"/>
            <w:vAlign w:val="bottom"/>
            <w:gridSpan w:val="7"/>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8"/>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Employment Agreement, dated October 29,</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October 29, 2018</w:t>
            </w:r>
          </w:p>
        </w:tc>
      </w:tr>
      <w:tr>
        <w:trPr>
          <w:trHeight w:val="183"/>
        </w:trPr>
        <w:tc>
          <w:tcPr>
            <w:tcW w:w="840" w:type="dxa"/>
            <w:vAlign w:val="bottom"/>
          </w:tcPr>
          <w:p>
            <w:pPr>
              <w:spacing w:after="0"/>
              <w:rPr>
                <w:sz w:val="15"/>
                <w:szCs w:val="15"/>
                <w:color w:val="auto"/>
              </w:rPr>
            </w:pPr>
          </w:p>
        </w:tc>
        <w:tc>
          <w:tcPr>
            <w:tcW w:w="3140" w:type="dxa"/>
            <w:vAlign w:val="bottom"/>
            <w:tcBorders>
              <w:top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2018, by and between the Registrant and</w:t>
              </w:r>
            </w:hyperlink>
          </w:p>
        </w:tc>
        <w:tc>
          <w:tcPr>
            <w:tcW w:w="220" w:type="dxa"/>
            <w:vAlign w:val="bottom"/>
            <w:gridSpan w:val="8"/>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94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Christina Rossi</w:t>
              </w:r>
            </w:hyperlink>
          </w:p>
        </w:tc>
        <w:tc>
          <w:tcPr>
            <w:tcW w:w="420" w:type="dxa"/>
            <w:vAlign w:val="bottom"/>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gridSpan w:val="8"/>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460" w:type="dxa"/>
            <w:vAlign w:val="bottom"/>
            <w:gridSpan w:val="11"/>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Employment Agreement, dated March 6, 2019,</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March 8, 2019</w:t>
            </w:r>
          </w:p>
        </w:tc>
      </w:tr>
      <w:tr>
        <w:trPr>
          <w:trHeight w:val="228"/>
        </w:trPr>
        <w:tc>
          <w:tcPr>
            <w:tcW w:w="840" w:type="dxa"/>
            <w:vAlign w:val="bottom"/>
          </w:tcPr>
          <w:p>
            <w:pPr>
              <w:spacing w:after="0"/>
              <w:rPr>
                <w:sz w:val="19"/>
                <w:szCs w:val="19"/>
                <w:color w:val="auto"/>
              </w:rPr>
            </w:pPr>
          </w:p>
        </w:tc>
        <w:tc>
          <w:tcPr>
            <w:tcW w:w="3420" w:type="dxa"/>
            <w:vAlign w:val="bottom"/>
            <w:tcBorders>
              <w:top w:val="single" w:sz="8" w:color="0000EE"/>
            </w:tcBorders>
            <w:gridSpan w:val="25"/>
          </w:tcPr>
          <w:p>
            <w:pPr>
              <w:spacing w:after="0"/>
              <w:rPr>
                <w:rFonts w:ascii="Times New Roman" w:cs="Times New Roman" w:eastAsia="Times New Roman" w:hAnsi="Times New Roman"/>
                <w:sz w:val="18"/>
                <w:szCs w:val="18"/>
                <w:u w:val="single" w:color="auto"/>
                <w:color w:val="0000EE"/>
                <w:w w:val="98"/>
              </w:rPr>
            </w:pPr>
            <w:hyperlink r:id="rId182">
              <w:r>
                <w:rPr>
                  <w:rFonts w:ascii="Times New Roman" w:cs="Times New Roman" w:eastAsia="Times New Roman" w:hAnsi="Times New Roman"/>
                  <w:sz w:val="18"/>
                  <w:szCs w:val="18"/>
                  <w:u w:val="single" w:color="auto"/>
                  <w:color w:val="0000EE"/>
                  <w:w w:val="98"/>
                </w:rPr>
                <w:t>by and between the Registrant and Ariel Hurley</w:t>
              </w:r>
            </w:hyperlink>
          </w:p>
        </w:tc>
        <w:tc>
          <w:tcPr>
            <w:tcW w:w="360" w:type="dxa"/>
            <w:vAlign w:val="bottom"/>
            <w:gridSpan w:val="8"/>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780" w:type="dxa"/>
            <w:vAlign w:val="bottom"/>
            <w:gridSpan w:val="33"/>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Employment Agreement, dated November 22,</w:t>
              </w:r>
            </w:hyperlink>
          </w:p>
        </w:tc>
        <w:tc>
          <w:tcPr>
            <w:tcW w:w="5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10.19</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February 13, 2020</w:t>
            </w:r>
          </w:p>
        </w:tc>
      </w:tr>
      <w:tr>
        <w:trPr>
          <w:trHeight w:val="183"/>
        </w:trPr>
        <w:tc>
          <w:tcPr>
            <w:tcW w:w="840" w:type="dxa"/>
            <w:vAlign w:val="bottom"/>
          </w:tcPr>
          <w:p>
            <w:pPr>
              <w:spacing w:after="0"/>
              <w:rPr>
                <w:sz w:val="15"/>
                <w:szCs w:val="15"/>
                <w:color w:val="auto"/>
              </w:rPr>
            </w:pPr>
          </w:p>
        </w:tc>
        <w:tc>
          <w:tcPr>
            <w:tcW w:w="3360" w:type="dxa"/>
            <w:vAlign w:val="bottom"/>
            <w:tcBorders>
              <w:top w:val="single" w:sz="8" w:color="0000EE"/>
            </w:tcBorders>
            <w:gridSpan w:val="22"/>
          </w:tcPr>
          <w:p>
            <w:pPr>
              <w:spacing w:after="0" w:line="182" w:lineRule="exact"/>
              <w:rPr>
                <w:rFonts w:ascii="Times New Roman" w:cs="Times New Roman" w:eastAsia="Times New Roman" w:hAnsi="Times New Roman"/>
                <w:sz w:val="18"/>
                <w:szCs w:val="18"/>
                <w:color w:val="0000EE"/>
                <w:w w:val="97"/>
              </w:rPr>
            </w:pPr>
            <w:hyperlink r:id="rId183">
              <w:r>
                <w:rPr>
                  <w:rFonts w:ascii="Times New Roman" w:cs="Times New Roman" w:eastAsia="Times New Roman" w:hAnsi="Times New Roman"/>
                  <w:sz w:val="18"/>
                  <w:szCs w:val="18"/>
                  <w:color w:val="0000EE"/>
                  <w:w w:val="97"/>
                </w:rPr>
                <w:t>2017, by and between the Registrant and Debra</w:t>
              </w:r>
            </w:hyperlink>
          </w:p>
        </w:tc>
        <w:tc>
          <w:tcPr>
            <w:tcW w:w="40" w:type="dxa"/>
            <w:vAlign w:val="bottom"/>
            <w:gridSpan w:val="2"/>
          </w:tcPr>
          <w:p>
            <w:pPr>
              <w:spacing w:after="0"/>
              <w:rPr>
                <w:sz w:val="15"/>
                <w:szCs w:val="15"/>
                <w:color w:val="auto"/>
              </w:rPr>
            </w:pPr>
          </w:p>
        </w:tc>
        <w:tc>
          <w:tcPr>
            <w:tcW w:w="380" w:type="dxa"/>
            <w:vAlign w:val="bottom"/>
            <w:gridSpan w:val="9"/>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44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Durso-Bumpus, as amended by the First</w:t>
              </w:r>
            </w:hyperlink>
          </w:p>
        </w:tc>
        <w:tc>
          <w:tcPr>
            <w:tcW w:w="34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290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w w:val="97"/>
              </w:rPr>
            </w:pPr>
            <w:hyperlink r:id="rId183">
              <w:r>
                <w:rPr>
                  <w:rFonts w:ascii="Times New Roman" w:cs="Times New Roman" w:eastAsia="Times New Roman" w:hAnsi="Times New Roman"/>
                  <w:sz w:val="18"/>
                  <w:szCs w:val="18"/>
                  <w:color w:val="0000EE"/>
                  <w:w w:val="97"/>
                </w:rPr>
                <w:t>Amendment to Employment Agreement,</w:t>
              </w:r>
            </w:hyperlink>
          </w:p>
        </w:tc>
        <w:tc>
          <w:tcPr>
            <w:tcW w:w="880" w:type="dxa"/>
            <w:vAlign w:val="bottom"/>
            <w:gridSpan w:val="22"/>
          </w:tcPr>
          <w:p>
            <w:pPr>
              <w:jc w:val="right"/>
              <w:ind w:right="400"/>
              <w:spacing w:after="0" w:line="182"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dated</w:t>
              </w:r>
            </w:hyperlink>
          </w:p>
        </w:tc>
        <w:tc>
          <w:tcPr>
            <w:tcW w:w="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1"/>
        </w:trPr>
        <w:tc>
          <w:tcPr>
            <w:tcW w:w="840" w:type="dxa"/>
            <w:vAlign w:val="bottom"/>
          </w:tcPr>
          <w:p>
            <w:pPr>
              <w:spacing w:after="0"/>
              <w:rPr>
                <w:sz w:val="16"/>
                <w:szCs w:val="16"/>
                <w:color w:val="auto"/>
              </w:rPr>
            </w:pPr>
          </w:p>
        </w:tc>
        <w:tc>
          <w:tcPr>
            <w:tcW w:w="3400" w:type="dxa"/>
            <w:vAlign w:val="bottom"/>
            <w:tcBorders>
              <w:top w:val="single" w:sz="8" w:color="0000EE"/>
            </w:tcBorders>
            <w:gridSpan w:val="24"/>
          </w:tcPr>
          <w:p>
            <w:pPr>
              <w:spacing w:after="0" w:line="191" w:lineRule="exact"/>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February 10, 2020, by and between the</w:t>
              </w:r>
            </w:hyperlink>
          </w:p>
        </w:tc>
        <w:tc>
          <w:tcPr>
            <w:tcW w:w="380" w:type="dxa"/>
            <w:vAlign w:val="bottom"/>
            <w:gridSpan w:val="9"/>
          </w:tcPr>
          <w:p>
            <w:pPr>
              <w:spacing w:after="0"/>
              <w:rPr>
                <w:sz w:val="16"/>
                <w:szCs w:val="16"/>
                <w:color w:val="auto"/>
              </w:rPr>
            </w:pPr>
          </w:p>
        </w:tc>
        <w:tc>
          <w:tcPr>
            <w:tcW w:w="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3780" w:type="dxa"/>
            <w:vAlign w:val="bottom"/>
            <w:gridSpan w:val="33"/>
          </w:tcPr>
          <w:p>
            <w:pPr>
              <w:spacing w:after="0"/>
              <w:rPr>
                <w:rFonts w:ascii="Times New Roman" w:cs="Times New Roman" w:eastAsia="Times New Roman" w:hAnsi="Times New Roman"/>
                <w:sz w:val="18"/>
                <w:szCs w:val="18"/>
                <w:u w:val="single" w:color="auto"/>
                <w:color w:val="0000EE"/>
              </w:rPr>
            </w:pPr>
            <w:hyperlink r:id="rId183">
              <w:r>
                <w:rPr>
                  <w:rFonts w:ascii="Times New Roman" w:cs="Times New Roman" w:eastAsia="Times New Roman" w:hAnsi="Times New Roman"/>
                  <w:sz w:val="18"/>
                  <w:szCs w:val="18"/>
                  <w:u w:val="single" w:color="auto"/>
                  <w:color w:val="0000EE"/>
                </w:rPr>
                <w:t>Registrant and Debra Durso-Bumpus</w:t>
              </w:r>
            </w:hyperlink>
          </w:p>
        </w:tc>
        <w:tc>
          <w:tcPr>
            <w:tcW w:w="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553"/>
        </w:trPr>
        <w:tc>
          <w:tcPr>
            <w:tcW w:w="840" w:type="dxa"/>
            <w:vAlign w:val="bottom"/>
          </w:tcPr>
          <w:p>
            <w:pPr>
              <w:spacing w:after="0"/>
              <w:rPr>
                <w:sz w:val="24"/>
                <w:szCs w:val="24"/>
                <w:color w:val="auto"/>
              </w:rPr>
            </w:pPr>
          </w:p>
        </w:tc>
        <w:tc>
          <w:tcPr>
            <w:tcW w:w="3780" w:type="dxa"/>
            <w:vAlign w:val="bottom"/>
            <w:gridSpan w:val="33"/>
          </w:tcPr>
          <w:p>
            <w:pPr>
              <w:ind w:left="3480"/>
              <w:spacing w:after="0"/>
              <w:rPr>
                <w:sz w:val="20"/>
                <w:szCs w:val="20"/>
                <w:color w:val="auto"/>
              </w:rPr>
            </w:pPr>
            <w:r>
              <w:rPr>
                <w:rFonts w:ascii="Times New Roman" w:cs="Times New Roman" w:eastAsia="Times New Roman" w:hAnsi="Times New Roman"/>
                <w:sz w:val="18"/>
                <w:szCs w:val="18"/>
                <w:color w:val="auto"/>
              </w:rPr>
              <w:t>112</w:t>
            </w: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7"/>
        </w:trPr>
        <w:tc>
          <w:tcPr>
            <w:tcW w:w="8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4" w:name="page115"/>
    <w:bookmarkEnd w:id="11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540" w:type="dxa"/>
            <w:vAlign w:val="bottom"/>
            <w:gridSpan w:val="34"/>
          </w:tcPr>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918"/>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Employment Agreement, effective September 1,</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September 1, 2020</w:t>
            </w:r>
          </w:p>
        </w:tc>
      </w:tr>
      <w:tr>
        <w:trPr>
          <w:trHeight w:val="183"/>
        </w:trPr>
        <w:tc>
          <w:tcPr>
            <w:tcW w:w="840" w:type="dxa"/>
            <w:vAlign w:val="bottom"/>
          </w:tcPr>
          <w:p>
            <w:pPr>
              <w:spacing w:after="0"/>
              <w:rPr>
                <w:sz w:val="15"/>
                <w:szCs w:val="15"/>
                <w:color w:val="auto"/>
              </w:rPr>
            </w:pPr>
          </w:p>
        </w:tc>
        <w:tc>
          <w:tcPr>
            <w:tcW w:w="3600" w:type="dxa"/>
            <w:vAlign w:val="bottom"/>
            <w:tcBorders>
              <w:top w:val="single" w:sz="8" w:color="0000EE"/>
            </w:tcBorders>
            <w:gridSpan w:val="28"/>
          </w:tcPr>
          <w:p>
            <w:pPr>
              <w:spacing w:after="0" w:line="182"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2020, by and between the Registrant and Fouad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140" w:type="dxa"/>
            <w:vAlign w:val="bottom"/>
            <w:tcBorders>
              <w:top w:val="single" w:sz="8" w:color="0000EE"/>
              <w:bottom w:val="single" w:sz="8" w:color="0000EE"/>
            </w:tcBorders>
          </w:tcPr>
          <w:p>
            <w:pPr>
              <w:spacing w:after="0" w:line="182"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Namouni, M.D.</w:t>
              </w:r>
            </w:hyperlink>
          </w:p>
        </w:tc>
        <w:tc>
          <w:tcPr>
            <w:tcW w:w="2300" w:type="dxa"/>
            <w:vAlign w:val="bottom"/>
            <w:tcBorders>
              <w:top w:val="single" w:sz="8" w:color="0000EE"/>
            </w:tcBorders>
            <w:gridSpan w:val="1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Amended and Restated Employment Agreement,</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January 11, 2021</w:t>
            </w:r>
          </w:p>
        </w:tc>
      </w:tr>
      <w:tr>
        <w:trPr>
          <w:trHeight w:val="183"/>
        </w:trPr>
        <w:tc>
          <w:tcPr>
            <w:tcW w:w="840" w:type="dxa"/>
            <w:vAlign w:val="bottom"/>
          </w:tcPr>
          <w:p>
            <w:pPr>
              <w:spacing w:after="0"/>
              <w:rPr>
                <w:sz w:val="15"/>
                <w:szCs w:val="15"/>
                <w:color w:val="auto"/>
              </w:rPr>
            </w:pPr>
          </w:p>
        </w:tc>
        <w:tc>
          <w:tcPr>
            <w:tcW w:w="3660" w:type="dxa"/>
            <w:vAlign w:val="bottom"/>
            <w:tcBorders>
              <w:top w:val="single" w:sz="8" w:color="0000EE"/>
            </w:tcBorders>
            <w:gridSpan w:val="31"/>
          </w:tcPr>
          <w:p>
            <w:pPr>
              <w:spacing w:after="0" w:line="182"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dated January 11, 2021, by and between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16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Registrant and Becker Hewes, M.D.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Collaboration and License Agreement, effective</w:t>
              </w:r>
            </w:hyperlink>
          </w:p>
        </w:tc>
        <w:tc>
          <w:tcPr>
            <w:tcW w:w="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10-Q/A</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July 22, 2016</w:t>
            </w:r>
          </w:p>
        </w:tc>
      </w:tr>
      <w:tr>
        <w:trPr>
          <w:trHeight w:val="183"/>
        </w:trPr>
        <w:tc>
          <w:tcPr>
            <w:tcW w:w="84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22"/>
          </w:tcPr>
          <w:p>
            <w:pPr>
              <w:spacing w:after="0" w:line="182"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March 14, 2016, by and among F. Hoffmann-La</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20" w:type="dxa"/>
            <w:vAlign w:val="bottom"/>
            <w:gridSpan w:val="24"/>
          </w:tcPr>
          <w:p>
            <w:pPr>
              <w:spacing w:after="0" w:line="182"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Roche Ltd, Hoffmann-La Roche Inc. and the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020" w:type="dxa"/>
            <w:vAlign w:val="bottom"/>
            <w:tcBorders>
              <w:top w:val="single" w:sz="8" w:color="0000EE"/>
              <w:bottom w:val="single" w:sz="8" w:color="0000EE"/>
            </w:tcBorders>
            <w:gridSpan w:val="7"/>
          </w:tcPr>
          <w:p>
            <w:pPr>
              <w:spacing w:after="0" w:line="182" w:lineRule="exact"/>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Registrant, as amended by Amendment to</w:t>
              </w:r>
            </w:hyperlink>
          </w:p>
        </w:tc>
        <w:tc>
          <w:tcPr>
            <w:tcW w:w="220" w:type="dxa"/>
            <w:vAlign w:val="bottom"/>
            <w:tcBorders>
              <w:top w:val="single" w:sz="8" w:color="0000EE"/>
            </w:tcBorders>
            <w:gridSpan w:val="7"/>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1"/>
        </w:trPr>
        <w:tc>
          <w:tcPr>
            <w:tcW w:w="840" w:type="dxa"/>
            <w:vAlign w:val="bottom"/>
          </w:tcPr>
          <w:p>
            <w:pPr>
              <w:spacing w:after="0"/>
              <w:rPr>
                <w:sz w:val="16"/>
                <w:szCs w:val="16"/>
                <w:color w:val="auto"/>
              </w:rPr>
            </w:pPr>
          </w:p>
        </w:tc>
        <w:tc>
          <w:tcPr>
            <w:tcW w:w="3700" w:type="dxa"/>
            <w:vAlign w:val="bottom"/>
            <w:gridSpan w:val="33"/>
          </w:tcPr>
          <w:p>
            <w:pPr>
              <w:spacing w:after="0" w:line="191" w:lineRule="exact"/>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Collaboration and License Agreement, effective</w:t>
              </w:r>
            </w:hyperlink>
          </w:p>
        </w:tc>
        <w:tc>
          <w:tcPr>
            <w:tcW w:w="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34"/>
        </w:trPr>
        <w:tc>
          <w:tcPr>
            <w:tcW w:w="840" w:type="dxa"/>
            <w:vAlign w:val="bottom"/>
          </w:tcPr>
          <w:p>
            <w:pPr>
              <w:spacing w:after="0"/>
              <w:rPr>
                <w:sz w:val="20"/>
                <w:szCs w:val="20"/>
                <w:color w:val="auto"/>
              </w:rPr>
            </w:pPr>
          </w:p>
        </w:tc>
        <w:tc>
          <w:tcPr>
            <w:tcW w:w="3700" w:type="dxa"/>
            <w:vAlign w:val="bottom"/>
            <w:gridSpan w:val="33"/>
          </w:tcPr>
          <w:p>
            <w:pPr>
              <w:spacing w:after="0"/>
              <w:rPr>
                <w:rFonts w:ascii="Times New Roman" w:cs="Times New Roman" w:eastAsia="Times New Roman" w:hAnsi="Times New Roman"/>
                <w:sz w:val="18"/>
                <w:szCs w:val="18"/>
                <w:u w:val="single" w:color="auto"/>
                <w:color w:val="0000EE"/>
              </w:rPr>
            </w:pPr>
            <w:hyperlink r:id="rId186">
              <w:r>
                <w:rPr>
                  <w:rFonts w:ascii="Times New Roman" w:cs="Times New Roman" w:eastAsia="Times New Roman" w:hAnsi="Times New Roman"/>
                  <w:sz w:val="18"/>
                  <w:szCs w:val="18"/>
                  <w:u w:val="single" w:color="auto"/>
                  <w:color w:val="0000EE"/>
                </w:rPr>
                <w:t>April 15, 2016</w:t>
              </w:r>
            </w:hyperlink>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29"/>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Second Amendment to Collaboration and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August 9, 2016</w:t>
            </w: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700" w:type="dxa"/>
            <w:vAlign w:val="bottom"/>
            <w:gridSpan w:val="33"/>
          </w:tcPr>
          <w:p>
            <w:pPr>
              <w:spacing w:after="0" w:line="182"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License Agreement, effective April 27, 2016, by</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620" w:type="dxa"/>
            <w:vAlign w:val="bottom"/>
            <w:tcBorders>
              <w:top w:val="single" w:sz="8" w:color="0000EE"/>
            </w:tcBorders>
            <w:gridSpan w:val="29"/>
          </w:tcPr>
          <w:p>
            <w:pPr>
              <w:spacing w:after="0" w:line="182"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and among F. Hoffmann-La Roche Ltd,</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28"/>
        </w:trPr>
        <w:tc>
          <w:tcPr>
            <w:tcW w:w="840" w:type="dxa"/>
            <w:vAlign w:val="bottom"/>
          </w:tcPr>
          <w:p>
            <w:pPr>
              <w:spacing w:after="0"/>
              <w:rPr>
                <w:sz w:val="19"/>
                <w:szCs w:val="19"/>
                <w:color w:val="auto"/>
              </w:rPr>
            </w:pPr>
          </w:p>
        </w:tc>
        <w:tc>
          <w:tcPr>
            <w:tcW w:w="3700" w:type="dxa"/>
            <w:vAlign w:val="bottom"/>
            <w:gridSpan w:val="33"/>
          </w:tcPr>
          <w:p>
            <w:pPr>
              <w:spacing w:after="0"/>
              <w:rPr>
                <w:rFonts w:ascii="Times New Roman" w:cs="Times New Roman" w:eastAsia="Times New Roman" w:hAnsi="Times New Roman"/>
                <w:sz w:val="18"/>
                <w:szCs w:val="18"/>
                <w:u w:val="single" w:color="auto"/>
                <w:color w:val="0000EE"/>
              </w:rPr>
            </w:pPr>
            <w:hyperlink r:id="rId187">
              <w:r>
                <w:rPr>
                  <w:rFonts w:ascii="Times New Roman" w:cs="Times New Roman" w:eastAsia="Times New Roman" w:hAnsi="Times New Roman"/>
                  <w:sz w:val="18"/>
                  <w:szCs w:val="18"/>
                  <w:u w:val="single" w:color="auto"/>
                  <w:color w:val="0000EE"/>
                </w:rPr>
                <w:t>Hoffmann-La Roche Inc. and the Registrant</w:t>
              </w:r>
            </w:hyperlink>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Third Amendment to Collaboration and License</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November 10, 2016</w:t>
            </w:r>
          </w:p>
        </w:tc>
      </w:tr>
      <w:tr>
        <w:trPr>
          <w:trHeight w:val="183"/>
        </w:trPr>
        <w:tc>
          <w:tcPr>
            <w:tcW w:w="840" w:type="dxa"/>
            <w:vAlign w:val="bottom"/>
          </w:tcPr>
          <w:p>
            <w:pPr>
              <w:spacing w:after="0"/>
              <w:rPr>
                <w:sz w:val="15"/>
                <w:szCs w:val="15"/>
                <w:color w:val="auto"/>
              </w:rPr>
            </w:pPr>
          </w:p>
        </w:tc>
        <w:tc>
          <w:tcPr>
            <w:tcW w:w="3540" w:type="dxa"/>
            <w:vAlign w:val="bottom"/>
            <w:tcBorders>
              <w:top w:val="single" w:sz="8" w:color="0000EE"/>
            </w:tcBorders>
            <w:gridSpan w:val="25"/>
          </w:tcPr>
          <w:p>
            <w:pPr>
              <w:spacing w:after="0" w:line="182"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Agreement, effective August 4, 2016, by and</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26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w w:val="96"/>
              </w:rPr>
            </w:pPr>
            <w:hyperlink r:id="rId188">
              <w:r>
                <w:rPr>
                  <w:rFonts w:ascii="Times New Roman" w:cs="Times New Roman" w:eastAsia="Times New Roman" w:hAnsi="Times New Roman"/>
                  <w:sz w:val="18"/>
                  <w:szCs w:val="18"/>
                  <w:color w:val="0000EE"/>
                  <w:w w:val="96"/>
                </w:rPr>
                <w:t>among F. Hoffmann-La Roche Ltd, Hoffmann</w:t>
              </w:r>
            </w:hyperlink>
          </w:p>
        </w:tc>
        <w:tc>
          <w:tcPr>
            <w:tcW w:w="160" w:type="dxa"/>
            <w:vAlign w:val="bottom"/>
            <w:gridSpan w:val="4"/>
          </w:tcPr>
          <w:p>
            <w:pPr>
              <w:jc w:val="center"/>
              <w:spacing w:after="0" w:line="182"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188">
              <w:r>
                <w:rPr>
                  <w:rFonts w:ascii="Times New Roman" w:cs="Times New Roman" w:eastAsia="Times New Roman" w:hAnsi="Times New Roman"/>
                  <w:sz w:val="18"/>
                  <w:szCs w:val="18"/>
                  <w:u w:val="single" w:color="auto"/>
                  <w:color w:val="0000EE"/>
                </w:rPr>
                <w:t>La Roche Inc. and the Registrant</w:t>
              </w:r>
            </w:hyperlink>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40" w:type="dxa"/>
            <w:vAlign w:val="bottom"/>
            <w:gridSpan w:val="2"/>
          </w:tcPr>
          <w:p>
            <w:pPr>
              <w:spacing w:after="0"/>
              <w:rPr>
                <w:sz w:val="19"/>
                <w:szCs w:val="19"/>
                <w:color w:val="auto"/>
              </w:rPr>
            </w:pPr>
          </w:p>
        </w:tc>
        <w:tc>
          <w:tcPr>
            <w:tcW w:w="6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37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Fourth Amendment to Collaboration and License</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10.26</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February 26, 2019</w:t>
            </w:r>
          </w:p>
        </w:tc>
      </w:tr>
      <w:tr>
        <w:trPr>
          <w:trHeight w:val="183"/>
        </w:trPr>
        <w:tc>
          <w:tcPr>
            <w:tcW w:w="840" w:type="dxa"/>
            <w:vAlign w:val="bottom"/>
          </w:tcPr>
          <w:p>
            <w:pPr>
              <w:spacing w:after="0"/>
              <w:rPr>
                <w:sz w:val="15"/>
                <w:szCs w:val="15"/>
                <w:color w:val="auto"/>
              </w:rPr>
            </w:pPr>
          </w:p>
        </w:tc>
        <w:tc>
          <w:tcPr>
            <w:tcW w:w="3700" w:type="dxa"/>
            <w:vAlign w:val="bottom"/>
            <w:gridSpan w:val="33"/>
          </w:tcPr>
          <w:p>
            <w:pPr>
              <w:spacing w:after="0" w:line="182"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Agreement, effective February 25, 2019, by and</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00" w:type="dxa"/>
            <w:vAlign w:val="bottom"/>
            <w:tcBorders>
              <w:top w:val="single" w:sz="8" w:color="0000EE"/>
            </w:tcBorders>
            <w:gridSpan w:val="23"/>
          </w:tcPr>
          <w:p>
            <w:pPr>
              <w:spacing w:after="0" w:line="182"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among F. Hoffmann-La Roche Ltd, Hoffmann-</w:t>
              </w:r>
            </w:hyperlink>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189">
              <w:r>
                <w:rPr>
                  <w:rFonts w:ascii="Times New Roman" w:cs="Times New Roman" w:eastAsia="Times New Roman" w:hAnsi="Times New Roman"/>
                  <w:sz w:val="18"/>
                  <w:szCs w:val="18"/>
                  <w:u w:val="single" w:color="auto"/>
                  <w:color w:val="0000EE"/>
                </w:rPr>
                <w:t>La Roche Inc. and the Registrant</w:t>
              </w:r>
            </w:hyperlink>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Fifth Amendment to Collaboration and License</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July 3, 2019</w:t>
            </w:r>
          </w:p>
        </w:tc>
      </w:tr>
      <w:tr>
        <w:trPr>
          <w:trHeight w:val="183"/>
        </w:trPr>
        <w:tc>
          <w:tcPr>
            <w:tcW w:w="840" w:type="dxa"/>
            <w:vAlign w:val="bottom"/>
          </w:tcPr>
          <w:p>
            <w:pPr>
              <w:spacing w:after="0"/>
              <w:rPr>
                <w:sz w:val="15"/>
                <w:szCs w:val="15"/>
                <w:color w:val="auto"/>
              </w:rPr>
            </w:pPr>
          </w:p>
        </w:tc>
        <w:tc>
          <w:tcPr>
            <w:tcW w:w="3420" w:type="dxa"/>
            <w:vAlign w:val="bottom"/>
            <w:tcBorders>
              <w:top w:val="single" w:sz="8" w:color="0000EE"/>
            </w:tcBorders>
            <w:gridSpan w:val="19"/>
          </w:tcPr>
          <w:p>
            <w:pPr>
              <w:spacing w:after="0" w:line="182"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Agreement, effective June 28, 2019, by and</w:t>
              </w:r>
            </w:hyperlink>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140" w:type="dxa"/>
            <w:vAlign w:val="bottom"/>
            <w:tcBorders>
              <w:top w:val="single" w:sz="8" w:color="0000EE"/>
            </w:tcBorders>
            <w:gridSpan w:val="9"/>
          </w:tcPr>
          <w:p>
            <w:pPr>
              <w:spacing w:after="0" w:line="182" w:lineRule="exact"/>
              <w:rPr>
                <w:rFonts w:ascii="Times New Roman" w:cs="Times New Roman" w:eastAsia="Times New Roman" w:hAnsi="Times New Roman"/>
                <w:sz w:val="18"/>
                <w:szCs w:val="18"/>
                <w:color w:val="0000EE"/>
                <w:w w:val="93"/>
              </w:rPr>
            </w:pPr>
            <w:hyperlink r:id="rId190">
              <w:r>
                <w:rPr>
                  <w:rFonts w:ascii="Times New Roman" w:cs="Times New Roman" w:eastAsia="Times New Roman" w:hAnsi="Times New Roman"/>
                  <w:sz w:val="18"/>
                  <w:szCs w:val="18"/>
                  <w:color w:val="0000EE"/>
                  <w:w w:val="93"/>
                </w:rPr>
                <w:t>among F. Hoffmann-La Roche Ltd, Hoffmann</w:t>
              </w:r>
            </w:hyperlink>
          </w:p>
        </w:tc>
        <w:tc>
          <w:tcPr>
            <w:tcW w:w="320" w:type="dxa"/>
            <w:vAlign w:val="bottom"/>
            <w:gridSpan w:val="12"/>
          </w:tcPr>
          <w:p>
            <w:pPr>
              <w:jc w:val="center"/>
              <w:ind w:left="10"/>
              <w:spacing w:after="0" w:line="182"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w:t>
              </w:r>
            </w:hyperlink>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190">
              <w:r>
                <w:rPr>
                  <w:rFonts w:ascii="Times New Roman" w:cs="Times New Roman" w:eastAsia="Times New Roman" w:hAnsi="Times New Roman"/>
                  <w:sz w:val="18"/>
                  <w:szCs w:val="18"/>
                  <w:u w:val="single" w:color="auto"/>
                  <w:color w:val="0000EE"/>
                </w:rPr>
                <w:t>La Roche Inc. and the Registrant</w:t>
              </w:r>
            </w:hyperlink>
          </w:p>
        </w:tc>
        <w:tc>
          <w:tcPr>
            <w:tcW w:w="80" w:type="dxa"/>
            <w:vAlign w:val="bottom"/>
            <w:gridSpan w:val="3"/>
          </w:tcPr>
          <w:p>
            <w:pPr>
              <w:spacing w:after="0"/>
              <w:rPr>
                <w:sz w:val="19"/>
                <w:szCs w:val="19"/>
                <w:color w:val="auto"/>
              </w:rPr>
            </w:pPr>
          </w:p>
        </w:tc>
        <w:tc>
          <w:tcPr>
            <w:tcW w:w="10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3"/>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Sixth Amendment to Collaboration and License</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November 5, 2019</w:t>
            </w:r>
          </w:p>
        </w:tc>
      </w:tr>
      <w:tr>
        <w:trPr>
          <w:trHeight w:val="183"/>
        </w:trPr>
        <w:tc>
          <w:tcPr>
            <w:tcW w:w="840" w:type="dxa"/>
            <w:vAlign w:val="bottom"/>
          </w:tcPr>
          <w:p>
            <w:pPr>
              <w:spacing w:after="0"/>
              <w:rPr>
                <w:sz w:val="15"/>
                <w:szCs w:val="15"/>
                <w:color w:val="auto"/>
              </w:rPr>
            </w:pPr>
          </w:p>
        </w:tc>
        <w:tc>
          <w:tcPr>
            <w:tcW w:w="3460" w:type="dxa"/>
            <w:vAlign w:val="bottom"/>
            <w:tcBorders>
              <w:top w:val="single" w:sz="8" w:color="0000EE"/>
              <w:bottom w:val="single" w:sz="8" w:color="0000EE"/>
            </w:tcBorders>
            <w:gridSpan w:val="21"/>
          </w:tcPr>
          <w:p>
            <w:pPr>
              <w:spacing w:after="0" w:line="182"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Agreement, effective November 1, 2019, by and</w:t>
              </w:r>
            </w:hyperlink>
          </w:p>
        </w:tc>
        <w:tc>
          <w:tcPr>
            <w:tcW w:w="100" w:type="dxa"/>
            <w:vAlign w:val="bottom"/>
            <w:tcBorders>
              <w:bottom w:val="single" w:sz="8" w:color="0000EE"/>
            </w:tcBorders>
            <w:gridSpan w:val="5"/>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580" w:type="dxa"/>
            <w:vAlign w:val="bottom"/>
            <w:gridSpan w:val="27"/>
          </w:tcPr>
          <w:p>
            <w:pPr>
              <w:spacing w:after="0" w:line="182"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among F. Hoffmann-La Roche Ltd, Hoffmann-</w:t>
              </w:r>
            </w:hyperlink>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191">
              <w:r>
                <w:rPr>
                  <w:rFonts w:ascii="Times New Roman" w:cs="Times New Roman" w:eastAsia="Times New Roman" w:hAnsi="Times New Roman"/>
                  <w:sz w:val="18"/>
                  <w:szCs w:val="18"/>
                  <w:u w:val="single" w:color="auto"/>
                  <w:color w:val="0000EE"/>
                </w:rPr>
                <w:t>La Roche Inc. and the Registrant</w:t>
              </w:r>
            </w:hyperlink>
          </w:p>
        </w:tc>
        <w:tc>
          <w:tcPr>
            <w:tcW w:w="180" w:type="dxa"/>
            <w:vAlign w:val="bottom"/>
            <w:gridSpan w:val="8"/>
          </w:tcPr>
          <w:p>
            <w:pPr>
              <w:spacing w:after="0"/>
              <w:rPr>
                <w:sz w:val="19"/>
                <w:szCs w:val="19"/>
                <w:color w:val="auto"/>
              </w:rPr>
            </w:pPr>
          </w:p>
        </w:tc>
        <w:tc>
          <w:tcPr>
            <w:tcW w:w="80" w:type="dxa"/>
            <w:vAlign w:val="bottom"/>
            <w:gridSpan w:val="4"/>
          </w:tcPr>
          <w:p>
            <w:pPr>
              <w:spacing w:after="0"/>
              <w:rPr>
                <w:sz w:val="19"/>
                <w:szCs w:val="19"/>
                <w:color w:val="auto"/>
              </w:rPr>
            </w:pPr>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30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Seventh Amendment to Collaboration and</w:t>
              </w:r>
            </w:hyperlink>
          </w:p>
        </w:tc>
        <w:tc>
          <w:tcPr>
            <w:tcW w:w="660" w:type="dxa"/>
            <w:vAlign w:val="bottom"/>
            <w:gridSpan w:val="25"/>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December 20, 2019</w:t>
            </w:r>
          </w:p>
        </w:tc>
      </w:tr>
      <w:tr>
        <w:trPr>
          <w:trHeight w:val="183"/>
        </w:trPr>
        <w:tc>
          <w:tcPr>
            <w:tcW w:w="840" w:type="dxa"/>
            <w:vAlign w:val="bottom"/>
          </w:tcPr>
          <w:p>
            <w:pPr>
              <w:spacing w:after="0"/>
              <w:rPr>
                <w:sz w:val="15"/>
                <w:szCs w:val="15"/>
                <w:color w:val="auto"/>
              </w:rPr>
            </w:pPr>
          </w:p>
        </w:tc>
        <w:tc>
          <w:tcPr>
            <w:tcW w:w="3700" w:type="dxa"/>
            <w:vAlign w:val="bottom"/>
            <w:gridSpan w:val="33"/>
          </w:tcPr>
          <w:p>
            <w:pPr>
              <w:spacing w:after="0" w:line="182"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License Agreement, effective December 17,</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180" w:type="dxa"/>
            <w:vAlign w:val="bottom"/>
            <w:tcBorders>
              <w:top w:val="single" w:sz="8" w:color="0000EE"/>
            </w:tcBorders>
            <w:gridSpan w:val="11"/>
          </w:tcPr>
          <w:p>
            <w:pPr>
              <w:spacing w:after="0" w:line="182"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2019, by and among F. Hoffmann-La Roche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0"/>
          </w:tcPr>
          <w:p>
            <w:pPr>
              <w:jc w:val="center"/>
              <w:ind w:right="180"/>
              <w:spacing w:after="0" w:line="182"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Ltd,</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640" w:type="dxa"/>
            <w:vAlign w:val="bottom"/>
            <w:tcBorders>
              <w:top w:val="single" w:sz="8" w:color="0000EE"/>
            </w:tcBorders>
            <w:gridSpan w:val="30"/>
          </w:tcPr>
          <w:p>
            <w:pPr>
              <w:spacing w:after="0"/>
              <w:rPr>
                <w:rFonts w:ascii="Times New Roman" w:cs="Times New Roman" w:eastAsia="Times New Roman" w:hAnsi="Times New Roman"/>
                <w:sz w:val="18"/>
                <w:szCs w:val="18"/>
                <w:u w:val="single" w:color="auto"/>
                <w:color w:val="0000EE"/>
              </w:rPr>
            </w:pPr>
            <w:hyperlink r:id="rId192">
              <w:r>
                <w:rPr>
                  <w:rFonts w:ascii="Times New Roman" w:cs="Times New Roman" w:eastAsia="Times New Roman" w:hAnsi="Times New Roman"/>
                  <w:sz w:val="18"/>
                  <w:szCs w:val="18"/>
                  <w:u w:val="single" w:color="auto"/>
                  <w:color w:val="0000EE"/>
                </w:rPr>
                <w:t>Hoffmann-La Roche Inc. and the Registrant</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3700" w:type="dxa"/>
            <w:vAlign w:val="bottom"/>
            <w:tcBorders>
              <w:bottom w:val="single" w:sz="8" w:color="0000EE"/>
            </w:tcBorders>
            <w:gridSpan w:val="33"/>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Eighth Amendment to Collaboration and License</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May 6, 2020</w:t>
            </w:r>
          </w:p>
        </w:tc>
      </w:tr>
      <w:tr>
        <w:trPr>
          <w:trHeight w:val="183"/>
        </w:trPr>
        <w:tc>
          <w:tcPr>
            <w:tcW w:w="840" w:type="dxa"/>
            <w:vAlign w:val="bottom"/>
          </w:tcPr>
          <w:p>
            <w:pPr>
              <w:spacing w:after="0"/>
              <w:rPr>
                <w:sz w:val="15"/>
                <w:szCs w:val="15"/>
                <w:color w:val="auto"/>
              </w:rPr>
            </w:pPr>
          </w:p>
        </w:tc>
        <w:tc>
          <w:tcPr>
            <w:tcW w:w="3700" w:type="dxa"/>
            <w:vAlign w:val="bottom"/>
            <w:gridSpan w:val="33"/>
          </w:tcPr>
          <w:p>
            <w:pPr>
              <w:spacing w:after="0" w:line="182"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Agreement, effective April 30, 2020, by and</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200" w:type="dxa"/>
            <w:vAlign w:val="bottom"/>
            <w:tcBorders>
              <w:top w:val="single" w:sz="8" w:color="0000EE"/>
            </w:tcBorders>
            <w:gridSpan w:val="12"/>
          </w:tcPr>
          <w:p>
            <w:pPr>
              <w:spacing w:after="0" w:line="182" w:lineRule="exact"/>
              <w:rPr>
                <w:rFonts w:ascii="Times New Roman" w:cs="Times New Roman" w:eastAsia="Times New Roman" w:hAnsi="Times New Roman"/>
                <w:sz w:val="18"/>
                <w:szCs w:val="18"/>
                <w:color w:val="0000EE"/>
                <w:w w:val="95"/>
              </w:rPr>
            </w:pPr>
            <w:hyperlink r:id="rId193">
              <w:r>
                <w:rPr>
                  <w:rFonts w:ascii="Times New Roman" w:cs="Times New Roman" w:eastAsia="Times New Roman" w:hAnsi="Times New Roman"/>
                  <w:sz w:val="18"/>
                  <w:szCs w:val="18"/>
                  <w:color w:val="0000EE"/>
                  <w:w w:val="95"/>
                </w:rPr>
                <w:t>among F. Hoffmann-La Roche Ltd, Hoffmann</w:t>
              </w:r>
            </w:hyperlink>
          </w:p>
        </w:tc>
        <w:tc>
          <w:tcPr>
            <w:tcW w:w="360" w:type="dxa"/>
            <w:vAlign w:val="bottom"/>
            <w:gridSpan w:val="14"/>
          </w:tcPr>
          <w:p>
            <w:pPr>
              <w:jc w:val="center"/>
              <w:ind w:right="60"/>
              <w:spacing w:after="0" w:line="182"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r:id="rId193">
              <w:r>
                <w:rPr>
                  <w:rFonts w:ascii="Times New Roman" w:cs="Times New Roman" w:eastAsia="Times New Roman" w:hAnsi="Times New Roman"/>
                  <w:sz w:val="18"/>
                  <w:szCs w:val="18"/>
                  <w:u w:val="single" w:color="auto"/>
                  <w:color w:val="0000EE"/>
                </w:rPr>
                <w:t>La Roche Inc. and the Registrant</w:t>
              </w:r>
            </w:hyperlink>
          </w:p>
        </w:tc>
        <w:tc>
          <w:tcPr>
            <w:tcW w:w="180" w:type="dxa"/>
            <w:vAlign w:val="bottom"/>
            <w:gridSpan w:val="8"/>
          </w:tcPr>
          <w:p>
            <w:pPr>
              <w:spacing w:after="0"/>
              <w:rPr>
                <w:sz w:val="19"/>
                <w:szCs w:val="19"/>
                <w:color w:val="auto"/>
              </w:rPr>
            </w:pPr>
          </w:p>
        </w:tc>
        <w:tc>
          <w:tcPr>
            <w:tcW w:w="12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3700" w:type="dxa"/>
            <w:vAlign w:val="bottom"/>
            <w:gridSpan w:val="33"/>
          </w:tcPr>
          <w:p>
            <w:pPr>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Ninth Amendment to Collaboration and License</w:t>
              </w:r>
            </w:hyperlink>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r>
      <w:tr>
        <w:trPr>
          <w:trHeight w:val="183"/>
        </w:trPr>
        <w:tc>
          <w:tcPr>
            <w:tcW w:w="840" w:type="dxa"/>
            <w:vAlign w:val="bottom"/>
          </w:tcPr>
          <w:p>
            <w:pPr>
              <w:spacing w:after="0"/>
              <w:rPr>
                <w:sz w:val="15"/>
                <w:szCs w:val="15"/>
                <w:color w:val="auto"/>
              </w:rPr>
            </w:pPr>
          </w:p>
        </w:tc>
        <w:tc>
          <w:tcPr>
            <w:tcW w:w="3560" w:type="dxa"/>
            <w:vAlign w:val="bottom"/>
            <w:tcBorders>
              <w:top w:val="single" w:sz="8" w:color="0000EE"/>
            </w:tcBorders>
            <w:gridSpan w:val="26"/>
          </w:tcPr>
          <w:p>
            <w:pPr>
              <w:spacing w:after="0" w:line="182" w:lineRule="exact"/>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Agreement, effective January 8, 2021, by and</w:t>
              </w:r>
            </w:hyperlink>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280" w:type="dxa"/>
            <w:vAlign w:val="bottom"/>
            <w:tcBorders>
              <w:top w:val="single" w:sz="8" w:color="0000EE"/>
            </w:tcBorders>
            <w:gridSpan w:val="16"/>
          </w:tcPr>
          <w:p>
            <w:pPr>
              <w:spacing w:after="0" w:line="182" w:lineRule="exact"/>
              <w:rPr>
                <w:rFonts w:ascii="Times New Roman" w:cs="Times New Roman" w:eastAsia="Times New Roman" w:hAnsi="Times New Roman"/>
                <w:sz w:val="18"/>
                <w:szCs w:val="18"/>
                <w:color w:val="0000EE"/>
                <w:w w:val="97"/>
              </w:rPr>
            </w:pPr>
            <w:hyperlink w:anchor="page158">
              <w:r>
                <w:rPr>
                  <w:rFonts w:ascii="Times New Roman" w:cs="Times New Roman" w:eastAsia="Times New Roman" w:hAnsi="Times New Roman"/>
                  <w:sz w:val="18"/>
                  <w:szCs w:val="18"/>
                  <w:color w:val="0000EE"/>
                  <w:w w:val="97"/>
                </w:rPr>
                <w:t>among F. Hoffmann-La Roche Ltd, Hoffmann</w:t>
              </w:r>
            </w:hyperlink>
          </w:p>
        </w:tc>
        <w:tc>
          <w:tcPr>
            <w:tcW w:w="400" w:type="dxa"/>
            <w:vAlign w:val="bottom"/>
            <w:gridSpan w:val="16"/>
          </w:tcPr>
          <w:p>
            <w:pPr>
              <w:jc w:val="center"/>
              <w:ind w:right="260"/>
              <w:spacing w:after="0" w:line="182" w:lineRule="exact"/>
              <w:rPr>
                <w:rFonts w:ascii="Times New Roman" w:cs="Times New Roman" w:eastAsia="Times New Roman" w:hAnsi="Times New Roman"/>
                <w:sz w:val="18"/>
                <w:szCs w:val="18"/>
                <w:color w:val="0000EE"/>
                <w:w w:val="99"/>
              </w:rPr>
            </w:pPr>
            <w:hyperlink w:anchor="page158">
              <w:r>
                <w:rPr>
                  <w:rFonts w:ascii="Times New Roman" w:cs="Times New Roman" w:eastAsia="Times New Roman" w:hAnsi="Times New Roman"/>
                  <w:sz w:val="18"/>
                  <w:szCs w:val="18"/>
                  <w:color w:val="0000EE"/>
                  <w:w w:val="99"/>
                </w:rPr>
                <w:t>-</w:t>
              </w:r>
            </w:hyperlink>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28"/>
        </w:trPr>
        <w:tc>
          <w:tcPr>
            <w:tcW w:w="840" w:type="dxa"/>
            <w:vAlign w:val="bottom"/>
          </w:tcPr>
          <w:p>
            <w:pPr>
              <w:spacing w:after="0"/>
              <w:rPr>
                <w:sz w:val="19"/>
                <w:szCs w:val="19"/>
                <w:color w:val="auto"/>
              </w:rPr>
            </w:pPr>
          </w:p>
        </w:tc>
        <w:tc>
          <w:tcPr>
            <w:tcW w:w="3380" w:type="dxa"/>
            <w:vAlign w:val="bottom"/>
            <w:tcBorders>
              <w:top w:val="single" w:sz="8" w:color="0000EE"/>
            </w:tcBorders>
            <w:gridSpan w:val="18"/>
          </w:tcPr>
          <w:p>
            <w:pPr>
              <w:spacing w:after="0"/>
              <w:rPr>
                <w:rFonts w:ascii="Times New Roman" w:cs="Times New Roman" w:eastAsia="Times New Roman" w:hAnsi="Times New Roman"/>
                <w:sz w:val="18"/>
                <w:szCs w:val="18"/>
                <w:u w:val="single" w:color="auto"/>
                <w:color w:val="0000EE"/>
              </w:rPr>
            </w:pPr>
            <w:hyperlink w:anchor="page158">
              <w:r>
                <w:rPr>
                  <w:rFonts w:ascii="Times New Roman" w:cs="Times New Roman" w:eastAsia="Times New Roman" w:hAnsi="Times New Roman"/>
                  <w:sz w:val="18"/>
                  <w:szCs w:val="18"/>
                  <w:u w:val="single" w:color="auto"/>
                  <w:color w:val="0000EE"/>
                </w:rPr>
                <w:t>La Roche Inc. and the Registrant</w:t>
              </w:r>
            </w:hyperlink>
          </w:p>
        </w:tc>
        <w:tc>
          <w:tcPr>
            <w:tcW w:w="300" w:type="dxa"/>
            <w:vAlign w:val="bottom"/>
            <w:gridSpan w:val="14"/>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5"/>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33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Collaboration Agreement, dated as of July 13,</w:t>
              </w:r>
            </w:hyperlink>
          </w:p>
        </w:tc>
        <w:tc>
          <w:tcPr>
            <w:tcW w:w="380" w:type="dxa"/>
            <w:vAlign w:val="bottom"/>
            <w:gridSpan w:val="16"/>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July 30, 2020</w:t>
            </w:r>
          </w:p>
        </w:tc>
      </w:tr>
      <w:tr>
        <w:trPr>
          <w:trHeight w:val="182"/>
        </w:trPr>
        <w:tc>
          <w:tcPr>
            <w:tcW w:w="840" w:type="dxa"/>
            <w:vAlign w:val="bottom"/>
          </w:tcPr>
          <w:p>
            <w:pPr>
              <w:spacing w:after="0"/>
              <w:rPr>
                <w:sz w:val="15"/>
                <w:szCs w:val="15"/>
                <w:color w:val="auto"/>
              </w:rPr>
            </w:pPr>
          </w:p>
        </w:tc>
        <w:tc>
          <w:tcPr>
            <w:tcW w:w="3700" w:type="dxa"/>
            <w:vAlign w:val="bottom"/>
            <w:gridSpan w:val="33"/>
          </w:tcPr>
          <w:p>
            <w:pPr>
              <w:spacing w:after="0" w:line="182"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2020, by and among F. Hoffmann-La Roche Ltd,</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640" w:type="dxa"/>
            <w:vAlign w:val="bottom"/>
            <w:tcBorders>
              <w:top w:val="single" w:sz="8" w:color="0000EE"/>
            </w:tcBorders>
            <w:gridSpan w:val="30"/>
          </w:tcPr>
          <w:p>
            <w:pPr>
              <w:spacing w:after="0" w:line="182"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Genentech, Inc. and the Registrant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gridSpan w:val="10"/>
          </w:tcPr>
          <w:p>
            <w:pPr>
              <w:spacing w:after="0" w:line="20" w:lineRule="exact"/>
              <w:rPr>
                <w:sz w:val="1"/>
                <w:szCs w:val="1"/>
                <w:color w:val="auto"/>
              </w:rPr>
            </w:pPr>
          </w:p>
        </w:tc>
        <w:tc>
          <w:tcPr>
            <w:tcW w:w="4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0"/>
        </w:trPr>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3700" w:type="dxa"/>
            <w:vAlign w:val="bottom"/>
            <w:gridSpan w:val="33"/>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License and Collaboration Agreement, dated</w:t>
              </w:r>
            </w:hyperlink>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August 1, 2018</w:t>
            </w:r>
          </w:p>
        </w:tc>
      </w:tr>
      <w:tr>
        <w:trPr>
          <w:trHeight w:val="20"/>
        </w:trPr>
        <w:tc>
          <w:tcPr>
            <w:tcW w:w="84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40" w:type="dxa"/>
            <w:vAlign w:val="bottom"/>
            <w:gridSpan w:val="11"/>
            <w:shd w:val="clear" w:color="auto" w:fill="0000EE"/>
          </w:tcPr>
          <w:p>
            <w:pPr>
              <w:spacing w:after="0" w:line="20" w:lineRule="exact"/>
              <w:rPr>
                <w:sz w:val="1"/>
                <w:szCs w:val="1"/>
                <w:color w:val="auto"/>
              </w:rPr>
            </w:pPr>
          </w:p>
        </w:tc>
        <w:tc>
          <w:tcPr>
            <w:tcW w:w="46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3700" w:type="dxa"/>
            <w:vAlign w:val="bottom"/>
            <w:gridSpan w:val="33"/>
          </w:tcPr>
          <w:p>
            <w:pPr>
              <w:spacing w:after="0" w:line="182"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June 1, 2018, between the Registrant and CStone</w:t>
              </w:r>
            </w:hyperlink>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Pharmaceuticals</w:t>
              </w:r>
            </w:hyperlink>
          </w:p>
        </w:tc>
        <w:tc>
          <w:tcPr>
            <w:tcW w:w="2500" w:type="dxa"/>
            <w:vAlign w:val="bottom"/>
            <w:tcBorders>
              <w:top w:val="single" w:sz="8" w:color="0000EE"/>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574"/>
        </w:trPr>
        <w:tc>
          <w:tcPr>
            <w:tcW w:w="840" w:type="dxa"/>
            <w:vAlign w:val="bottom"/>
          </w:tcPr>
          <w:p>
            <w:pPr>
              <w:spacing w:after="0"/>
              <w:rPr>
                <w:sz w:val="24"/>
                <w:szCs w:val="24"/>
                <w:color w:val="auto"/>
              </w:rPr>
            </w:pPr>
          </w:p>
        </w:tc>
        <w:tc>
          <w:tcPr>
            <w:tcW w:w="4340" w:type="dxa"/>
            <w:vAlign w:val="bottom"/>
            <w:gridSpan w:val="34"/>
          </w:tcPr>
          <w:p>
            <w:pPr>
              <w:ind w:left="3480"/>
              <w:spacing w:after="0"/>
              <w:rPr>
                <w:sz w:val="20"/>
                <w:szCs w:val="20"/>
                <w:color w:val="auto"/>
              </w:rPr>
            </w:pPr>
            <w:r>
              <w:rPr>
                <w:rFonts w:ascii="Times New Roman" w:cs="Times New Roman" w:eastAsia="Times New Roman" w:hAnsi="Times New Roman"/>
                <w:sz w:val="18"/>
                <w:szCs w:val="18"/>
                <w:color w:val="auto"/>
              </w:rPr>
              <w:t>113</w:t>
            </w: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547"/>
        </w:trPr>
        <w:tc>
          <w:tcPr>
            <w:tcW w:w="8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5" w:name="page116"/>
    <w:bookmarkEnd w:id="115"/>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80" w:type="dxa"/>
            <w:vAlign w:val="bottom"/>
            <w:gridSpan w:val="14"/>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9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3660" w:type="dxa"/>
            <w:vAlign w:val="bottom"/>
            <w:gridSpan w:val="13"/>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License Agreement, effective October 15, 2019,</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November 5, 2019</w:t>
            </w:r>
          </w:p>
        </w:tc>
      </w:tr>
      <w:tr>
        <w:trPr>
          <w:trHeight w:val="183"/>
        </w:trPr>
        <w:tc>
          <w:tcPr>
            <w:tcW w:w="820" w:type="dxa"/>
            <w:vAlign w:val="bottom"/>
          </w:tcPr>
          <w:p>
            <w:pPr>
              <w:spacing w:after="0"/>
              <w:rPr>
                <w:sz w:val="15"/>
                <w:szCs w:val="15"/>
                <w:color w:val="auto"/>
              </w:rPr>
            </w:pPr>
          </w:p>
        </w:tc>
        <w:tc>
          <w:tcPr>
            <w:tcW w:w="3480" w:type="dxa"/>
            <w:vAlign w:val="bottom"/>
            <w:tcBorders>
              <w:top w:val="single" w:sz="8" w:color="0000EE"/>
            </w:tcBorders>
            <w:gridSpan w:val="8"/>
          </w:tcPr>
          <w:p>
            <w:pPr>
              <w:spacing w:after="0" w:line="182"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by and between the Registrant and Clementia</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26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Pharmaceuticals, Inc.</w:t>
              </w:r>
            </w:hyperlink>
          </w:p>
        </w:tc>
        <w:tc>
          <w:tcPr>
            <w:tcW w:w="20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3660" w:type="dxa"/>
            <w:vAlign w:val="bottom"/>
            <w:gridSpan w:val="13"/>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Form of Indemnification Agreement entered into</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333-202938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83"/>
        </w:trPr>
        <w:tc>
          <w:tcPr>
            <w:tcW w:w="820" w:type="dxa"/>
            <w:vAlign w:val="bottom"/>
          </w:tcPr>
          <w:p>
            <w:pPr>
              <w:spacing w:after="0"/>
              <w:rPr>
                <w:sz w:val="15"/>
                <w:szCs w:val="15"/>
                <w:color w:val="auto"/>
              </w:rPr>
            </w:pPr>
          </w:p>
        </w:tc>
        <w:tc>
          <w:tcPr>
            <w:tcW w:w="352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between the Registrant and its directors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0"/>
        </w:trPr>
        <w:tc>
          <w:tcPr>
            <w:tcW w:w="82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25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3660" w:type="dxa"/>
            <w:vAlign w:val="bottom"/>
            <w:gridSpan w:val="13"/>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Form of Indemnification Agreement entered into</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S-1</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333-202938</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March 23, 2015</w:t>
            </w:r>
          </w:p>
        </w:tc>
      </w:tr>
      <w:tr>
        <w:trPr>
          <w:trHeight w:val="183"/>
        </w:trPr>
        <w:tc>
          <w:tcPr>
            <w:tcW w:w="82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2"/>
          </w:tcPr>
          <w:p>
            <w:pPr>
              <w:spacing w:after="0" w:line="182"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between the Registrant and its officers</w:t>
              </w:r>
            </w:hyperlink>
          </w:p>
        </w:tc>
        <w:tc>
          <w:tcPr>
            <w:tcW w:w="760" w:type="dxa"/>
            <w:vAlign w:val="bottom"/>
            <w:tcBorders>
              <w:top w:val="single" w:sz="8" w:color="0000EE"/>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9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3660" w:type="dxa"/>
            <w:vAlign w:val="bottom"/>
            <w:gridSpan w:val="13"/>
          </w:tcPr>
          <w:p>
            <w:pPr>
              <w:spacing w:after="0"/>
              <w:rPr>
                <w:rFonts w:ascii="Times New Roman" w:cs="Times New Roman" w:eastAsia="Times New Roman" w:hAnsi="Times New Roman"/>
                <w:sz w:val="18"/>
                <w:szCs w:val="18"/>
                <w:u w:val="single" w:color="auto"/>
                <w:color w:val="0000EE"/>
              </w:rPr>
            </w:pPr>
            <w:hyperlink r:id="rId199">
              <w:r>
                <w:rPr>
                  <w:rFonts w:ascii="Times New Roman" w:cs="Times New Roman" w:eastAsia="Times New Roman" w:hAnsi="Times New Roman"/>
                  <w:sz w:val="18"/>
                  <w:szCs w:val="18"/>
                  <w:u w:val="single" w:color="auto"/>
                  <w:color w:val="0000EE"/>
                </w:rPr>
                <w:t>Senior Executive Cash Incentive Bonus Plan</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001-37359</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10.15</w:t>
            </w: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March 11, 2016</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3660" w:type="dxa"/>
            <w:vAlign w:val="bottom"/>
            <w:gridSpan w:val="13"/>
          </w:tcPr>
          <w:p>
            <w:pPr>
              <w:spacing w:after="0"/>
              <w:rPr>
                <w:rFonts w:ascii="Times New Roman" w:cs="Times New Roman" w:eastAsia="Times New Roman" w:hAnsi="Times New Roman"/>
                <w:sz w:val="18"/>
                <w:szCs w:val="18"/>
                <w:u w:val="single" w:color="auto"/>
                <w:color w:val="0000EE"/>
              </w:rPr>
            </w:pPr>
            <w:hyperlink w:anchor="page165">
              <w:r>
                <w:rPr>
                  <w:rFonts w:ascii="Times New Roman" w:cs="Times New Roman" w:eastAsia="Times New Roman" w:hAnsi="Times New Roman"/>
                  <w:sz w:val="18"/>
                  <w:szCs w:val="18"/>
                  <w:u w:val="single" w:color="auto"/>
                  <w:color w:val="0000EE"/>
                </w:rPr>
                <w:t>Subsidiaries of the Registrant</w:t>
              </w:r>
            </w:hyperlink>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3660" w:type="dxa"/>
            <w:vAlign w:val="bottom"/>
            <w:gridSpan w:val="13"/>
          </w:tcPr>
          <w:p>
            <w:pPr>
              <w:spacing w:after="0"/>
              <w:rPr>
                <w:rFonts w:ascii="Times New Roman" w:cs="Times New Roman" w:eastAsia="Times New Roman" w:hAnsi="Times New Roman"/>
                <w:sz w:val="18"/>
                <w:szCs w:val="18"/>
                <w:u w:val="single" w:color="auto"/>
                <w:color w:val="0000EE"/>
              </w:rPr>
            </w:pPr>
            <w:hyperlink w:anchor="page166">
              <w:r>
                <w:rPr>
                  <w:rFonts w:ascii="Times New Roman" w:cs="Times New Roman" w:eastAsia="Times New Roman" w:hAnsi="Times New Roman"/>
                  <w:sz w:val="18"/>
                  <w:szCs w:val="18"/>
                  <w:u w:val="single" w:color="auto"/>
                  <w:color w:val="0000EE"/>
                </w:rPr>
                <w:t>Consent of Ernst &amp; Young LLP</w:t>
              </w:r>
            </w:hyperlink>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60" w:type="dxa"/>
            <w:vAlign w:val="bottom"/>
            <w:gridSpan w:val="13"/>
          </w:tcPr>
          <w:p>
            <w:pPr>
              <w:spacing w:after="0"/>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Certification of Principal Executive Officer</w:t>
              </w:r>
            </w:hyperlink>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0"/>
        </w:trPr>
        <w:tc>
          <w:tcPr>
            <w:tcW w:w="82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83"/>
        </w:trPr>
        <w:tc>
          <w:tcPr>
            <w:tcW w:w="820" w:type="dxa"/>
            <w:vAlign w:val="bottom"/>
          </w:tcPr>
          <w:p>
            <w:pPr>
              <w:spacing w:after="0"/>
              <w:rPr>
                <w:sz w:val="15"/>
                <w:szCs w:val="15"/>
                <w:color w:val="auto"/>
              </w:rPr>
            </w:pPr>
          </w:p>
        </w:tc>
        <w:tc>
          <w:tcPr>
            <w:tcW w:w="3660" w:type="dxa"/>
            <w:vAlign w:val="bottom"/>
            <w:gridSpan w:val="13"/>
          </w:tcPr>
          <w:p>
            <w:pPr>
              <w:spacing w:after="0" w:line="182" w:lineRule="exact"/>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pursuant to Rule 13a-14(a) or Rule 15d-14(a) of</w:t>
              </w:r>
            </w:hyperlink>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46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w:anchor="page167">
              <w:r>
                <w:rPr>
                  <w:rFonts w:ascii="Times New Roman" w:cs="Times New Roman" w:eastAsia="Times New Roman" w:hAnsi="Times New Roman"/>
                  <w:sz w:val="18"/>
                  <w:szCs w:val="18"/>
                  <w:color w:val="0000EE"/>
                </w:rPr>
                <w:t>the Exchange Act, as adopted pursuant to</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8"/>
        </w:trPr>
        <w:tc>
          <w:tcPr>
            <w:tcW w:w="820" w:type="dxa"/>
            <w:vAlign w:val="bottom"/>
          </w:tcPr>
          <w:p>
            <w:pPr>
              <w:spacing w:after="0"/>
              <w:rPr>
                <w:sz w:val="19"/>
                <w:szCs w:val="19"/>
                <w:color w:val="auto"/>
              </w:rPr>
            </w:pPr>
          </w:p>
        </w:tc>
        <w:tc>
          <w:tcPr>
            <w:tcW w:w="298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w w:val="98"/>
              </w:rPr>
            </w:pPr>
            <w:hyperlink w:anchor="page167">
              <w:r>
                <w:rPr>
                  <w:rFonts w:ascii="Times New Roman" w:cs="Times New Roman" w:eastAsia="Times New Roman" w:hAnsi="Times New Roman"/>
                  <w:sz w:val="18"/>
                  <w:szCs w:val="18"/>
                  <w:u w:val="single" w:color="auto"/>
                  <w:color w:val="0000EE"/>
                  <w:w w:val="98"/>
                </w:rPr>
                <w:t>Section 302 of the Sarbanes-Oxley Act of</w:t>
              </w:r>
            </w:hyperlink>
          </w:p>
        </w:tc>
        <w:tc>
          <w:tcPr>
            <w:tcW w:w="520" w:type="dxa"/>
            <w:vAlign w:val="bottom"/>
            <w:gridSpan w:val="5"/>
          </w:tcPr>
          <w:p>
            <w:pPr>
              <w:jc w:val="right"/>
              <w:ind w:right="80"/>
              <w:spacing w:after="0"/>
              <w:rPr>
                <w:rFonts w:ascii="Times New Roman" w:cs="Times New Roman" w:eastAsia="Times New Roman" w:hAnsi="Times New Roman"/>
                <w:sz w:val="18"/>
                <w:szCs w:val="18"/>
                <w:u w:val="single" w:color="auto"/>
                <w:color w:val="0000EE"/>
              </w:rPr>
            </w:pPr>
            <w:hyperlink w:anchor="page167">
              <w:r>
                <w:rPr>
                  <w:rFonts w:ascii="Times New Roman" w:cs="Times New Roman" w:eastAsia="Times New Roman" w:hAnsi="Times New Roman"/>
                  <w:sz w:val="18"/>
                  <w:szCs w:val="18"/>
                  <w:u w:val="single" w:color="auto"/>
                  <w:color w:val="0000EE"/>
                </w:rPr>
                <w:t>2002</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1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Certification of Principal Financial Officer</w:t>
              </w:r>
            </w:hyperlink>
          </w:p>
        </w:tc>
        <w:tc>
          <w:tcPr>
            <w:tcW w:w="540" w:type="dxa"/>
            <w:vAlign w:val="bottom"/>
            <w:gridSpan w:val="8"/>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183"/>
        </w:trPr>
        <w:tc>
          <w:tcPr>
            <w:tcW w:w="820" w:type="dxa"/>
            <w:vAlign w:val="bottom"/>
          </w:tcPr>
          <w:p>
            <w:pPr>
              <w:spacing w:after="0"/>
              <w:rPr>
                <w:sz w:val="15"/>
                <w:szCs w:val="15"/>
                <w:color w:val="auto"/>
              </w:rPr>
            </w:pPr>
          </w:p>
        </w:tc>
        <w:tc>
          <w:tcPr>
            <w:tcW w:w="3660" w:type="dxa"/>
            <w:vAlign w:val="bottom"/>
            <w:gridSpan w:val="13"/>
          </w:tcPr>
          <w:p>
            <w:pPr>
              <w:spacing w:after="0" w:line="182"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pursuant to Rule 13a-14(a) or Rule 15d-14(a) of</w:t>
              </w:r>
            </w:hyperlink>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460" w:type="dxa"/>
            <w:vAlign w:val="bottom"/>
            <w:tcBorders>
              <w:top w:val="single" w:sz="8" w:color="0000EE"/>
            </w:tcBorders>
            <w:gridSpan w:val="7"/>
          </w:tcPr>
          <w:p>
            <w:pPr>
              <w:spacing w:after="0" w:line="182" w:lineRule="exact"/>
              <w:rPr>
                <w:rFonts w:ascii="Times New Roman" w:cs="Times New Roman" w:eastAsia="Times New Roman" w:hAnsi="Times New Roman"/>
                <w:sz w:val="18"/>
                <w:szCs w:val="18"/>
                <w:color w:val="0000EE"/>
              </w:rPr>
            </w:pPr>
            <w:hyperlink w:anchor="page168">
              <w:r>
                <w:rPr>
                  <w:rFonts w:ascii="Times New Roman" w:cs="Times New Roman" w:eastAsia="Times New Roman" w:hAnsi="Times New Roman"/>
                  <w:sz w:val="18"/>
                  <w:szCs w:val="18"/>
                  <w:color w:val="0000EE"/>
                </w:rPr>
                <w:t>the Exchange Act, as adopted pursuant to</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8"/>
        </w:trPr>
        <w:tc>
          <w:tcPr>
            <w:tcW w:w="820" w:type="dxa"/>
            <w:vAlign w:val="bottom"/>
          </w:tcPr>
          <w:p>
            <w:pPr>
              <w:spacing w:after="0"/>
              <w:rPr>
                <w:sz w:val="19"/>
                <w:szCs w:val="19"/>
                <w:color w:val="auto"/>
              </w:rPr>
            </w:pPr>
          </w:p>
        </w:tc>
        <w:tc>
          <w:tcPr>
            <w:tcW w:w="298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w w:val="98"/>
              </w:rPr>
            </w:pPr>
            <w:hyperlink w:anchor="page168">
              <w:r>
                <w:rPr>
                  <w:rFonts w:ascii="Times New Roman" w:cs="Times New Roman" w:eastAsia="Times New Roman" w:hAnsi="Times New Roman"/>
                  <w:sz w:val="18"/>
                  <w:szCs w:val="18"/>
                  <w:u w:val="single" w:color="auto"/>
                  <w:color w:val="0000EE"/>
                  <w:w w:val="98"/>
                </w:rPr>
                <w:t>Section 302 of the Sarbanes-Oxley Act of</w:t>
              </w:r>
            </w:hyperlink>
          </w:p>
        </w:tc>
        <w:tc>
          <w:tcPr>
            <w:tcW w:w="520" w:type="dxa"/>
            <w:vAlign w:val="bottom"/>
            <w:gridSpan w:val="5"/>
          </w:tcPr>
          <w:p>
            <w:pPr>
              <w:jc w:val="right"/>
              <w:ind w:right="80"/>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2002</w:t>
              </w:r>
            </w:hyperlink>
          </w:p>
        </w:tc>
        <w:tc>
          <w:tcPr>
            <w:tcW w:w="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25"/>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60" w:type="dxa"/>
            <w:vAlign w:val="bottom"/>
            <w:gridSpan w:val="13"/>
          </w:tcPr>
          <w:p>
            <w:pPr>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Certifications of Principal Executive Officer and</w:t>
              </w:r>
            </w:hyperlink>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8"/>
              </w:rPr>
              <w:t>+</w:t>
            </w:r>
          </w:p>
        </w:tc>
      </w:tr>
      <w:tr>
        <w:trPr>
          <w:trHeight w:val="183"/>
        </w:trPr>
        <w:tc>
          <w:tcPr>
            <w:tcW w:w="820" w:type="dxa"/>
            <w:vAlign w:val="bottom"/>
          </w:tcPr>
          <w:p>
            <w:pPr>
              <w:spacing w:after="0"/>
              <w:rPr>
                <w:sz w:val="15"/>
                <w:szCs w:val="15"/>
                <w:color w:val="auto"/>
              </w:rPr>
            </w:pPr>
          </w:p>
        </w:tc>
        <w:tc>
          <w:tcPr>
            <w:tcW w:w="3500" w:type="dxa"/>
            <w:vAlign w:val="bottom"/>
            <w:tcBorders>
              <w:top w:val="single" w:sz="8" w:color="0000EE"/>
              <w:bottom w:val="single" w:sz="8" w:color="0000EE"/>
            </w:tcBorders>
            <w:gridSpan w:val="9"/>
          </w:tcPr>
          <w:p>
            <w:pPr>
              <w:spacing w:after="0" w:line="182" w:lineRule="exact"/>
              <w:rPr>
                <w:rFonts w:ascii="Times New Roman" w:cs="Times New Roman" w:eastAsia="Times New Roman" w:hAnsi="Times New Roman"/>
                <w:sz w:val="18"/>
                <w:szCs w:val="18"/>
                <w:color w:val="0000EE"/>
                <w:w w:val="98"/>
              </w:rPr>
            </w:pPr>
            <w:hyperlink w:anchor="page169">
              <w:r>
                <w:rPr>
                  <w:rFonts w:ascii="Times New Roman" w:cs="Times New Roman" w:eastAsia="Times New Roman" w:hAnsi="Times New Roman"/>
                  <w:sz w:val="18"/>
                  <w:szCs w:val="18"/>
                  <w:color w:val="0000EE"/>
                  <w:w w:val="98"/>
                </w:rPr>
                <w:t>Principal Financial Officer pursuant to 18 U.S.C.</w:t>
              </w:r>
            </w:hyperlink>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183"/>
        </w:trPr>
        <w:tc>
          <w:tcPr>
            <w:tcW w:w="820" w:type="dxa"/>
            <w:vAlign w:val="bottom"/>
          </w:tcPr>
          <w:p>
            <w:pPr>
              <w:spacing w:after="0"/>
              <w:rPr>
                <w:sz w:val="15"/>
                <w:szCs w:val="15"/>
                <w:color w:val="auto"/>
              </w:rPr>
            </w:pPr>
          </w:p>
        </w:tc>
        <w:tc>
          <w:tcPr>
            <w:tcW w:w="3540" w:type="dxa"/>
            <w:vAlign w:val="bottom"/>
            <w:tcBorders>
              <w:bottom w:val="single" w:sz="8" w:color="0000EE"/>
            </w:tcBorders>
            <w:gridSpan w:val="11"/>
          </w:tcPr>
          <w:p>
            <w:pPr>
              <w:spacing w:after="0" w:line="182" w:lineRule="exact"/>
              <w:rPr>
                <w:rFonts w:ascii="Times New Roman" w:cs="Times New Roman" w:eastAsia="Times New Roman" w:hAnsi="Times New Roman"/>
                <w:sz w:val="18"/>
                <w:szCs w:val="18"/>
                <w:color w:val="0000EE"/>
                <w:w w:val="99"/>
              </w:rPr>
            </w:pPr>
            <w:hyperlink w:anchor="page169">
              <w:r>
                <w:rPr>
                  <w:rFonts w:ascii="Times New Roman" w:cs="Times New Roman" w:eastAsia="Times New Roman" w:hAnsi="Times New Roman"/>
                  <w:sz w:val="18"/>
                  <w:szCs w:val="18"/>
                  <w:color w:val="0000EE"/>
                  <w:w w:val="99"/>
                </w:rPr>
                <w:t>Section 1350, as adopted pursuant to Section 906</w:t>
              </w:r>
            </w:hyperlink>
          </w:p>
        </w:tc>
        <w:tc>
          <w:tcPr>
            <w:tcW w:w="2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228"/>
        </w:trPr>
        <w:tc>
          <w:tcPr>
            <w:tcW w:w="820" w:type="dxa"/>
            <w:vAlign w:val="bottom"/>
          </w:tcPr>
          <w:p>
            <w:pPr>
              <w:spacing w:after="0"/>
              <w:rPr>
                <w:sz w:val="19"/>
                <w:szCs w:val="19"/>
                <w:color w:val="auto"/>
              </w:rPr>
            </w:pPr>
          </w:p>
        </w:tc>
        <w:tc>
          <w:tcPr>
            <w:tcW w:w="3560" w:type="dxa"/>
            <w:vAlign w:val="bottom"/>
            <w:gridSpan w:val="12"/>
          </w:tcPr>
          <w:p>
            <w:pPr>
              <w:spacing w:after="0"/>
              <w:rPr>
                <w:rFonts w:ascii="Times New Roman" w:cs="Times New Roman" w:eastAsia="Times New Roman" w:hAnsi="Times New Roman"/>
                <w:sz w:val="18"/>
                <w:szCs w:val="18"/>
                <w:u w:val="single" w:color="auto"/>
                <w:color w:val="0000EE"/>
              </w:rPr>
            </w:pPr>
            <w:hyperlink w:anchor="page169">
              <w:r>
                <w:rPr>
                  <w:rFonts w:ascii="Times New Roman" w:cs="Times New Roman" w:eastAsia="Times New Roman" w:hAnsi="Times New Roman"/>
                  <w:sz w:val="18"/>
                  <w:szCs w:val="18"/>
                  <w:u w:val="single" w:color="auto"/>
                  <w:color w:val="0000EE"/>
                </w:rPr>
                <w:t>of the Sarbanes-Oxley Act of 2002</w:t>
              </w:r>
            </w:hyperlink>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Instance Document - the instance</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03"/>
        </w:trPr>
        <w:tc>
          <w:tcPr>
            <w:tcW w:w="820" w:type="dxa"/>
            <w:vAlign w:val="bottom"/>
          </w:tcPr>
          <w:p>
            <w:pPr>
              <w:spacing w:after="0"/>
              <w:rPr>
                <w:sz w:val="17"/>
                <w:szCs w:val="17"/>
                <w:color w:val="auto"/>
              </w:rPr>
            </w:pPr>
          </w:p>
        </w:tc>
        <w:tc>
          <w:tcPr>
            <w:tcW w:w="366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820" w:type="dxa"/>
            <w:vAlign w:val="bottom"/>
          </w:tcPr>
          <w:p>
            <w:pPr>
              <w:spacing w:after="0"/>
              <w:rPr>
                <w:sz w:val="17"/>
                <w:szCs w:val="17"/>
                <w:color w:val="auto"/>
              </w:rPr>
            </w:pPr>
          </w:p>
        </w:tc>
        <w:tc>
          <w:tcPr>
            <w:tcW w:w="3660" w:type="dxa"/>
            <w:vAlign w:val="bottom"/>
            <w:gridSpan w:val="13"/>
          </w:tcPr>
          <w:p>
            <w:pPr>
              <w:spacing w:after="0" w:line="202" w:lineRule="exact"/>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4"/>
        </w:trPr>
        <w:tc>
          <w:tcPr>
            <w:tcW w:w="8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Inline XBRL Document</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70"/>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88"/>
              </w:rPr>
              <w:t>*</w:t>
            </w:r>
          </w:p>
        </w:tc>
      </w:tr>
      <w:tr>
        <w:trPr>
          <w:trHeight w:val="234"/>
        </w:trPr>
        <w:tc>
          <w:tcPr>
            <w:tcW w:w="820" w:type="dxa"/>
            <w:vAlign w:val="bottom"/>
          </w:tcPr>
          <w:p>
            <w:pPr>
              <w:spacing w:after="0"/>
              <w:rPr>
                <w:sz w:val="20"/>
                <w:szCs w:val="20"/>
                <w:color w:val="auto"/>
              </w:rPr>
            </w:pPr>
          </w:p>
        </w:tc>
        <w:tc>
          <w:tcPr>
            <w:tcW w:w="366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36" w:lineRule="exact"/>
        <w:rPr>
          <w:sz w:val="20"/>
          <w:szCs w:val="20"/>
          <w:color w:val="auto"/>
        </w:rPr>
      </w:pPr>
    </w:p>
    <w:p>
      <w:pPr>
        <w:ind w:left="880" w:right="4779" w:hanging="824"/>
        <w:spacing w:after="0" w:line="245" w:lineRule="auto"/>
        <w:tabs>
          <w:tab w:leader="none" w:pos="88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69" w:lineRule="exact"/>
        <w:rPr>
          <w:rFonts w:ascii="Times New Roman" w:cs="Times New Roman" w:eastAsia="Times New Roman" w:hAnsi="Times New Roman"/>
          <w:sz w:val="18"/>
          <w:szCs w:val="18"/>
          <w:color w:val="auto"/>
        </w:rPr>
      </w:pPr>
    </w:p>
    <w:p>
      <w:pPr>
        <w:ind w:left="240" w:hanging="190"/>
        <w:spacing w:after="0"/>
        <w:tabs>
          <w:tab w:leader="none" w:pos="2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-264795</wp:posOffset>
            </wp:positionV>
            <wp:extent cx="14141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84" w:lineRule="exact"/>
        <w:rPr>
          <w:sz w:val="20"/>
          <w:szCs w:val="20"/>
          <w:color w:val="auto"/>
        </w:rPr>
      </w:pPr>
    </w:p>
    <w:p>
      <w:pPr>
        <w:ind w:left="240" w:right="299" w:hanging="190"/>
        <w:spacing w:after="0" w:line="266" w:lineRule="auto"/>
        <w:tabs>
          <w:tab w:leader="none" w:pos="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ind w:left="240" w:right="559" w:hanging="18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212529"/>
        </w:rPr>
        <w:t>Certain portions of the exhibit have been omitted pursuant to Regulation S-K Item 601(b) because it is both (i)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material to investors and (ii) likely to cause competitive harm to the Company if publicly disclosed.</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Filed herewith.</w:t>
      </w:r>
    </w:p>
    <w:p>
      <w:pPr>
        <w:spacing w:after="0" w:line="104" w:lineRule="exact"/>
        <w:rPr>
          <w:sz w:val="20"/>
          <w:szCs w:val="20"/>
          <w:color w:val="auto"/>
        </w:rPr>
      </w:pPr>
    </w:p>
    <w:p>
      <w:pPr>
        <w:ind w:left="240" w:right="339" w:hanging="190"/>
        <w:spacing w:after="0" w:line="296" w:lineRule="auto"/>
        <w:tabs>
          <w:tab w:leader="none" w:pos="2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furnished in Exhibit 32.1 hereto are deemed to be furnished with this Annual Report on Form 10-K and will not be deemed to be “filed” for purposes of Section 18 of the Exchange Act. Such certifications will not be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20" w:right="79"/>
        <w:spacing w:after="0" w:line="266" w:lineRule="auto"/>
        <w:rPr>
          <w:sz w:val="20"/>
          <w:szCs w:val="20"/>
          <w:color w:val="auto"/>
        </w:rPr>
      </w:pPr>
      <w:r>
        <w:rPr>
          <w:rFonts w:ascii="Times New Roman" w:cs="Times New Roman" w:eastAsia="Times New Roman" w:hAnsi="Times New Roman"/>
          <w:sz w:val="18"/>
          <w:szCs w:val="18"/>
          <w:color w:val="auto"/>
        </w:rPr>
        <w:t>deemed to be incorporated by reference into any filing under the Securities Act or the Exchange Act, except to the extent that the Registrant specifically incorporates it by reference.</w:t>
      </w:r>
    </w:p>
    <w:p>
      <w:pPr>
        <w:spacing w:after="0" w:line="145" w:lineRule="exact"/>
        <w:rPr>
          <w:sz w:val="20"/>
          <w:szCs w:val="20"/>
          <w:color w:val="auto"/>
        </w:rPr>
      </w:pPr>
    </w:p>
    <w:p>
      <w:pPr>
        <w:jc w:val="center"/>
        <w:ind w:right="6539"/>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119"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7" w:name="page118"/>
    <w:bookmarkEnd w:id="11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5240" w:val="left"/>
          <w:tab w:leader="none" w:pos="682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34290</wp:posOffset>
            </wp:positionV>
            <wp:extent cx="13462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3">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Jeffrey W. Albers</w:t>
      </w:r>
    </w:p>
    <w:p>
      <w:pPr>
        <w:spacing w:after="0" w:line="3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President and Chief</w:t>
      </w:r>
    </w:p>
    <w:p>
      <w:pPr>
        <w:spacing w:after="0" w:line="3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00" w:lineRule="exact"/>
        <w:rPr>
          <w:sz w:val="20"/>
          <w:szCs w:val="20"/>
          <w:color w:val="auto"/>
        </w:rPr>
      </w:pPr>
    </w:p>
    <w:p>
      <w:pPr>
        <w:spacing w:after="0" w:line="23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98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378"/>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Jeffrey W. Albers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Jeffrey W. Albers</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Michael Landsittel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60" w:type="dxa"/>
            <w:vAlign w:val="bottom"/>
            <w:vMerge w:val="restart"/>
          </w:tcPr>
          <w:p>
            <w:pPr>
              <w:spacing w:after="0"/>
              <w:rPr>
                <w:sz w:val="5"/>
                <w:szCs w:val="5"/>
                <w:color w:val="auto"/>
              </w:rPr>
            </w:pPr>
          </w:p>
        </w:tc>
        <w:tc>
          <w:tcPr>
            <w:tcW w:w="240" w:type="dxa"/>
            <w:vAlign w:val="bottom"/>
            <w:vMerge w:val="restart"/>
          </w:tcPr>
          <w:p>
            <w:pPr>
              <w:spacing w:after="0"/>
              <w:rPr>
                <w:sz w:val="5"/>
                <w:szCs w:val="5"/>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Michael Landsittel</w:t>
            </w:r>
          </w:p>
        </w:tc>
        <w:tc>
          <w:tcPr>
            <w:tcW w:w="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80" w:type="dxa"/>
            <w:vAlign w:val="bottom"/>
          </w:tcPr>
          <w:p>
            <w:pPr>
              <w:spacing w:after="0"/>
              <w:rPr>
                <w:sz w:val="24"/>
                <w:szCs w:val="24"/>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 Ariel Hurley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Vice President, Finance and Controller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34"/>
        </w:trPr>
        <w:tc>
          <w:tcPr>
            <w:tcW w:w="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2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80" w:type="dxa"/>
            <w:vAlign w:val="bottom"/>
          </w:tcPr>
          <w:p>
            <w:pPr>
              <w:spacing w:after="0"/>
              <w:rPr>
                <w:sz w:val="19"/>
                <w:szCs w:val="19"/>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Ariel Hurley</w:t>
            </w:r>
          </w:p>
        </w:tc>
        <w:tc>
          <w:tcPr>
            <w:tcW w:w="6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414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S. Lynch</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Chairman of the Board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Daniel S. Lynch</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Lydon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Nicholas Lydon, Ph.D.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Alexis Borisy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Alexis Borisy</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Mark Goldberg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Mark Goldberg,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A. Rowland, Jr.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Charles A. Rowland, Jr.</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Demetri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George Demetri,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Lonnel Coats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Lonnel Coats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80" w:type="dxa"/>
            <w:vAlign w:val="bottom"/>
          </w:tcPr>
          <w:p>
            <w:pPr>
              <w:spacing w:after="0"/>
              <w:rPr>
                <w:sz w:val="24"/>
                <w:szCs w:val="24"/>
                <w:color w:val="auto"/>
              </w:rPr>
            </w:pPr>
          </w:p>
        </w:tc>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Lynn Seely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2021</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Lynn Seely, M.D.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tbl>
      <w:tblPr>
        <w:tblLayout w:type="fixed"/>
        <w:tblInd w:w="200" w:type="dxa"/>
        <w:tblCellMar>
          <w:top w:w="0" w:type="dxa"/>
          <w:left w:w="0" w:type="dxa"/>
          <w:bottom w:w="0" w:type="dxa"/>
          <w:right w:w="0" w:type="dxa"/>
        </w:tblCellMar>
      </w:tblPr>
      <w:tr>
        <w:trPr>
          <w:trHeight w:val="234"/>
        </w:trPr>
        <w:tc>
          <w:tcPr>
            <w:tcW w:w="7120" w:type="dxa"/>
            <w:vAlign w:val="bottom"/>
            <w:gridSpan w:val="2"/>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1480" w:type="dxa"/>
            <w:vAlign w:val="bottom"/>
          </w:tcPr>
          <w:p>
            <w:pPr>
              <w:spacing w:after="0"/>
              <w:rPr>
                <w:sz w:val="20"/>
                <w:szCs w:val="20"/>
                <w:color w:val="auto"/>
              </w:rPr>
            </w:pPr>
          </w:p>
        </w:tc>
      </w:tr>
      <w:tr>
        <w:trPr>
          <w:trHeight w:val="878"/>
        </w:trPr>
        <w:tc>
          <w:tcPr>
            <w:tcW w:w="20" w:type="dxa"/>
            <w:vAlign w:val="bottom"/>
          </w:tcPr>
          <w:p>
            <w:pPr>
              <w:spacing w:after="0"/>
              <w:rPr>
                <w:sz w:val="24"/>
                <w:szCs w:val="24"/>
                <w:color w:val="auto"/>
              </w:rPr>
            </w:pPr>
          </w:p>
        </w:tc>
        <w:tc>
          <w:tcPr>
            <w:tcW w:w="71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9"/>
              </w:rPr>
              <w:t>Blueprint Medicines Corporation</w:t>
            </w:r>
          </w:p>
        </w:tc>
        <w:tc>
          <w:tcPr>
            <w:tcW w:w="14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7100" w:type="dxa"/>
            <w:vAlign w:val="bottom"/>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48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7100" w:type="dxa"/>
            <w:vAlign w:val="bottom"/>
          </w:tcPr>
          <w:p>
            <w:pPr>
              <w:spacing w:after="0"/>
              <w:rPr>
                <w:rFonts w:ascii="Times New Roman" w:cs="Times New Roman" w:eastAsia="Times New Roman" w:hAnsi="Times New Roman"/>
                <w:sz w:val="18"/>
                <w:szCs w:val="18"/>
                <w:u w:val="single" w:color="auto"/>
                <w:color w:val="0000EE"/>
              </w:rPr>
            </w:pPr>
            <w:hyperlink w:anchor="page120">
              <w:r>
                <w:rPr>
                  <w:rFonts w:ascii="Times New Roman" w:cs="Times New Roman" w:eastAsia="Times New Roman" w:hAnsi="Times New Roman"/>
                  <w:sz w:val="18"/>
                  <w:szCs w:val="18"/>
                  <w:u w:val="single" w:color="auto"/>
                  <w:color w:val="0000EE"/>
                </w:rPr>
                <w:t>Report of Independent Registered Public Accounting Firm</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rFonts w:ascii="Times New Roman" w:cs="Times New Roman" w:eastAsia="Times New Roman" w:hAnsi="Times New Roman"/>
                <w:sz w:val="18"/>
                <w:szCs w:val="18"/>
                <w:u w:val="single" w:color="auto"/>
                <w:color w:val="0000EE"/>
              </w:rPr>
            </w:pPr>
            <w:hyperlink w:anchor="page123">
              <w:r>
                <w:rPr>
                  <w:rFonts w:ascii="Times New Roman" w:cs="Times New Roman" w:eastAsia="Times New Roman" w:hAnsi="Times New Roman"/>
                  <w:sz w:val="18"/>
                  <w:szCs w:val="18"/>
                  <w:u w:val="single" w:color="auto"/>
                  <w:color w:val="0000EE"/>
                </w:rPr>
                <w:t>Consolidated Balance Sheets</w:t>
              </w:r>
            </w:hyperlink>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F-5</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rFonts w:ascii="Times New Roman" w:cs="Times New Roman" w:eastAsia="Times New Roman" w:hAnsi="Times New Roman"/>
                <w:sz w:val="18"/>
                <w:szCs w:val="18"/>
                <w:u w:val="single" w:color="auto"/>
                <w:color w:val="0000EE"/>
              </w:rPr>
            </w:pPr>
            <w:hyperlink w:anchor="page124">
              <w:r>
                <w:rPr>
                  <w:rFonts w:ascii="Times New Roman" w:cs="Times New Roman" w:eastAsia="Times New Roman" w:hAnsi="Times New Roman"/>
                  <w:sz w:val="18"/>
                  <w:szCs w:val="18"/>
                  <w:u w:val="single" w:color="auto"/>
                  <w:color w:val="0000EE"/>
                </w:rPr>
                <w:t>Consolidated Statements of Operations and Comprehensive Income (Loss)</w:t>
              </w:r>
            </w:hyperlink>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F-6</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rFonts w:ascii="Times New Roman" w:cs="Times New Roman" w:eastAsia="Times New Roman" w:hAnsi="Times New Roman"/>
                <w:sz w:val="18"/>
                <w:szCs w:val="18"/>
                <w:u w:val="single" w:color="auto"/>
                <w:color w:val="0000EE"/>
              </w:rPr>
            </w:pPr>
            <w:hyperlink w:anchor="page125">
              <w:r>
                <w:rPr>
                  <w:rFonts w:ascii="Times New Roman" w:cs="Times New Roman" w:eastAsia="Times New Roman" w:hAnsi="Times New Roman"/>
                  <w:sz w:val="18"/>
                  <w:szCs w:val="18"/>
                  <w:u w:val="single" w:color="auto"/>
                  <w:color w:val="0000EE"/>
                </w:rPr>
                <w:t>Consolidated Statements of Stockholders’ Equity</w:t>
              </w:r>
            </w:hyperlink>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F-7</w:t>
            </w:r>
          </w:p>
        </w:tc>
      </w:tr>
      <w:tr>
        <w:trPr>
          <w:trHeight w:val="203"/>
        </w:trPr>
        <w:tc>
          <w:tcPr>
            <w:tcW w:w="20" w:type="dxa"/>
            <w:vAlign w:val="bottom"/>
          </w:tcPr>
          <w:p>
            <w:pPr>
              <w:spacing w:after="0"/>
              <w:rPr>
                <w:sz w:val="17"/>
                <w:szCs w:val="17"/>
                <w:color w:val="auto"/>
              </w:rPr>
            </w:pPr>
          </w:p>
        </w:tc>
        <w:tc>
          <w:tcPr>
            <w:tcW w:w="7100" w:type="dxa"/>
            <w:vAlign w:val="bottom"/>
          </w:tcPr>
          <w:p>
            <w:pPr>
              <w:spacing w:after="0" w:line="202" w:lineRule="exact"/>
              <w:rPr>
                <w:rFonts w:ascii="Times New Roman" w:cs="Times New Roman" w:eastAsia="Times New Roman" w:hAnsi="Times New Roman"/>
                <w:sz w:val="18"/>
                <w:szCs w:val="18"/>
                <w:u w:val="single" w:color="auto"/>
                <w:color w:val="0000EE"/>
              </w:rPr>
            </w:pPr>
            <w:hyperlink w:anchor="page126">
              <w:r>
                <w:rPr>
                  <w:rFonts w:ascii="Times New Roman" w:cs="Times New Roman" w:eastAsia="Times New Roman" w:hAnsi="Times New Roman"/>
                  <w:sz w:val="18"/>
                  <w:szCs w:val="18"/>
                  <w:u w:val="single" w:color="auto"/>
                  <w:color w:val="0000EE"/>
                </w:rPr>
                <w:t>Consolidated Statements of Cash Flows</w:t>
              </w:r>
            </w:hyperlink>
          </w:p>
        </w:tc>
        <w:tc>
          <w:tcPr>
            <w:tcW w:w="1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F-8</w:t>
            </w:r>
          </w:p>
        </w:tc>
      </w:tr>
      <w:tr>
        <w:trPr>
          <w:trHeight w:val="234"/>
        </w:trPr>
        <w:tc>
          <w:tcPr>
            <w:tcW w:w="20" w:type="dxa"/>
            <w:vAlign w:val="bottom"/>
          </w:tcPr>
          <w:p>
            <w:pPr>
              <w:spacing w:after="0"/>
              <w:rPr>
                <w:sz w:val="20"/>
                <w:szCs w:val="20"/>
                <w:color w:val="auto"/>
              </w:rPr>
            </w:pPr>
          </w:p>
        </w:tc>
        <w:tc>
          <w:tcPr>
            <w:tcW w:w="7100" w:type="dxa"/>
            <w:vAlign w:val="bottom"/>
          </w:tcPr>
          <w:p>
            <w:pPr>
              <w:spacing w:after="0"/>
              <w:rPr>
                <w:rFonts w:ascii="Times New Roman" w:cs="Times New Roman" w:eastAsia="Times New Roman" w:hAnsi="Times New Roman"/>
                <w:sz w:val="18"/>
                <w:szCs w:val="18"/>
                <w:u w:val="single" w:color="auto"/>
                <w:color w:val="0000EE"/>
              </w:rPr>
            </w:pPr>
            <w:hyperlink w:anchor="page128">
              <w:r>
                <w:rPr>
                  <w:rFonts w:ascii="Times New Roman" w:cs="Times New Roman" w:eastAsia="Times New Roman" w:hAnsi="Times New Roman"/>
                  <w:sz w:val="18"/>
                  <w:szCs w:val="18"/>
                  <w:u w:val="single" w:color="auto"/>
                  <w:color w:val="0000EE"/>
                </w:rPr>
                <w:t>Notes to Consolidated Financial Statements</w:t>
              </w:r>
            </w:hyperlink>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1215"/>
        </w:trPr>
        <w:tc>
          <w:tcPr>
            <w:tcW w:w="20" w:type="dxa"/>
            <w:vAlign w:val="bottom"/>
          </w:tcPr>
          <w:p>
            <w:pPr>
              <w:spacing w:after="0"/>
              <w:rPr>
                <w:sz w:val="24"/>
                <w:szCs w:val="24"/>
                <w:color w:val="auto"/>
              </w:rPr>
            </w:pPr>
          </w:p>
        </w:tc>
        <w:tc>
          <w:tcPr>
            <w:tcW w:w="7100" w:type="dxa"/>
            <w:vAlign w:val="bottom"/>
          </w:tcPr>
          <w:p>
            <w:pPr>
              <w:jc w:val="center"/>
              <w:ind w:left="1370"/>
              <w:spacing w:after="0"/>
              <w:rPr>
                <w:sz w:val="20"/>
                <w:szCs w:val="20"/>
                <w:color w:val="auto"/>
              </w:rPr>
            </w:pPr>
            <w:r>
              <w:rPr>
                <w:rFonts w:ascii="Times New Roman" w:cs="Times New Roman" w:eastAsia="Times New Roman" w:hAnsi="Times New Roman"/>
                <w:sz w:val="18"/>
                <w:szCs w:val="18"/>
                <w:color w:val="auto"/>
                <w:w w:val="95"/>
              </w:rPr>
              <w:t>F-1</w:t>
            </w:r>
          </w:p>
        </w:tc>
        <w:tc>
          <w:tcPr>
            <w:tcW w:w="1480" w:type="dxa"/>
            <w:vAlign w:val="bottom"/>
          </w:tcPr>
          <w:p>
            <w:pPr>
              <w:spacing w:after="0"/>
              <w:rPr>
                <w:sz w:val="24"/>
                <w:szCs w:val="24"/>
                <w:color w:val="auto"/>
              </w:rPr>
            </w:pPr>
          </w:p>
        </w:tc>
      </w:tr>
      <w:tr>
        <w:trPr>
          <w:trHeight w:val="533"/>
        </w:trPr>
        <w:tc>
          <w:tcPr>
            <w:tcW w:w="20" w:type="dxa"/>
            <w:vAlign w:val="bottom"/>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119" w:name="page120"/>
    <w:bookmarkEnd w:id="119"/>
    <w:p>
      <w:pPr>
        <w:ind w:left="20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To the Stockholders and the Board of Directors of Blueprint Medicines Corporation</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ind w:left="200" w:right="219"/>
        <w:spacing w:after="0"/>
        <w:rPr>
          <w:sz w:val="20"/>
          <w:szCs w:val="20"/>
          <w:color w:val="auto"/>
        </w:rPr>
      </w:pPr>
      <w:r>
        <w:rPr>
          <w:rFonts w:ascii="Times New Roman" w:cs="Times New Roman" w:eastAsia="Times New Roman" w:hAnsi="Times New Roman"/>
          <w:sz w:val="18"/>
          <w:szCs w:val="18"/>
          <w:color w:val="auto"/>
        </w:rPr>
        <w:t>We have audited the accompanying consolidated balance sheets of Blueprint Medicines Corporation as of December 31, 2020 and 2019, the related consolidated statements of operations and comprehensive income (loss),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71" w:lineRule="exact"/>
        <w:rPr>
          <w:sz w:val="20"/>
          <w:szCs w:val="20"/>
          <w:color w:val="auto"/>
        </w:rPr>
      </w:pPr>
    </w:p>
    <w:p>
      <w:pPr>
        <w:jc w:val="both"/>
        <w:ind w:left="200" w:right="219"/>
        <w:spacing w:after="0" w:line="242"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17, 2021 expressed an unqualified opinion thereon.</w:t>
      </w:r>
    </w:p>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Adoption of ASC 842</w:t>
      </w:r>
    </w:p>
    <w:p>
      <w:pPr>
        <w:spacing w:after="0" w:line="202" w:lineRule="exact"/>
        <w:rPr>
          <w:sz w:val="20"/>
          <w:szCs w:val="20"/>
          <w:color w:val="auto"/>
        </w:rPr>
      </w:pPr>
    </w:p>
    <w:p>
      <w:pPr>
        <w:jc w:val="both"/>
        <w:ind w:left="200" w:right="219"/>
        <w:spacing w:after="0" w:line="250"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changed its method of accounting for leases effective January 1, 2019 due to the adoption of Accounting Standards Update (ASU) 2016-02, Leases (Topic 842), and the related amendments.</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left="200" w:right="219"/>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ind w:left="200" w:right="219"/>
        <w:spacing w:after="0" w:line="23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0" w:name="page121"/>
    <w:bookmarkEnd w:id="12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02" w:lineRule="exact"/>
        <w:rPr>
          <w:sz w:val="20"/>
          <w:szCs w:val="20"/>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discussed in Note 10 to the consolidated financial statements, the Company recognized $753</w:t>
            </w:r>
          </w:p>
        </w:tc>
        <w:tc>
          <w:tcPr>
            <w:tcW w:w="0" w:type="dxa"/>
            <w:vAlign w:val="bottom"/>
          </w:tcPr>
          <w:p>
            <w:pPr>
              <w:spacing w:after="0"/>
              <w:rPr>
                <w:sz w:val="1"/>
                <w:szCs w:val="1"/>
                <w:color w:val="auto"/>
              </w:rPr>
            </w:pPr>
          </w:p>
        </w:tc>
      </w:tr>
      <w:tr>
        <w:trPr>
          <w:trHeight w:val="204"/>
        </w:trPr>
        <w:tc>
          <w:tcPr>
            <w:tcW w:w="1480" w:type="dxa"/>
            <w:vAlign w:val="bottom"/>
          </w:tcPr>
          <w:p>
            <w:pPr>
              <w:spacing w:after="0" w:line="205" w:lineRule="exact"/>
              <w:rPr>
                <w:sz w:val="20"/>
                <w:szCs w:val="20"/>
                <w:color w:val="auto"/>
              </w:rPr>
            </w:pPr>
            <w:r>
              <w:rPr>
                <w:rFonts w:ascii="Times New Roman" w:cs="Times New Roman" w:eastAsia="Times New Roman" w:hAnsi="Times New Roman"/>
                <w:sz w:val="18"/>
                <w:szCs w:val="18"/>
                <w:i w:val="1"/>
                <w:iCs w:val="1"/>
                <w:color w:val="auto"/>
              </w:rPr>
              <w:t>Matter</w:t>
            </w:r>
          </w:p>
        </w:tc>
        <w:tc>
          <w:tcPr>
            <w:tcW w:w="740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million in revenue under the collaboration and stock purchase agreement with F. Hoffmann-La</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Roche Ltd and Genentech, Inc., a member of the Roche Group (collectively, “Roche”). The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Company determined that there were four material components of the Roche agreement: (i) licenses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granted to Roche to develop and commercialize pralsetinib worldwide, excluding the CStone</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territory (pralsetinib license); (ii) the Roche territory-specific commercialization activities for</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pralsetinib, including manufacturing Roche territory activities; (iii) the parties’ joint development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activities for pralsetinib worldwide, excluding the CStone territory; and (iv) the parties’ joint</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commercialization activities for pralsetinib in the U.S. The Company accounts for the pralsetinib</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w w:val="99"/>
              </w:rPr>
              <w:t>license and Roche territory-specific components pursuant to ASC 606, Revenue from Contracts with</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w w:val="99"/>
              </w:rPr>
              <w:t>Customers, and the joint development and commercialization activities components under ASC 808,</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Collaborative Arrangements.</w:t>
            </w:r>
          </w:p>
        </w:tc>
        <w:tc>
          <w:tcPr>
            <w:tcW w:w="0" w:type="dxa"/>
            <w:vAlign w:val="bottom"/>
          </w:tcPr>
          <w:p>
            <w:pPr>
              <w:spacing w:after="0"/>
              <w:rPr>
                <w:sz w:val="1"/>
                <w:szCs w:val="1"/>
                <w:color w:val="auto"/>
              </w:rPr>
            </w:pPr>
          </w:p>
        </w:tc>
      </w:tr>
      <w:tr>
        <w:trPr>
          <w:trHeight w:val="373"/>
        </w:trPr>
        <w:tc>
          <w:tcPr>
            <w:tcW w:w="1480" w:type="dxa"/>
            <w:vAlign w:val="bottom"/>
          </w:tcPr>
          <w:p>
            <w:pPr>
              <w:spacing w:after="0"/>
              <w:rPr>
                <w:sz w:val="24"/>
                <w:szCs w:val="24"/>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management’s identification of performance obligations for the pralsetinib license and</w:t>
            </w:r>
          </w:p>
        </w:tc>
        <w:tc>
          <w:tcPr>
            <w:tcW w:w="0" w:type="dxa"/>
            <w:vAlign w:val="bottom"/>
          </w:tcPr>
          <w:p>
            <w:pPr>
              <w:spacing w:after="0"/>
              <w:rPr>
                <w:sz w:val="1"/>
                <w:szCs w:val="1"/>
                <w:color w:val="auto"/>
              </w:rPr>
            </w:pPr>
          </w:p>
        </w:tc>
      </w:tr>
      <w:tr>
        <w:trPr>
          <w:trHeight w:val="202"/>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Roche territory-specific components pursuant to ASC 606 was challenging as the contract includes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implicit and explicit goods and services. Significant judgment was required in the evaluation of</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whether the identified promised goods and services meet the criteria of being distinct and capable</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being distinct within the context of the contract or represent a material right.</w:t>
            </w: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Addressed the</w:t>
            </w: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internal controls that addressed the identified risks related to the Company’s process for identifying</w:t>
            </w:r>
          </w:p>
        </w:tc>
        <w:tc>
          <w:tcPr>
            <w:tcW w:w="0" w:type="dxa"/>
            <w:vAlign w:val="bottom"/>
          </w:tcPr>
          <w:p>
            <w:pPr>
              <w:spacing w:after="0"/>
              <w:rPr>
                <w:sz w:val="1"/>
                <w:szCs w:val="1"/>
                <w:color w:val="auto"/>
              </w:rPr>
            </w:pPr>
          </w:p>
        </w:tc>
      </w:tr>
      <w:tr>
        <w:trPr>
          <w:trHeight w:val="203"/>
        </w:trPr>
        <w:tc>
          <w:tcPr>
            <w:tcW w:w="148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Matter in Our</w:t>
            </w: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performance obligations and material rights in its contracts with customers.</w:t>
            </w:r>
          </w:p>
        </w:tc>
        <w:tc>
          <w:tcPr>
            <w:tcW w:w="0" w:type="dxa"/>
            <w:vAlign w:val="bottom"/>
          </w:tcPr>
          <w:p>
            <w:pPr>
              <w:spacing w:after="0"/>
              <w:rPr>
                <w:sz w:val="1"/>
                <w:szCs w:val="1"/>
                <w:color w:val="auto"/>
              </w:rPr>
            </w:pPr>
          </w:p>
        </w:tc>
      </w:tr>
      <w:tr>
        <w:trPr>
          <w:trHeight w:val="236"/>
        </w:trPr>
        <w:tc>
          <w:tcPr>
            <w:tcW w:w="14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4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 test the identification of performance obligations and material rights, we assessed, among other</w:t>
            </w: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7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things, the stated terms of the Company’s arrangement with Roche. We also conducted meetings</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with personnel at the Company responsible for negotiating the contract and overseeing the delivery</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of the performance obligation in order to understand the nature of the explicit and implicit promised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goods and services as well as understand whether promises were capable of being distinct and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distinct in the context of the contract. We reviewed the Company’s analyses to support their</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assessment that there is no separate material right in connection with the development and</w:t>
            </w:r>
          </w:p>
        </w:tc>
        <w:tc>
          <w:tcPr>
            <w:tcW w:w="0" w:type="dxa"/>
            <w:vAlign w:val="bottom"/>
          </w:tcPr>
          <w:p>
            <w:pPr>
              <w:spacing w:after="0"/>
              <w:rPr>
                <w:sz w:val="1"/>
                <w:szCs w:val="1"/>
                <w:color w:val="auto"/>
              </w:rPr>
            </w:pPr>
          </w:p>
        </w:tc>
      </w:tr>
      <w:tr>
        <w:trPr>
          <w:trHeight w:val="203"/>
        </w:trPr>
        <w:tc>
          <w:tcPr>
            <w:tcW w:w="1480" w:type="dxa"/>
            <w:vAlign w:val="bottom"/>
          </w:tcPr>
          <w:p>
            <w:pPr>
              <w:spacing w:after="0"/>
              <w:rPr>
                <w:sz w:val="17"/>
                <w:szCs w:val="17"/>
                <w:color w:val="auto"/>
              </w:rPr>
            </w:pPr>
          </w:p>
        </w:tc>
        <w:tc>
          <w:tcPr>
            <w:tcW w:w="740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commercial supply of pralsetinib. Finally, we assessed the Company’s analyses to support their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conclusion of the amount of revenue to recognize in 2020 under ASC 606 Revenue.</w:t>
            </w:r>
          </w:p>
        </w:tc>
        <w:tc>
          <w:tcPr>
            <w:tcW w:w="0" w:type="dxa"/>
            <w:vAlign w:val="bottom"/>
          </w:tcPr>
          <w:p>
            <w:pPr>
              <w:spacing w:after="0"/>
              <w:rPr>
                <w:sz w:val="1"/>
                <w:szCs w:val="1"/>
                <w:color w:val="auto"/>
              </w:rPr>
            </w:pPr>
          </w:p>
        </w:tc>
      </w:tr>
    </w:tbl>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48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Accrued Clinical Trial Expenses</w:t>
            </w:r>
          </w:p>
        </w:tc>
      </w:tr>
      <w:tr>
        <w:trPr>
          <w:trHeight w:val="385"/>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records costs for</w:t>
            </w:r>
          </w:p>
        </w:tc>
      </w:tr>
      <w:tr>
        <w:trPr>
          <w:trHeight w:val="205"/>
        </w:trPr>
        <w:tc>
          <w:tcPr>
            <w:tcW w:w="14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i w:val="1"/>
                <w:iCs w:val="1"/>
                <w:color w:val="auto"/>
              </w:rPr>
              <w:t>Matter</w:t>
            </w:r>
          </w:p>
        </w:tc>
        <w:tc>
          <w:tcPr>
            <w:tcW w:w="7440" w:type="dxa"/>
            <w:vAlign w:val="bottom"/>
          </w:tcPr>
          <w:p>
            <w:pPr>
              <w:ind w:left="160"/>
              <w:spacing w:after="0" w:line="205" w:lineRule="exact"/>
              <w:rPr>
                <w:sz w:val="20"/>
                <w:szCs w:val="20"/>
                <w:color w:val="auto"/>
              </w:rPr>
            </w:pPr>
            <w:r>
              <w:rPr>
                <w:rFonts w:ascii="Times New Roman" w:cs="Times New Roman" w:eastAsia="Times New Roman" w:hAnsi="Times New Roman"/>
                <w:sz w:val="18"/>
                <w:szCs w:val="18"/>
                <w:color w:val="auto"/>
              </w:rPr>
              <w:t>clinical trial activities based upon estimates of costs incurred through the balance sheet date that</w:t>
            </w:r>
          </w:p>
        </w:tc>
      </w:tr>
      <w:tr>
        <w:trPr>
          <w:trHeight w:val="234"/>
        </w:trPr>
        <w:tc>
          <w:tcPr>
            <w:tcW w:w="148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have yet to be invoiced by the contract research organizations and other vendors.</w:t>
            </w:r>
          </w:p>
        </w:tc>
      </w:tr>
      <w:tr>
        <w:trPr>
          <w:trHeight w:val="373"/>
        </w:trPr>
        <w:tc>
          <w:tcPr>
            <w:tcW w:w="1480" w:type="dxa"/>
            <w:vAlign w:val="bottom"/>
          </w:tcPr>
          <w:p>
            <w:pPr>
              <w:spacing w:after="0"/>
              <w:rPr>
                <w:sz w:val="24"/>
                <w:szCs w:val="24"/>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Auditing the Company’s accruals for clinical trials is challenging due to the fact that information</w:t>
            </w:r>
          </w:p>
        </w:tc>
      </w:tr>
      <w:tr>
        <w:trPr>
          <w:trHeight w:val="203"/>
        </w:trPr>
        <w:tc>
          <w:tcPr>
            <w:tcW w:w="148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necessary to estimate the accruals is accumulated from multiple sources. In addition, in certain</w:t>
            </w:r>
          </w:p>
        </w:tc>
      </w:tr>
      <w:tr>
        <w:trPr>
          <w:trHeight w:val="203"/>
        </w:trPr>
        <w:tc>
          <w:tcPr>
            <w:tcW w:w="148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circumstances, the determination of the nature and level of services that have been received during</w:t>
            </w:r>
          </w:p>
        </w:tc>
      </w:tr>
      <w:tr>
        <w:trPr>
          <w:trHeight w:val="203"/>
        </w:trPr>
        <w:tc>
          <w:tcPr>
            <w:tcW w:w="1480" w:type="dxa"/>
            <w:vAlign w:val="bottom"/>
          </w:tcPr>
          <w:p>
            <w:pPr>
              <w:spacing w:after="0"/>
              <w:rPr>
                <w:sz w:val="17"/>
                <w:szCs w:val="17"/>
                <w:color w:val="auto"/>
              </w:rPr>
            </w:pPr>
          </w:p>
        </w:tc>
        <w:tc>
          <w:tcPr>
            <w:tcW w:w="744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auto"/>
              </w:rPr>
              <w:t>the reporting period requires judgment because the timing and pattern of vendor invoicing does not</w:t>
            </w:r>
          </w:p>
        </w:tc>
      </w:tr>
      <w:tr>
        <w:trPr>
          <w:trHeight w:val="234"/>
        </w:trPr>
        <w:tc>
          <w:tcPr>
            <w:tcW w:w="148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correspond to the level of services provided and there may be delays in invoicing from</w:t>
            </w:r>
          </w:p>
        </w:tc>
      </w:tr>
      <w:tr>
        <w:trPr>
          <w:trHeight w:val="702"/>
        </w:trPr>
        <w:tc>
          <w:tcPr>
            <w:tcW w:w="1480" w:type="dxa"/>
            <w:vAlign w:val="bottom"/>
          </w:tcPr>
          <w:p>
            <w:pPr>
              <w:spacing w:after="0"/>
              <w:rPr>
                <w:sz w:val="24"/>
                <w:szCs w:val="24"/>
                <w:color w:val="auto"/>
              </w:rPr>
            </w:pPr>
          </w:p>
        </w:tc>
        <w:tc>
          <w:tcPr>
            <w:tcW w:w="7440" w:type="dxa"/>
            <w:vAlign w:val="bottom"/>
          </w:tcPr>
          <w:p>
            <w:pPr>
              <w:ind w:left="2860"/>
              <w:spacing w:after="0"/>
              <w:rPr>
                <w:sz w:val="20"/>
                <w:szCs w:val="20"/>
                <w:color w:val="auto"/>
              </w:rPr>
            </w:pPr>
            <w:r>
              <w:rPr>
                <w:rFonts w:ascii="Times New Roman" w:cs="Times New Roman" w:eastAsia="Times New Roman" w:hAnsi="Times New Roman"/>
                <w:sz w:val="18"/>
                <w:szCs w:val="18"/>
                <w:color w:val="auto"/>
              </w:rPr>
              <w:t>F-3</w:t>
            </w:r>
          </w:p>
        </w:tc>
      </w:tr>
      <w:tr>
        <w:trPr>
          <w:trHeight w:val="547"/>
        </w:trPr>
        <w:tc>
          <w:tcPr>
            <w:tcW w:w="14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21" w:name="page122"/>
    <w:bookmarkEnd w:id="12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440" w:type="dxa"/>
            <w:vAlign w:val="bottom"/>
          </w:tcPr>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tc>
        <w:tc>
          <w:tcPr>
            <w:tcW w:w="7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8"/>
        </w:trPr>
        <w:tc>
          <w:tcPr>
            <w:tcW w:w="1440" w:type="dxa"/>
            <w:vAlign w:val="bottom"/>
          </w:tcPr>
          <w:p>
            <w:pPr>
              <w:spacing w:after="0"/>
              <w:rPr>
                <w:sz w:val="24"/>
                <w:szCs w:val="24"/>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clinical study sites and other vendors.</w:t>
            </w:r>
          </w:p>
        </w:tc>
        <w:tc>
          <w:tcPr>
            <w:tcW w:w="0" w:type="dxa"/>
            <w:vAlign w:val="bottom"/>
          </w:tcPr>
          <w:p>
            <w:pPr>
              <w:spacing w:after="0"/>
              <w:rPr>
                <w:sz w:val="1"/>
                <w:szCs w:val="1"/>
                <w:color w:val="auto"/>
              </w:rPr>
            </w:pPr>
          </w:p>
        </w:tc>
      </w:tr>
      <w:tr>
        <w:trPr>
          <w:trHeight w:val="385"/>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 obtained an understanding of, evaluated the design and tested the operating effectiveness of</w:t>
            </w:r>
          </w:p>
        </w:tc>
        <w:tc>
          <w:tcPr>
            <w:tcW w:w="0" w:type="dxa"/>
            <w:vAlign w:val="bottom"/>
          </w:tcPr>
          <w:p>
            <w:pPr>
              <w:spacing w:after="0"/>
              <w:rPr>
                <w:sz w:val="1"/>
                <w:szCs w:val="1"/>
                <w:color w:val="auto"/>
              </w:rPr>
            </w:pPr>
          </w:p>
        </w:tc>
      </w:tr>
      <w:tr>
        <w:trPr>
          <w:trHeight w:val="203"/>
        </w:trPr>
        <w:tc>
          <w:tcPr>
            <w:tcW w:w="144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Addressed the</w:t>
            </w: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internal controls that addressed the identified risks related to the Company’s process for recording</w:t>
            </w:r>
          </w:p>
        </w:tc>
        <w:tc>
          <w:tcPr>
            <w:tcW w:w="0" w:type="dxa"/>
            <w:vAlign w:val="bottom"/>
          </w:tcPr>
          <w:p>
            <w:pPr>
              <w:spacing w:after="0"/>
              <w:rPr>
                <w:sz w:val="1"/>
                <w:szCs w:val="1"/>
                <w:color w:val="auto"/>
              </w:rPr>
            </w:pPr>
          </w:p>
        </w:tc>
      </w:tr>
      <w:tr>
        <w:trPr>
          <w:trHeight w:val="203"/>
        </w:trPr>
        <w:tc>
          <w:tcPr>
            <w:tcW w:w="1440" w:type="dxa"/>
            <w:vAlign w:val="bottom"/>
          </w:tcPr>
          <w:p>
            <w:pPr>
              <w:spacing w:after="0" w:line="202" w:lineRule="exact"/>
              <w:rPr>
                <w:sz w:val="20"/>
                <w:szCs w:val="20"/>
                <w:color w:val="auto"/>
              </w:rPr>
            </w:pPr>
            <w:r>
              <w:rPr>
                <w:rFonts w:ascii="Times New Roman" w:cs="Times New Roman" w:eastAsia="Times New Roman" w:hAnsi="Times New Roman"/>
                <w:sz w:val="18"/>
                <w:szCs w:val="18"/>
                <w:i w:val="1"/>
                <w:iCs w:val="1"/>
                <w:color w:val="auto"/>
              </w:rPr>
              <w:t>Matter in Our</w:t>
            </w: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accrued clinical expenses.</w:t>
            </w: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3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To evaluate the accrual for clinical expenses, our audit procedures included, among others, testing</w:t>
            </w:r>
          </w:p>
        </w:tc>
        <w:tc>
          <w:tcPr>
            <w:tcW w:w="0" w:type="dxa"/>
            <w:vAlign w:val="bottom"/>
          </w:tcPr>
          <w:p>
            <w:pPr>
              <w:spacing w:after="0"/>
              <w:rPr>
                <w:sz w:val="1"/>
                <w:szCs w:val="1"/>
                <w:color w:val="auto"/>
              </w:rPr>
            </w:pPr>
          </w:p>
        </w:tc>
      </w:tr>
      <w:tr>
        <w:trPr>
          <w:trHeight w:val="171"/>
        </w:trPr>
        <w:tc>
          <w:tcPr>
            <w:tcW w:w="1440" w:type="dxa"/>
            <w:vAlign w:val="bottom"/>
          </w:tcPr>
          <w:p>
            <w:pPr>
              <w:spacing w:after="0"/>
              <w:rPr>
                <w:sz w:val="14"/>
                <w:szCs w:val="14"/>
                <w:color w:val="auto"/>
              </w:rPr>
            </w:pPr>
          </w:p>
        </w:tc>
        <w:tc>
          <w:tcPr>
            <w:tcW w:w="7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the completeness and accuracy of the underlying data used in the estimates and evaluating the</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significant assumptions including, but not limited to, expected patient enrollment, costs per patient,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w w:val="99"/>
              </w:rPr>
              <w:t>site activation and estimated project duration, that are used by management to estimate the recorded</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accruals. To assess the reasonableness of the significant assumptions, we corroborated the progress</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of clinical trials with the Company’s clinical team and obtained information directly from third</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parties related to active patient sites and currently enrolled patients. We also tested subsequent</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invoicing received from such third parties and inspected the Company’s contracts with third parties</w:t>
            </w:r>
          </w:p>
        </w:tc>
        <w:tc>
          <w:tcPr>
            <w:tcW w:w="0" w:type="dxa"/>
            <w:vAlign w:val="bottom"/>
          </w:tcPr>
          <w:p>
            <w:pPr>
              <w:spacing w:after="0"/>
              <w:rPr>
                <w:sz w:val="1"/>
                <w:szCs w:val="1"/>
                <w:color w:val="auto"/>
              </w:rPr>
            </w:pPr>
          </w:p>
        </w:tc>
      </w:tr>
      <w:tr>
        <w:trPr>
          <w:trHeight w:val="203"/>
        </w:trPr>
        <w:tc>
          <w:tcPr>
            <w:tcW w:w="1440" w:type="dxa"/>
            <w:vAlign w:val="bottom"/>
          </w:tcPr>
          <w:p>
            <w:pPr>
              <w:spacing w:after="0"/>
              <w:rPr>
                <w:sz w:val="17"/>
                <w:szCs w:val="17"/>
                <w:color w:val="auto"/>
              </w:rPr>
            </w:pPr>
          </w:p>
        </w:tc>
        <w:tc>
          <w:tcPr>
            <w:tcW w:w="738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and any pending change orders to assess the impact to the accrual through the balance sheet date</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compared that to the Company’s estimates.</w:t>
            </w: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2011.</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17,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7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1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ind w:left="3140"/>
              <w:spacing w:after="0" w:line="183" w:lineRule="exact"/>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684,636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369,616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9,820</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927,759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516,786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677,873</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34,129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38,361</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67,539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72,753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10,222</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1,718,393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707,694</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ind w:left="21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105,938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12,559</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130,802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106,482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81,669</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89,126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net of current portion</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28,599</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7,814</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248,305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243,335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Commitments (Note 18)</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5"/>
        </w:trPr>
        <w:tc>
          <w:tcPr>
            <w:tcW w:w="672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Common stock, $0.001 par value; 120,000,000 shares authorized; 57,793,533 and 49,272,223 shares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issued and outstanding at December 31, 2020 and December 31, 2019, respectively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2,106,600</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1,412,083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(631,356)</w:t>
            </w:r>
          </w:p>
        </w:tc>
        <w:tc>
          <w:tcPr>
            <w:tcW w:w="16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(945,238)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tcPr>
          <w:p>
            <w:pPr>
              <w:spacing w:after="0" w:line="183" w:lineRule="exact"/>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1,470,088</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464,359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72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1,718,393</w:t>
            </w:r>
          </w:p>
        </w:tc>
        <w:tc>
          <w:tcPr>
            <w:tcW w:w="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707,694</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3" w:name="page124"/>
    <w:bookmarkEnd w:id="12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 (Loss)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0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604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Revenues: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Product revenue, net</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22,134</w:t>
            </w:r>
          </w:p>
        </w:tc>
        <w:tc>
          <w:tcPr>
            <w:tcW w:w="14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Collaboration revenue</w:t>
            </w: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771,601</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66,512</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revenues</w:t>
            </w: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793,735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66,512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44,521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Cost and operating expenses: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326,860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331,450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243,621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157,743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96,388</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47,928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cost and operating expenses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485,028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427,838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291,549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income (expense):</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Interest income, net</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6,599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13,732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(366)</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other income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6,233</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13,632</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(loss) before income taxes</w:t>
            </w:r>
          </w:p>
        </w:tc>
        <w:tc>
          <w:tcPr>
            <w:tcW w:w="1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314,940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(347,694)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40" w:type="dxa"/>
            <w:vAlign w:val="bottom"/>
            <w:tcBorders>
              <w:bottom w:val="single" w:sz="8" w:color="CCEEFF"/>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313,882</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(347,694)</w:t>
            </w:r>
          </w:p>
        </w:tc>
        <w:tc>
          <w:tcPr>
            <w:tcW w:w="14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40" w:type="dxa"/>
            <w:vAlign w:val="bottom"/>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Unrealized losses on pension benefit obligations</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(2,843)</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(2,985)</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Unrealized gains on available-for-sale investments</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671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4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Currency translation adjustments</w:t>
            </w:r>
          </w:p>
        </w:tc>
        <w:tc>
          <w:tcPr>
            <w:tcW w:w="14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income (loss)</w:t>
            </w: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311,202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(350,048)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(236,553)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5.76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(7.27)</w:t>
            </w:r>
          </w:p>
        </w:tc>
        <w:tc>
          <w:tcPr>
            <w:tcW w:w="140" w:type="dxa"/>
            <w:vAlign w:val="bottom"/>
            <w:tcBorders>
              <w:bottom w:val="single" w:sz="8" w:color="CCEEFF"/>
            </w:tcBorders>
            <w:vMerge w:val="continue"/>
          </w:tcPr>
          <w:p>
            <w:pPr>
              <w:spacing w:after="0"/>
              <w:rPr>
                <w:sz w:val="19"/>
                <w:szCs w:val="19"/>
                <w:color w:val="auto"/>
              </w:rPr>
            </w:pPr>
          </w:p>
        </w:tc>
        <w:tc>
          <w:tcPr>
            <w:tcW w:w="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(5.39)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40" w:type="dxa"/>
            <w:vAlign w:val="bottom"/>
            <w:tcBorders>
              <w:bottom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8"/>
                <w:szCs w:val="18"/>
                <w:color w:val="auto"/>
              </w:rPr>
              <w:t>Net income (loss) per share — diluted</w:t>
            </w: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5.59</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(7.27)</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20"/>
              <w:spacing w:after="0" w:line="177" w:lineRule="exact"/>
              <w:rPr>
                <w:sz w:val="20"/>
                <w:szCs w:val="20"/>
                <w:color w:val="auto"/>
              </w:rPr>
            </w:pPr>
            <w:r>
              <w:rPr>
                <w:rFonts w:ascii="Times New Roman" w:cs="Times New Roman" w:eastAsia="Times New Roman" w:hAnsi="Times New Roman"/>
                <w:sz w:val="18"/>
                <w:szCs w:val="18"/>
                <w:color w:val="auto"/>
              </w:rPr>
              <w:t>Weighted-average number of common shares used in net income (loss) per</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54,534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6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 — basic</w:t>
            </w: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604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5"/>
                <w:szCs w:val="15"/>
                <w:color w:val="auto"/>
              </w:rPr>
              <w:t>Weighted-average number of common shares used in net income (loss) per</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47,829</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 diluted</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2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 thousands)</w:t>
      </w:r>
    </w:p>
    <w:tbl>
      <w:tblPr>
        <w:tblLayout w:type="fixed"/>
        <w:tblInd w:w="0" w:type="dxa"/>
        <w:tblCellMar>
          <w:top w:w="0" w:type="dxa"/>
          <w:left w:w="0" w:type="dxa"/>
          <w:bottom w:w="0" w:type="dxa"/>
          <w:right w:w="0" w:type="dxa"/>
        </w:tblCellMar>
      </w:tblPr>
      <w:tr>
        <w:trPr>
          <w:trHeight w:val="160"/>
        </w:trPr>
        <w:tc>
          <w:tcPr>
            <w:tcW w:w="4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2"/>
        </w:trPr>
        <w:tc>
          <w:tcPr>
            <w:tcW w:w="4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4"/>
                <w:szCs w:val="14"/>
                <w:color w:val="auto"/>
              </w:rPr>
            </w:pPr>
          </w:p>
        </w:tc>
        <w:tc>
          <w:tcPr>
            <w:tcW w:w="820" w:type="dxa"/>
            <w:vAlign w:val="bottom"/>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7"/>
        </w:trPr>
        <w:tc>
          <w:tcPr>
            <w:tcW w:w="4780" w:type="dxa"/>
            <w:vAlign w:val="bottom"/>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155"/>
        </w:trPr>
        <w:tc>
          <w:tcPr>
            <w:tcW w:w="4780" w:type="dxa"/>
            <w:vAlign w:val="bottom"/>
          </w:tcPr>
          <w:p>
            <w:pPr>
              <w:spacing w:after="0"/>
              <w:rPr>
                <w:sz w:val="13"/>
                <w:szCs w:val="13"/>
                <w:color w:val="auto"/>
              </w:rPr>
            </w:pPr>
          </w:p>
        </w:tc>
        <w:tc>
          <w:tcPr>
            <w:tcW w:w="100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3"/>
                <w:szCs w:val="13"/>
                <w:color w:val="auto"/>
              </w:rPr>
            </w:pPr>
          </w:p>
        </w:tc>
        <w:tc>
          <w:tcPr>
            <w:tcW w:w="820" w:type="dxa"/>
            <w:vAlign w:val="bottom"/>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3"/>
                <w:szCs w:val="13"/>
                <w:color w:val="auto"/>
              </w:rPr>
            </w:pPr>
          </w:p>
        </w:tc>
        <w:tc>
          <w:tcPr>
            <w:tcW w:w="740" w:type="dxa"/>
            <w:vAlign w:val="bottom"/>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r>
      <w:tr>
        <w:trPr>
          <w:trHeight w:val="183"/>
        </w:trPr>
        <w:tc>
          <w:tcPr>
            <w:tcW w:w="47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2017</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43,577,526</w:t>
            </w: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979,784</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(269)</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(355,588)</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623,970</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445,622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5,587</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30,534</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30,534</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Adoption of new accounting standard</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(5,314)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(5,314)</w:t>
            </w: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gain</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89</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(236,642)</w:t>
            </w: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(236,642)</w:t>
            </w:r>
          </w:p>
        </w:tc>
      </w:tr>
      <w:tr>
        <w:trPr>
          <w:trHeight w:val="183"/>
        </w:trPr>
        <w:tc>
          <w:tcPr>
            <w:tcW w:w="4780" w:type="dxa"/>
            <w:vAlign w:val="bottom"/>
            <w:tcBorders>
              <w:top w:val="single" w:sz="8" w:color="CCEEFF"/>
            </w:tcBorders>
            <w:shd w:val="clear" w:color="auto" w:fill="CCEEFF"/>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2018</w:t>
            </w: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44,037,026</w:t>
            </w:r>
          </w:p>
        </w:tc>
        <w:tc>
          <w:tcPr>
            <w:tcW w:w="1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44</w:t>
            </w:r>
          </w:p>
        </w:tc>
        <w:tc>
          <w:tcPr>
            <w:tcW w:w="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1,016,689</w:t>
            </w:r>
          </w:p>
        </w:tc>
        <w:tc>
          <w:tcPr>
            <w:tcW w:w="1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(180)</w:t>
            </w:r>
          </w:p>
        </w:tc>
        <w:tc>
          <w:tcPr>
            <w:tcW w:w="22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gridSpan w:val="2"/>
            <w:shd w:val="clear" w:color="auto" w:fill="CCEEFF"/>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rPr>
              <w:t>(597,544)</w:t>
            </w:r>
          </w:p>
        </w:tc>
        <w:tc>
          <w:tcPr>
            <w:tcW w:w="160" w:type="dxa"/>
            <w:vAlign w:val="bottom"/>
            <w:tcBorders>
              <w:top w:val="single" w:sz="8" w:color="auto"/>
            </w:tcBorders>
            <w:shd w:val="clear" w:color="auto" w:fill="CCEEFF"/>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419,009</w:t>
            </w:r>
          </w:p>
        </w:tc>
        <w:tc>
          <w:tcPr>
            <w:tcW w:w="80" w:type="dxa"/>
            <w:vAlign w:val="bottom"/>
            <w:tcBorders>
              <w:top w:val="single" w:sz="8" w:color="CCEEFF"/>
            </w:tcBorders>
            <w:shd w:val="clear" w:color="auto" w:fill="CCEEFF"/>
          </w:tcPr>
          <w:p>
            <w:pPr>
              <w:spacing w:after="0"/>
              <w:rPr>
                <w:sz w:val="15"/>
                <w:szCs w:val="15"/>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552,311</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12,130</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12,131</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20,724</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54,653</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Follow on offering, net of issuance costs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4,662,162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327,462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327,466</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(2,354)</w:t>
            </w: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(347,694)</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(347,694)</w:t>
            </w:r>
          </w:p>
        </w:tc>
      </w:tr>
      <w:tr>
        <w:trPr>
          <w:trHeight w:val="183"/>
        </w:trPr>
        <w:tc>
          <w:tcPr>
            <w:tcW w:w="47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2019</w:t>
            </w:r>
          </w:p>
        </w:tc>
        <w:tc>
          <w:tcPr>
            <w:tcW w:w="8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49,272,223</w:t>
            </w:r>
          </w:p>
        </w:tc>
        <w:tc>
          <w:tcPr>
            <w:tcW w:w="140" w:type="dxa"/>
            <w:vAlign w:val="bottom"/>
          </w:tcPr>
          <w:p>
            <w:pPr>
              <w:spacing w:after="0"/>
              <w:rPr>
                <w:sz w:val="15"/>
                <w:szCs w:val="15"/>
                <w:color w:val="auto"/>
              </w:rPr>
            </w:pPr>
          </w:p>
        </w:tc>
        <w:tc>
          <w:tcPr>
            <w:tcW w:w="260" w:type="dxa"/>
            <w:vAlign w:val="bottom"/>
            <w:tcBorders>
              <w:top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5"/>
                <w:szCs w:val="15"/>
                <w:color w:val="auto"/>
              </w:rPr>
            </w:pPr>
          </w:p>
        </w:tc>
        <w:tc>
          <w:tcPr>
            <w:tcW w:w="10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1,412,082</w:t>
            </w:r>
          </w:p>
        </w:tc>
        <w:tc>
          <w:tcPr>
            <w:tcW w:w="140" w:type="dxa"/>
            <w:vAlign w:val="bottom"/>
          </w:tcPr>
          <w:p>
            <w:pPr>
              <w:spacing w:after="0"/>
              <w:rPr>
                <w:sz w:val="15"/>
                <w:szCs w:val="15"/>
                <w:color w:val="auto"/>
              </w:rPr>
            </w:pPr>
          </w:p>
        </w:tc>
        <w:tc>
          <w:tcPr>
            <w:tcW w:w="200" w:type="dxa"/>
            <w:vAlign w:val="bottom"/>
            <w:tcBorders>
              <w:top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(2,534)</w:t>
            </w:r>
          </w:p>
        </w:tc>
        <w:tc>
          <w:tcPr>
            <w:tcW w:w="22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(945,238)</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464,359</w:t>
            </w:r>
          </w:p>
        </w:tc>
        <w:tc>
          <w:tcPr>
            <w:tcW w:w="80" w:type="dxa"/>
            <w:vAlign w:val="bottom"/>
          </w:tcPr>
          <w:p>
            <w:pPr>
              <w:spacing w:after="0"/>
              <w:rPr>
                <w:sz w:val="15"/>
                <w:szCs w:val="15"/>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stock plan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952,205</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33,283</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 under ESPP</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38,516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76,602</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76,602</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Follow on offering and at-the-market offerings, net of issuance costs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6,495,070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503,176</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503,182</w:t>
            </w:r>
          </w:p>
        </w:tc>
        <w:tc>
          <w:tcPr>
            <w:tcW w:w="80" w:type="dxa"/>
            <w:vAlign w:val="bottom"/>
          </w:tcPr>
          <w:p>
            <w:pPr>
              <w:spacing w:after="0"/>
              <w:rPr>
                <w:sz w:val="16"/>
                <w:szCs w:val="16"/>
                <w:color w:val="auto"/>
              </w:rPr>
            </w:pP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related to collaboration agreement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1,035,519</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79,305</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79,306</w:t>
            </w:r>
          </w:p>
        </w:tc>
        <w:tc>
          <w:tcPr>
            <w:tcW w:w="80" w:type="dxa"/>
            <w:vAlign w:val="bottom"/>
            <w:shd w:val="clear" w:color="auto" w:fill="CCEEFF"/>
          </w:tcPr>
          <w:p>
            <w:pPr>
              <w:spacing w:after="0"/>
              <w:rPr>
                <w:sz w:val="16"/>
                <w:szCs w:val="16"/>
                <w:color w:val="auto"/>
              </w:rPr>
            </w:pPr>
          </w:p>
        </w:tc>
      </w:tr>
      <w:tr>
        <w:trPr>
          <w:trHeight w:val="18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2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(2,680)</w:t>
            </w:r>
          </w:p>
        </w:tc>
      </w:tr>
      <w:tr>
        <w:trPr>
          <w:trHeight w:val="18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313,882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313,882</w:t>
            </w:r>
          </w:p>
        </w:tc>
        <w:tc>
          <w:tcPr>
            <w:tcW w:w="80" w:type="dxa"/>
            <w:vAlign w:val="bottom"/>
            <w:shd w:val="clear" w:color="auto" w:fill="CCEEFF"/>
          </w:tcPr>
          <w:p>
            <w:pPr>
              <w:spacing w:after="0"/>
              <w:rPr>
                <w:sz w:val="16"/>
                <w:szCs w:val="16"/>
                <w:color w:val="auto"/>
              </w:rPr>
            </w:pPr>
          </w:p>
        </w:tc>
      </w:tr>
      <w:tr>
        <w:trPr>
          <w:trHeight w:val="183"/>
        </w:trPr>
        <w:tc>
          <w:tcPr>
            <w:tcW w:w="478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31, 2020</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57,793,533</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61"/>
              <w:spacing w:after="0" w:line="183" w:lineRule="exact"/>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58</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2,106,600</w:t>
            </w:r>
          </w:p>
        </w:tc>
        <w:tc>
          <w:tcPr>
            <w:tcW w:w="140" w:type="dxa"/>
            <w:vAlign w:val="bottom"/>
          </w:tcPr>
          <w:p>
            <w:pPr>
              <w:spacing w:after="0"/>
              <w:rPr>
                <w:sz w:val="15"/>
                <w:szCs w:val="15"/>
                <w:color w:val="auto"/>
              </w:rPr>
            </w:pPr>
          </w:p>
        </w:tc>
        <w:tc>
          <w:tcPr>
            <w:tcW w:w="200" w:type="dxa"/>
            <w:vAlign w:val="bottom"/>
            <w:tcBorders>
              <w:top w:val="single" w:sz="8" w:color="auto"/>
              <w:bottom w:val="single" w:sz="8" w:color="auto"/>
            </w:tcBorders>
          </w:tcPr>
          <w:p>
            <w:pPr>
              <w:ind w:left="6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(5,214)</w:t>
            </w:r>
          </w:p>
        </w:tc>
        <w:tc>
          <w:tcPr>
            <w:tcW w:w="2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(631,356)</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1,470,088</w:t>
            </w:r>
          </w:p>
        </w:tc>
        <w:tc>
          <w:tcPr>
            <w:tcW w:w="80" w:type="dxa"/>
            <w:vAlign w:val="bottom"/>
          </w:tcPr>
          <w:p>
            <w:pPr>
              <w:spacing w:after="0"/>
              <w:rPr>
                <w:sz w:val="15"/>
                <w:szCs w:val="15"/>
                <w:color w:val="auto"/>
              </w:rPr>
            </w:pPr>
          </w:p>
        </w:tc>
      </w:tr>
      <w:tr>
        <w:trPr>
          <w:trHeight w:val="20"/>
        </w:trPr>
        <w:tc>
          <w:tcPr>
            <w:tcW w:w="4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351790</wp:posOffset>
            </wp:positionV>
            <wp:extent cx="649795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420"/>
          </w:cols>
          <w:pgMar w:left="820" w:top="513" w:right="659" w:bottom="1440" w:gutter="0" w:footer="0" w:header="0"/>
        </w:sectPr>
      </w:pPr>
    </w:p>
    <w:bookmarkStart w:id="125" w:name="page126"/>
    <w:bookmarkEnd w:id="12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9"/>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313,882</w:t>
            </w:r>
          </w:p>
        </w:tc>
        <w:tc>
          <w:tcPr>
            <w:tcW w:w="160" w:type="dxa"/>
            <w:vAlign w:val="bottom"/>
          </w:tcPr>
          <w:p>
            <w:pPr>
              <w:spacing w:after="0"/>
              <w:rPr>
                <w:sz w:val="17"/>
                <w:szCs w:val="17"/>
                <w:color w:val="auto"/>
              </w:rPr>
            </w:pPr>
          </w:p>
        </w:tc>
        <w:tc>
          <w:tcPr>
            <w:tcW w:w="14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(347,694)</w:t>
            </w:r>
          </w:p>
        </w:tc>
        <w:tc>
          <w:tcPr>
            <w:tcW w:w="160" w:type="dxa"/>
            <w:vAlign w:val="bottom"/>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(236,642)</w:t>
            </w:r>
          </w:p>
        </w:tc>
        <w:tc>
          <w:tcPr>
            <w:tcW w:w="0" w:type="dxa"/>
            <w:vAlign w:val="bottom"/>
          </w:tcPr>
          <w:p>
            <w:pPr>
              <w:spacing w:after="0"/>
              <w:rPr>
                <w:sz w:val="1"/>
                <w:szCs w:val="1"/>
                <w:color w:val="auto"/>
              </w:rPr>
            </w:pPr>
          </w:p>
        </w:tc>
      </w:tr>
      <w:tr>
        <w:trPr>
          <w:trHeight w:val="184"/>
        </w:trPr>
        <w:tc>
          <w:tcPr>
            <w:tcW w:w="61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(used in)</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6,559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5,259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Noncash lease expense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5,791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4,991</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75,526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54,653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30,534</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Accretion of premiums and discounts on investments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(4,949)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(4,381)</w:t>
            </w:r>
          </w:p>
        </w:tc>
        <w:tc>
          <w:tcPr>
            <w:tcW w:w="0" w:type="dxa"/>
            <w:vAlign w:val="bottom"/>
          </w:tcPr>
          <w:p>
            <w:pPr>
              <w:spacing w:after="0"/>
              <w:rPr>
                <w:sz w:val="1"/>
                <w:szCs w:val="1"/>
                <w:color w:val="auto"/>
              </w:rPr>
            </w:pPr>
          </w:p>
        </w:tc>
      </w:tr>
      <w:tr>
        <w:trPr>
          <w:trHeight w:val="203"/>
        </w:trPr>
        <w:tc>
          <w:tcPr>
            <w:tcW w:w="61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b w:val="1"/>
                <w:bCs w:val="1"/>
                <w:color w:val="auto"/>
              </w:rPr>
              <w:t>Changes in assets and liabilities: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Accounts receivable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(6,387)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(599)</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Unbilled accounts receivable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4,536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(22,597)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Inventory</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(6,707)</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(12,620)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(3,338)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1,448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Accrued expenses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16,214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36,980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24,804</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03"/>
        </w:trPr>
        <w:tc>
          <w:tcPr>
            <w:tcW w:w="6100" w:type="dxa"/>
            <w:vAlign w:val="bottom"/>
          </w:tcPr>
          <w:p>
            <w:pPr>
              <w:ind w:left="340"/>
              <w:spacing w:after="0" w:line="202" w:lineRule="exact"/>
              <w:rPr>
                <w:sz w:val="20"/>
                <w:szCs w:val="20"/>
                <w:color w:val="auto"/>
              </w:rPr>
            </w:pPr>
            <w:r>
              <w:rPr>
                <w:rFonts w:ascii="Times New Roman" w:cs="Times New Roman" w:eastAsia="Times New Roman" w:hAnsi="Times New Roman"/>
                <w:sz w:val="18"/>
                <w:szCs w:val="18"/>
                <w:color w:val="auto"/>
              </w:rPr>
              <w:t>Deferred rent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Operating lease liabilities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(6,388)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(2,095)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100" w:type="dxa"/>
            <w:vAlign w:val="bottom"/>
          </w:tcPr>
          <w:p>
            <w:pPr>
              <w:ind w:left="640"/>
              <w:spacing w:after="0" w:line="196" w:lineRule="exact"/>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387,035</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(278,015)</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(175,009)</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(3,159)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(14,013)</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(12,677)</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Purchases of investments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(969,437)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(738,387)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(801,236)</w:t>
            </w:r>
          </w:p>
        </w:tc>
        <w:tc>
          <w:tcPr>
            <w:tcW w:w="0" w:type="dxa"/>
            <w:vAlign w:val="bottom"/>
          </w:tcPr>
          <w:p>
            <w:pPr>
              <w:spacing w:after="0"/>
              <w:rPr>
                <w:sz w:val="1"/>
                <w:szCs w:val="1"/>
                <w:color w:val="auto"/>
              </w:rPr>
            </w:pPr>
          </w:p>
        </w:tc>
      </w:tr>
      <w:tr>
        <w:trPr>
          <w:trHeight w:val="203"/>
        </w:trPr>
        <w:tc>
          <w:tcPr>
            <w:tcW w:w="610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Maturities of investments</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538,347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735,934</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652,825</w:t>
            </w:r>
          </w:p>
        </w:tc>
        <w:tc>
          <w:tcPr>
            <w:tcW w:w="0" w:type="dxa"/>
            <w:vAlign w:val="bottom"/>
          </w:tcPr>
          <w:p>
            <w:pPr>
              <w:spacing w:after="0"/>
              <w:rPr>
                <w:sz w:val="1"/>
                <w:szCs w:val="1"/>
                <w:color w:val="auto"/>
              </w:rPr>
            </w:pPr>
          </w:p>
        </w:tc>
      </w:tr>
      <w:tr>
        <w:trPr>
          <w:trHeight w:val="196"/>
        </w:trPr>
        <w:tc>
          <w:tcPr>
            <w:tcW w:w="6100" w:type="dxa"/>
            <w:vAlign w:val="bottom"/>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(434,249)</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(16,466)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(161,088)</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Principal payments on loan payable</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Proceeds from common stock offerings, net of issurance costs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503,189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327,466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proceeds from stock option exercises and employee stock purchase plan</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35,265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13,288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6,425</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Proceeds from issuance of common stock related to collaboration agreement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79,305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 financing activities</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23"/>
        </w:trPr>
        <w:tc>
          <w:tcPr>
            <w:tcW w:w="6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617,759</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340,638</w:t>
            </w: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570,545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46,157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(331,643)</w:t>
            </w:r>
          </w:p>
        </w:tc>
        <w:tc>
          <w:tcPr>
            <w:tcW w:w="0" w:type="dxa"/>
            <w:vAlign w:val="bottom"/>
          </w:tcPr>
          <w:p>
            <w:pPr>
              <w:spacing w:after="0"/>
              <w:rPr>
                <w:sz w:val="1"/>
                <w:szCs w:val="1"/>
                <w:color w:val="auto"/>
              </w:rPr>
            </w:pP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119,604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73,429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405,072</w:t>
            </w:r>
          </w:p>
        </w:tc>
        <w:tc>
          <w:tcPr>
            <w:tcW w:w="0" w:type="dxa"/>
            <w:vAlign w:val="bottom"/>
          </w:tcPr>
          <w:p>
            <w:pPr>
              <w:spacing w:after="0"/>
              <w:rPr>
                <w:sz w:val="1"/>
                <w:szCs w:val="1"/>
                <w:color w:val="auto"/>
              </w:rPr>
            </w:pP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610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689,804</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119,604</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73,429</w:t>
            </w:r>
          </w:p>
        </w:tc>
        <w:tc>
          <w:tcPr>
            <w:tcW w:w="0" w:type="dxa"/>
            <w:vAlign w:val="bottom"/>
          </w:tcPr>
          <w:p>
            <w:pPr>
              <w:spacing w:after="0"/>
              <w:rPr>
                <w:sz w:val="1"/>
                <w:szCs w:val="1"/>
                <w:color w:val="auto"/>
              </w:rPr>
            </w:pPr>
          </w:p>
        </w:tc>
      </w:tr>
      <w:tr>
        <w:trPr>
          <w:trHeight w:val="183"/>
        </w:trPr>
        <w:tc>
          <w:tcPr>
            <w:tcW w:w="61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purchases unpaid at period end</w:t>
            </w:r>
          </w:p>
        </w:tc>
        <w:tc>
          <w:tcPr>
            <w:tcW w:w="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183"/>
        </w:trPr>
        <w:tc>
          <w:tcPr>
            <w:tcW w:w="6100" w:type="dxa"/>
            <w:vAlign w:val="bottom"/>
            <w:tcBorders>
              <w:bottom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8"/>
                <w:szCs w:val="18"/>
                <w:color w:val="auto"/>
              </w:rPr>
              <w:t>Cash paid for interest</w:t>
            </w:r>
          </w:p>
        </w:tc>
        <w:tc>
          <w:tcPr>
            <w:tcW w:w="120" w:type="dxa"/>
            <w:vAlign w:val="bottom"/>
            <w:tcBorders>
              <w:bottom w:val="single" w:sz="8" w:color="auto"/>
            </w:tcBorders>
            <w:gridSpan w:val="2"/>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gridSpan w:val="2"/>
            <w:shd w:val="clear" w:color="auto" w:fill="CCEEFF"/>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gridSpan w:val="2"/>
            <w:shd w:val="clear" w:color="auto" w:fill="CCEEFF"/>
          </w:tcPr>
          <w:p>
            <w:pPr>
              <w:jc w:val="right"/>
              <w:ind w:right="6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paid for taxes, net</w:t>
            </w: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00" w:type="dxa"/>
            <w:vAlign w:val="bottom"/>
            <w:vMerge w:val="continue"/>
          </w:tcPr>
          <w:p>
            <w:pPr>
              <w:spacing w:after="0"/>
              <w:rPr>
                <w:sz w:val="15"/>
                <w:szCs w:val="15"/>
                <w:color w:val="auto"/>
              </w:rPr>
            </w:pPr>
          </w:p>
        </w:tc>
        <w:tc>
          <w:tcPr>
            <w:tcW w:w="120" w:type="dxa"/>
            <w:vAlign w:val="bottom"/>
            <w:tcBorders>
              <w:bottom w:val="single" w:sz="8" w:color="auto"/>
            </w:tcBorders>
            <w:gridSpan w:val="2"/>
          </w:tcPr>
          <w:p>
            <w:pPr>
              <w:jc w:val="right"/>
              <w:ind w:right="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778</w:t>
            </w:r>
          </w:p>
        </w:tc>
        <w:tc>
          <w:tcPr>
            <w:tcW w:w="160" w:type="dxa"/>
            <w:vAlign w:val="bottom"/>
          </w:tcPr>
          <w:p>
            <w:pPr>
              <w:spacing w:after="0"/>
              <w:rPr>
                <w:sz w:val="15"/>
                <w:szCs w:val="15"/>
                <w:color w:val="auto"/>
              </w:rPr>
            </w:pPr>
          </w:p>
        </w:tc>
        <w:tc>
          <w:tcPr>
            <w:tcW w:w="140" w:type="dxa"/>
            <w:vAlign w:val="bottom"/>
            <w:tcBorders>
              <w:bottom w:val="single" w:sz="8" w:color="auto"/>
            </w:tcBorders>
            <w:gridSpan w:val="2"/>
          </w:tcPr>
          <w:p>
            <w:pPr>
              <w:jc w:val="right"/>
              <w:ind w:right="4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185</w:t>
            </w:r>
          </w:p>
        </w:tc>
        <w:tc>
          <w:tcPr>
            <w:tcW w:w="4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60"/>
              <w:spacing w:after="0" w:line="18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319"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56"/>
        </w:trPr>
        <w:tc>
          <w:tcPr>
            <w:tcW w:w="62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Borders>
              <w:bottom w:val="single" w:sz="8" w:color="CCEEFF"/>
            </w:tcBorders>
          </w:tcPr>
          <w:p>
            <w:pPr>
              <w:spacing w:after="0"/>
              <w:rPr>
                <w:sz w:val="13"/>
                <w:szCs w:val="13"/>
                <w:color w:val="auto"/>
              </w:rPr>
            </w:pPr>
          </w:p>
        </w:tc>
      </w:tr>
      <w:tr>
        <w:trPr>
          <w:trHeight w:val="155"/>
        </w:trPr>
        <w:tc>
          <w:tcPr>
            <w:tcW w:w="622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684,636</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113,938</w:t>
            </w: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68,064</w:t>
            </w:r>
          </w:p>
        </w:tc>
        <w:tc>
          <w:tcPr>
            <w:tcW w:w="80" w:type="dxa"/>
            <w:vAlign w:val="bottom"/>
            <w:shd w:val="clear" w:color="auto" w:fill="CCEEFF"/>
          </w:tcPr>
          <w:p>
            <w:pPr>
              <w:spacing w:after="0"/>
              <w:rPr>
                <w:sz w:val="13"/>
                <w:szCs w:val="13"/>
                <w:color w:val="auto"/>
              </w:rPr>
            </w:pPr>
          </w:p>
        </w:tc>
      </w:tr>
      <w:tr>
        <w:trPr>
          <w:trHeight w:val="162"/>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in prepaid expenses and other current assets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tcPr>
          <w:p>
            <w:pPr>
              <w:spacing w:after="0"/>
              <w:rPr>
                <w:sz w:val="14"/>
                <w:szCs w:val="14"/>
                <w:color w:val="auto"/>
              </w:rPr>
            </w:pPr>
          </w:p>
        </w:tc>
      </w:tr>
      <w:tr>
        <w:trPr>
          <w:trHeight w:val="162"/>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5,168</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5,166</w:t>
            </w:r>
          </w:p>
        </w:tc>
        <w:tc>
          <w:tcPr>
            <w:tcW w:w="1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5,154</w:t>
            </w:r>
          </w:p>
        </w:tc>
        <w:tc>
          <w:tcPr>
            <w:tcW w:w="80" w:type="dxa"/>
            <w:vAlign w:val="bottom"/>
            <w:shd w:val="clear" w:color="auto" w:fill="CCEEFF"/>
          </w:tcPr>
          <w:p>
            <w:pPr>
              <w:spacing w:after="0"/>
              <w:rPr>
                <w:sz w:val="14"/>
                <w:szCs w:val="14"/>
                <w:color w:val="auto"/>
              </w:rPr>
            </w:pPr>
          </w:p>
        </w:tc>
      </w:tr>
      <w:tr>
        <w:trPr>
          <w:trHeight w:val="156"/>
        </w:trPr>
        <w:tc>
          <w:tcPr>
            <w:tcW w:w="62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cash, cash equivalents, and restricted cash shown in consolidated statements of cash flows</w:t>
            </w:r>
          </w:p>
        </w:tc>
        <w:tc>
          <w:tcPr>
            <w:tcW w:w="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689,804</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119,604</w:t>
            </w:r>
          </w:p>
        </w:tc>
        <w:tc>
          <w:tcPr>
            <w:tcW w:w="16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73,429</w:t>
            </w:r>
          </w:p>
        </w:tc>
        <w:tc>
          <w:tcPr>
            <w:tcW w:w="80" w:type="dxa"/>
            <w:vAlign w:val="bottom"/>
          </w:tcPr>
          <w:p>
            <w:pPr>
              <w:spacing w:after="0"/>
              <w:rPr>
                <w:sz w:val="13"/>
                <w:szCs w:val="13"/>
                <w:color w:val="auto"/>
              </w:rPr>
            </w:pPr>
          </w:p>
        </w:tc>
      </w:tr>
      <w:tr>
        <w:trPr>
          <w:trHeight w:val="20"/>
        </w:trPr>
        <w:tc>
          <w:tcPr>
            <w:tcW w:w="6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7" w:name="page128"/>
    <w:bookmarkEnd w:id="12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16"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precision therapy company focused on genomically defined cancers and hematologic disorders.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85" w:lineRule="exact"/>
        <w:rPr>
          <w:sz w:val="20"/>
          <w:szCs w:val="20"/>
          <w:color w:val="auto"/>
        </w:rPr>
      </w:pPr>
    </w:p>
    <w:p>
      <w:pPr>
        <w:ind w:left="60" w:right="139" w:firstLine="648"/>
        <w:spacing w:after="0" w:line="245" w:lineRule="auto"/>
        <w:rPr>
          <w:sz w:val="20"/>
          <w:szCs w:val="20"/>
          <w:color w:val="auto"/>
        </w:rPr>
      </w:pPr>
      <w:r>
        <w:rPr>
          <w:rFonts w:ascii="Times New Roman" w:cs="Times New Roman" w:eastAsia="Times New Roman" w:hAnsi="Times New Roman"/>
          <w:sz w:val="18"/>
          <w:szCs w:val="18"/>
          <w:color w:val="auto"/>
        </w:rPr>
        <w:t>The Company has two approved precision therapies and is globally advancing multiple programs for genomically defined cancers, systemic mastocytosis,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81"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The Company is subject to a number of risks similar to those of other companies transitioning to a commercial stage, including but not limited to: successful commercialization of its current and future drugs, either by itself or through collaboration with third parties; establishing safety and efficacy in clinical trials and obtaining regulatory approvals for its drug candidates; competition from other companies; compliance with comprehensive and ongoing regulatory requirements and legislative changes; and the need to obtain adequate additional financing to fund the development of its drug candidates. If the Company is unable to raise capital when needed or on attractive terms, it may be forced to delay, reduce, eliminate or out-license certain of its research and development programs or future commercialization efforts.</w:t>
      </w:r>
    </w:p>
    <w:p>
      <w:pPr>
        <w:spacing w:after="0" w:line="185"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On January 27, 2020, the Company closed a follow-on public offering of 4,710,144 shares of its common stock at a price to the public of $69.00 per share and received net proceeds of $308.4 million, after deducting underwriting discounts and commissions and offering expenses paid by the Company.</w:t>
      </w:r>
    </w:p>
    <w:p>
      <w:pPr>
        <w:spacing w:after="0" w:line="177" w:lineRule="exact"/>
        <w:rPr>
          <w:sz w:val="20"/>
          <w:szCs w:val="20"/>
          <w:color w:val="auto"/>
        </w:rPr>
      </w:pPr>
    </w:p>
    <w:p>
      <w:pPr>
        <w:ind w:left="60" w:right="199" w:firstLine="648"/>
        <w:spacing w:after="0" w:line="239" w:lineRule="auto"/>
        <w:rPr>
          <w:sz w:val="20"/>
          <w:szCs w:val="20"/>
          <w:color w:val="auto"/>
        </w:rPr>
      </w:pPr>
      <w:r>
        <w:rPr>
          <w:rFonts w:ascii="Times New Roman" w:cs="Times New Roman" w:eastAsia="Times New Roman" w:hAnsi="Times New Roman"/>
          <w:sz w:val="18"/>
          <w:szCs w:val="18"/>
          <w:color w:val="auto"/>
        </w:rPr>
        <w:t>On July 30, 2020, the Company entered into a sales agreement with Cowen and Company, LLC (Cowen), pursuant to which the Company may offer and sell, from time to time at its sole discretion, shares of its common stock having an aggregate offering price of up to $250.0 million through Cowen as sales agent (the ATM Facility). Cowen may sell the shares under such sales agreement by any method that is deemed to be an “at the market offering” as defined in Rule 415 of the Securities Act of 1933, as amended, including sales made directly on the Nasdaq Global Select Market or any other trading market for our common stock. During the year ended December 31, 2020, the Company issued and sold 1,784,926 shares of its common stock under the ATM Facility and received gross proceeds and net proceeds of $200.0 million and $194.7 million, respectively.</w:t>
      </w:r>
    </w:p>
    <w:p>
      <w:pPr>
        <w:spacing w:after="0" w:line="187" w:lineRule="exact"/>
        <w:rPr>
          <w:sz w:val="20"/>
          <w:szCs w:val="20"/>
          <w:color w:val="auto"/>
        </w:rPr>
      </w:pPr>
    </w:p>
    <w:p>
      <w:pPr>
        <w:ind w:left="60" w:right="119"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2020, the Company had cash, cash equivalents and marketable securities of $1,549.7 million. Based on the Company’s current operating plans, the Company anticipates that its existing cash, cash equivalents and marketable securities will be sufficient to enable it to fund its current operations for at least the next twelve months from the issuance of the financial statements.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Recent Accounting Pronouncements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 (ASU) of the Financial Accounting Standards Board (FASB) and the rules and regulations of the Securities and Exchange Commission (SEC).</w:t>
      </w:r>
    </w:p>
    <w:p>
      <w:pPr>
        <w:spacing w:after="0" w:line="181"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39" w:firstLine="648"/>
        <w:spacing w:after="0" w:line="245" w:lineRule="auto"/>
        <w:rPr>
          <w:sz w:val="20"/>
          <w:szCs w:val="20"/>
          <w:color w:val="auto"/>
        </w:rPr>
      </w:pPr>
      <w:r>
        <w:rPr>
          <w:rFonts w:ascii="Times New Roman" w:cs="Times New Roman" w:eastAsia="Times New Roman" w:hAnsi="Times New Roman"/>
          <w:sz w:val="18"/>
          <w:szCs w:val="18"/>
          <w:color w:val="auto"/>
        </w:rPr>
        <w:t>Due to the shares issued and sold in the follow-on public offerings completed in April 2019 and in January 2020 and the shares issued and sold under the ATM Facility in the year ended December 31, 2020, there were significant increases in shares outstanding in the years ended December 31, 2020 and 2019, which impacts the year-over-year comparability of the Company’s net income (loss) per share calculations.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and income taxes. The length of time and full extent to which the COVID-19 pandemic will directly or indirectly impact the Company’s business, results of operations and financial condition, including revenues, expenses, reserves and allowances, manufacturing, clinical trials, research and development costs and employee-related amounts, will depend on future developments that are highly uncertain, subject to change and difficult to predict, including as a result of new information that may emerge concerning COVID-19 and the actions taken to contain or treat COVID-19, as well as the economic impact thereof on local, regional, national and international customers and markets. The Company considers the impact of COVID-19 while establishing the estimates within its consolidated financial statements and there may be changes to those estimates in future periods. Actual results may differ from these estimates.</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 xml:space="preserve">The Company accounts for contracts with customers in accordance with ASC Topic 606, </w:t>
      </w:r>
      <w:r>
        <w:rPr>
          <w:rFonts w:ascii="Times New Roman" w:cs="Times New Roman" w:eastAsia="Times New Roman" w:hAnsi="Times New Roman"/>
          <w:sz w:val="18"/>
          <w:szCs w:val="18"/>
          <w:i w:val="1"/>
          <w:iCs w:val="1"/>
          <w:color w:val="auto"/>
        </w:rPr>
        <w:t>Revenue from Contracts</w:t>
      </w:r>
    </w:p>
    <w:p>
      <w:pPr>
        <w:spacing w:after="0" w:line="50" w:lineRule="exact"/>
        <w:rPr>
          <w:sz w:val="20"/>
          <w:szCs w:val="20"/>
          <w:color w:val="auto"/>
        </w:rPr>
      </w:pPr>
    </w:p>
    <w:p>
      <w:pPr>
        <w:ind w:left="60" w:right="99"/>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(ASC 606). The Company recognizes revenue when its customer obtains control of promised goods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14"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 xml:space="preserve">The Company generated product revenue from sales of </w:t>
      </w:r>
      <w:r>
        <w:rPr>
          <w:rFonts w:ascii="Times New Roman" w:cs="Times New Roman" w:eastAsia="Times New Roman" w:hAnsi="Times New Roman"/>
          <w:sz w:val="18"/>
          <w:szCs w:val="18"/>
          <w:color w:val="0A0A0A"/>
          <w:highlight w:val="white"/>
        </w:rPr>
        <w:t>AYVAKIT and GAVRETO</w:t>
      </w:r>
      <w:r>
        <w:rPr>
          <w:rFonts w:ascii="Times New Roman" w:cs="Times New Roman" w:eastAsia="Times New Roman" w:hAnsi="Times New Roman"/>
          <w:sz w:val="18"/>
          <w:szCs w:val="18"/>
          <w:color w:val="auto"/>
        </w:rPr>
        <w:t xml:space="preserve"> in the U.S and sales of AYVAKYT in the European Union to a limited number of specialty distributors and specialty pharmacy providers. These customers subsequently resell the products or dispense the products directly to patients. In addition, the Company entered into arrangements with payors that provide for government mandated rebates, discounts and allowances with respect to the utilization of </w:t>
      </w:r>
      <w:r>
        <w:rPr>
          <w:rFonts w:ascii="Times New Roman" w:cs="Times New Roman" w:eastAsia="Times New Roman" w:hAnsi="Times New Roman"/>
          <w:sz w:val="18"/>
          <w:szCs w:val="18"/>
          <w:color w:val="0A0A0A"/>
          <w:highlight w:val="white"/>
        </w:rPr>
        <w:t>its products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left="60" w:right="319" w:firstLine="648"/>
        <w:spacing w:after="0" w:line="241" w:lineRule="auto"/>
        <w:rPr>
          <w:sz w:val="20"/>
          <w:szCs w:val="20"/>
          <w:color w:val="auto"/>
        </w:rPr>
      </w:pPr>
      <w:r>
        <w:rPr>
          <w:rFonts w:ascii="Times New Roman" w:cs="Times New Roman" w:eastAsia="Times New Roman" w:hAnsi="Times New Roman"/>
          <w:sz w:val="18"/>
          <w:szCs w:val="18"/>
          <w:color w:val="auto"/>
        </w:rPr>
        <w:t>Product revenue is recognized when the customer takes control of the product, typically upon delivery to the customer. Product revenue is recorded at the net sales price, or transaction price, which includes estimated reserves for variable consideration resulting from chargebacks, government rebates, trade discounts and allowances, product returns and other incentives that are offered within the contract with customers, healthcare providers, payors and other indirect customers relating to the sales of the Company’s product. Reserves are established based on the amounts earned or to be claimed on the related sales. Where appropriate, the Company utilizes the expected value method to determine the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9" w:name="page130"/>
    <w:bookmarkEnd w:id="12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rPr>
          <w:sz w:val="20"/>
          <w:szCs w:val="20"/>
          <w:color w:val="auto"/>
        </w:rPr>
      </w:pPr>
      <w:r>
        <w:rPr>
          <w:rFonts w:ascii="Times New Roman" w:cs="Times New Roman" w:eastAsia="Times New Roman" w:hAnsi="Times New Roman"/>
          <w:sz w:val="18"/>
          <w:szCs w:val="18"/>
          <w:color w:val="auto"/>
        </w:rPr>
        <w:t>appropriate amount for estimates of variable consideration based on factors such as the Company’s current contractual and statutory requirements, specific known market events and trends, industry data and forecasted customer buying and payment patterns. The amount of variable consideration that is included in the transaction price may be constrained and is included in net product revenues only to the extent that it is probable that a significant reversal in the amount of the cumulative revenue recognized will not occur in a future period. Actual amounts of consideration ultimately received may differ from the Company’s estimates. If actual results vary from the Company’s estimates, the Company adjusts these estimates, which would affect net product revenue and earnings in the period such variances become known.</w:t>
      </w:r>
    </w:p>
    <w:p>
      <w:pPr>
        <w:spacing w:after="0" w:line="169"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i w:val="1"/>
          <w:iCs w:val="1"/>
          <w:color w:val="auto"/>
        </w:rPr>
        <w:t xml:space="preserve">Chargebacks: </w:t>
      </w:r>
      <w:r>
        <w:rPr>
          <w:rFonts w:ascii="Times New Roman" w:cs="Times New Roman" w:eastAsia="Times New Roman" w:hAnsi="Times New Roman"/>
          <w:sz w:val="18"/>
          <w:szCs w:val="18"/>
          <w:color w:val="auto"/>
        </w:rPr>
        <w:t>Chargebacks for fees and discounts represent the estimated obligations resulting from contractual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to sell product to qualified healthcare providers and government agencies at prices lower than the list prices charged to the customers who directly purchase the product from the Company. The customers charge the Company for the difference between what they pay for the product and the ultimate contractually committed or government required lower selling price to the qualified healthcare providers. These reserves are estimated using the expected value method based upon a range of possible outcomes and are established in the same period that the related revenue is recognized, resulting in a reduction of product revenue.</w:t>
      </w:r>
    </w:p>
    <w:p>
      <w:pPr>
        <w:spacing w:after="0" w:line="185" w:lineRule="exact"/>
        <w:rPr>
          <w:sz w:val="20"/>
          <w:szCs w:val="20"/>
          <w:color w:val="auto"/>
        </w:rPr>
      </w:pPr>
    </w:p>
    <w:p>
      <w:pPr>
        <w:ind w:left="60" w:right="119"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Government rebates: </w:t>
      </w:r>
      <w:r>
        <w:rPr>
          <w:rFonts w:ascii="Times New Roman" w:cs="Times New Roman" w:eastAsia="Times New Roman" w:hAnsi="Times New Roman"/>
          <w:sz w:val="18"/>
          <w:szCs w:val="18"/>
          <w:color w:val="auto"/>
        </w:rPr>
        <w:t>Government rebates consist of Medicare, Tricare and Medicaid rebates, which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estimated using the expected value method, based upon a range of possible outcomes for the estimated payor mix. These reserves are recorded in the same period the related revenue is recognized, resulting in a reduction of product revenue. For Medicare, the Company also estimates the number of patients in the prescription drug coverage gap for whom it will owe a rebate under the Medicare Part D program.</w:t>
      </w:r>
    </w:p>
    <w:p>
      <w:pPr>
        <w:spacing w:after="0" w:line="181" w:lineRule="exact"/>
        <w:rPr>
          <w:sz w:val="20"/>
          <w:szCs w:val="20"/>
          <w:color w:val="auto"/>
        </w:rPr>
      </w:pPr>
    </w:p>
    <w:p>
      <w:pPr>
        <w:jc w:val="both"/>
        <w:ind w:left="60" w:right="7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Trade discounts and allowances: </w:t>
      </w:r>
      <w:r>
        <w:rPr>
          <w:rFonts w:ascii="Times New Roman" w:cs="Times New Roman" w:eastAsia="Times New Roman" w:hAnsi="Times New Roman"/>
          <w:sz w:val="18"/>
          <w:szCs w:val="18"/>
          <w:color w:val="auto"/>
        </w:rPr>
        <w:t>The Company provides the customers with discounts that are explicitly stated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contracts and recorded as a reduction of revenue in the period the related product revenue is recognized. In addition, the Company also receives sales order management, inventory management and data services from the customers in exchange for certain fees.</w:t>
      </w:r>
    </w:p>
    <w:p>
      <w:pPr>
        <w:spacing w:after="0" w:line="177" w:lineRule="exact"/>
        <w:rPr>
          <w:sz w:val="20"/>
          <w:szCs w:val="20"/>
          <w:color w:val="auto"/>
        </w:rPr>
      </w:pPr>
    </w:p>
    <w:p>
      <w:pPr>
        <w:ind w:left="60" w:right="11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Product returns: </w:t>
      </w:r>
      <w:r>
        <w:rPr>
          <w:rFonts w:ascii="Times New Roman" w:cs="Times New Roman" w:eastAsia="Times New Roman" w:hAnsi="Times New Roman"/>
          <w:sz w:val="18"/>
          <w:szCs w:val="18"/>
          <w:color w:val="auto"/>
        </w:rPr>
        <w:t>The Company estimates the amount of its product sales that may be returned by its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records this estimate as a reduction of revenue in the period the related product revenue is recognized. The Company currently estimates product return liabilities using expected value method based on available industry data and its visibility into the inventory remaining in the distribution channel.</w:t>
      </w:r>
    </w:p>
    <w:p>
      <w:pPr>
        <w:spacing w:after="0" w:line="164" w:lineRule="exact"/>
        <w:rPr>
          <w:sz w:val="20"/>
          <w:szCs w:val="20"/>
          <w:color w:val="auto"/>
        </w:rPr>
      </w:pPr>
    </w:p>
    <w:p>
      <w:pPr>
        <w:ind w:left="60" w:right="299" w:firstLine="648"/>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Other deductions: </w:t>
      </w:r>
      <w:r>
        <w:rPr>
          <w:rFonts w:ascii="Times New Roman" w:cs="Times New Roman" w:eastAsia="Times New Roman" w:hAnsi="Times New Roman"/>
          <w:sz w:val="18"/>
          <w:szCs w:val="18"/>
          <w:color w:val="auto"/>
        </w:rPr>
        <w:t>Co-pay assistance relates to financial assistance provided to qualified patients, whereby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assist them with prescription drug co-payments required by the patient’s insurance provider. Reserves for co-pay assistance are recorded in the same period the related revenue is recognized, resulting in a reduction of product revenue.</w:t>
      </w:r>
    </w:p>
    <w:p>
      <w:pPr>
        <w:spacing w:after="0" w:line="3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14"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 xml:space="preserve">At contract inception, 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w:t>
      </w:r>
    </w:p>
    <w:p>
      <w:pPr>
        <w:spacing w:after="0" w:line="187"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For elements of collaboration arrangements that are accounted for pursuant to ASC 808, an appropriate recognition method is determined and applied consistently, either by analogy to authoritative accounting literature or by applying a reasonable and rational policy election. The Company evaluates the income statement classification for presentation of amounts due from or owed to other participants associated with multiple activities in a collaboration arrangement based on the nature of each separate activity. For the co-commercialization and marketing activities of certain of the Company’s products and product candidates in a collaboration arrangement, where the Company is the principal on sales transactions with third parties, the Company recognizes revenues, cost of sales and operating expenses on a gross basis in their respective lines in its consolidated statements of operations and comprehensive income (loss).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0" w:name="page131"/>
    <w:bookmarkEnd w:id="13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50" w:lineRule="auto"/>
        <w:rPr>
          <w:sz w:val="20"/>
          <w:szCs w:val="20"/>
          <w:color w:val="auto"/>
        </w:rPr>
      </w:pPr>
      <w:r>
        <w:rPr>
          <w:rFonts w:ascii="Times New Roman" w:cs="Times New Roman" w:eastAsia="Times New Roman" w:hAnsi="Times New Roman"/>
          <w:sz w:val="18"/>
          <w:szCs w:val="18"/>
          <w:color w:val="auto"/>
        </w:rPr>
        <w:t>Where the Company is not the principal on sales transactions with third parties, the Company records its share of the revenues, cost of sales and operating expenses on a net basis as revenue (expenses) from the collaboration arrangement in its consolidated statements of operations and comprehensive income (loss).</w:t>
      </w:r>
    </w:p>
    <w:p>
      <w:pPr>
        <w:spacing w:after="0" w:line="177"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For elements accounted within scope of ASC 606, to determine the appropriate amount of revenue to be recognized for the arrangements,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89" w:lineRule="exact"/>
        <w:rPr>
          <w:sz w:val="20"/>
          <w:szCs w:val="20"/>
          <w:color w:val="auto"/>
        </w:rPr>
      </w:pPr>
    </w:p>
    <w:p>
      <w:pPr>
        <w:ind w:left="60" w:right="59" w:firstLine="648"/>
        <w:spacing w:after="0" w:line="251" w:lineRule="auto"/>
        <w:rPr>
          <w:sz w:val="20"/>
          <w:szCs w:val="20"/>
          <w:color w:val="auto"/>
        </w:rPr>
      </w:pPr>
      <w:r>
        <w:rPr>
          <w:rFonts w:ascii="Times New Roman" w:cs="Times New Roman" w:eastAsia="Times New Roman" w:hAnsi="Times New Roman"/>
          <w:sz w:val="17"/>
          <w:szCs w:val="17"/>
          <w:i w:val="1"/>
          <w:iCs w:val="1"/>
          <w:color w:val="auto"/>
        </w:rPr>
        <w:t xml:space="preserve">Exclusive Licenses. </w:t>
      </w:r>
      <w:r>
        <w:rPr>
          <w:rFonts w:ascii="Times New Roman" w:cs="Times New Roman" w:eastAsia="Times New Roman" w:hAnsi="Times New Roman"/>
          <w:sz w:val="17"/>
          <w:szCs w:val="17"/>
          <w:color w:val="auto"/>
        </w:rPr>
        <w:t>If the license to the Company’s intellectual property is determined to be distinct from the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85"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Services. </w:t>
      </w:r>
      <w:r>
        <w:rPr>
          <w:rFonts w:ascii="Times New Roman" w:cs="Times New Roman" w:eastAsia="Times New Roman" w:hAnsi="Times New Roman"/>
          <w:sz w:val="18"/>
          <w:szCs w:val="18"/>
          <w:color w:val="auto"/>
        </w:rPr>
        <w:t>The promises under the Company’s collaboration agreements may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services to be performed by the Company on behalf of the partner. Payments or reimbursements resulting from the Company’s research and development efforts are recognized as revenue when the services are performed and presented on a gross basis because the Company is the principal for such efforts. Payments or reimbursements from the partner that are the result of a collaborative relationship with the partner, instead of a customer relationship, such as co-development activities, are recorded as a reduction to research and development expense.</w:t>
      </w:r>
    </w:p>
    <w:p>
      <w:pPr>
        <w:spacing w:after="0" w:line="184"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i w:val="1"/>
          <w:iCs w:val="1"/>
          <w:color w:val="auto"/>
        </w:rPr>
        <w:t xml:space="preserve">Customer Options. </w:t>
      </w:r>
      <w:r>
        <w:rPr>
          <w:rFonts w:ascii="Times New Roman" w:cs="Times New Roman" w:eastAsia="Times New Roman" w:hAnsi="Times New Roman"/>
          <w:sz w:val="18"/>
          <w:szCs w:val="18"/>
          <w:color w:val="auto"/>
        </w:rPr>
        <w:t>If an arrangement is determined to contain customer options that allow the customer to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83" w:lineRule="exact"/>
        <w:rPr>
          <w:sz w:val="20"/>
          <w:szCs w:val="20"/>
          <w:color w:val="auto"/>
        </w:rPr>
      </w:pPr>
    </w:p>
    <w:p>
      <w:pPr>
        <w:ind w:left="60" w:right="439" w:firstLine="64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research or development milestone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1" w:name="page132"/>
    <w:bookmarkEnd w:id="13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39" w:lineRule="auto"/>
        <w:rPr>
          <w:sz w:val="20"/>
          <w:szCs w:val="20"/>
          <w:color w:val="auto"/>
        </w:rPr>
      </w:pPr>
      <w:r>
        <w:rPr>
          <w:rFonts w:ascii="Times New Roman" w:cs="Times New Roman" w:eastAsia="Times New Roman" w:hAnsi="Times New Roman"/>
          <w:sz w:val="18"/>
          <w:szCs w:val="18"/>
          <w:color w:val="auto"/>
        </w:rPr>
        <w:t>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5" w:lineRule="exact"/>
        <w:rPr>
          <w:sz w:val="20"/>
          <w:szCs w:val="20"/>
          <w:color w:val="auto"/>
        </w:rPr>
      </w:pPr>
    </w:p>
    <w:p>
      <w:pPr>
        <w:ind w:left="60" w:right="179" w:firstLine="648"/>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Royalties. </w:t>
      </w:r>
      <w:r>
        <w:rPr>
          <w:rFonts w:ascii="Times New Roman" w:cs="Times New Roman" w:eastAsia="Times New Roman" w:hAnsi="Times New Roman"/>
          <w:sz w:val="18"/>
          <w:szCs w:val="18"/>
          <w:color w:val="auto"/>
        </w:rPr>
        <w:t>For arrangements that include sales-based royalties, including milestone payments upon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sales and milestone payments based on a level of 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8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7"/>
          <w:szCs w:val="17"/>
          <w:color w:val="auto"/>
        </w:rPr>
        <w:t>Consideration received prior to revenue recognition is recorded as deferred revenue in the consolidated balance sheets.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If the Company transfer goods or services to a customer before the customer pays consideration or before payment is due, the Company records a contract asset as unbilled accounts receivable on the consolidated balance sheets.</w:t>
      </w:r>
    </w:p>
    <w:p>
      <w:pPr>
        <w:spacing w:after="0" w:line="168" w:lineRule="exact"/>
        <w:rPr>
          <w:sz w:val="20"/>
          <w:szCs w:val="20"/>
          <w:color w:val="auto"/>
        </w:rPr>
      </w:pPr>
    </w:p>
    <w:p>
      <w:pPr>
        <w:ind w:left="60" w:right="519" w:firstLine="648"/>
        <w:spacing w:after="0" w:line="268" w:lineRule="auto"/>
        <w:rPr>
          <w:sz w:val="20"/>
          <w:szCs w:val="20"/>
          <w:color w:val="auto"/>
        </w:rPr>
      </w:pPr>
      <w:r>
        <w:rPr>
          <w:rFonts w:ascii="Times New Roman" w:cs="Times New Roman" w:eastAsia="Times New Roman" w:hAnsi="Times New Roman"/>
          <w:sz w:val="18"/>
          <w:szCs w:val="18"/>
          <w:color w:val="auto"/>
        </w:rPr>
        <w:t xml:space="preserve">For a complete discussion of accounting for collaboration revenues, see Note 10, </w:t>
      </w:r>
      <w:r>
        <w:rPr>
          <w:rFonts w:ascii="Times New Roman" w:cs="Times New Roman" w:eastAsia="Times New Roman" w:hAnsi="Times New Roman"/>
          <w:sz w:val="18"/>
          <w:szCs w:val="18"/>
          <w:i w:val="1"/>
          <w:iCs w:val="1"/>
          <w:color w:val="auto"/>
        </w:rPr>
        <w:t>Collaboration and License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14"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Accounts receivable arise from product sales and amounts due from the Company’s collaboration partners. The amount from product sales represents amounts due from specialty distributors and specialty pharmacy providers in the U.S. and in the European Union. The Company monitors economic conditions and the financial performance and credit worthiness of its counterparties to identify facts or circumstances that may indicate that its receivables are at risk of collection. The Company provides reserves against accounts receivable for estimated losses that may result from a customer’s inability to pay based on the composition of its accounts receivable, considering past events, current economic conditions, and reasonable and supportable forecasts about the future economic conditions. The contractual life of our accounts receivable is generally short-term. Amounts determined to be uncollectible are charged or written-off against the reserve. For the year ended December 31, 2020, the Company did not record any expected credit losses related to outstanding accounts receivable.</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14" w:lineRule="exact"/>
        <w:rPr>
          <w:sz w:val="20"/>
          <w:szCs w:val="20"/>
          <w:color w:val="auto"/>
        </w:rPr>
      </w:pPr>
    </w:p>
    <w:p>
      <w:pPr>
        <w:ind w:left="60" w:right="159" w:firstLine="648"/>
        <w:spacing w:after="0" w:line="242" w:lineRule="auto"/>
        <w:rPr>
          <w:sz w:val="20"/>
          <w:szCs w:val="20"/>
          <w:color w:val="auto"/>
        </w:rPr>
      </w:pPr>
      <w:r>
        <w:rPr>
          <w:rFonts w:ascii="Times New Roman" w:cs="Times New Roman" w:eastAsia="Times New Roman" w:hAnsi="Times New Roman"/>
          <w:sz w:val="18"/>
          <w:szCs w:val="18"/>
          <w:color w:val="auto"/>
        </w:rPr>
        <w:t>Inventories are stated at the lower of cost or estimated net realizable value with cost based on the first-in first-out method. Inventory that can be used in either the production of clinical or commercial products is expensed as research and development costs when identified for use in clinical trials. The Company classifies its inventory costs as long-term when it expects to utilize the inventory beyond its normal operating cycle and includes these costs in other assets in the consolidated balance sheets.</w:t>
      </w:r>
    </w:p>
    <w:p>
      <w:pPr>
        <w:spacing w:after="0" w:line="185"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Prior to the regulatory approval of its drug candidates, the Company incurs expenses for the manufacture of drug product supplies to support clinical development that could potentially be available to support the commercial launch of those drugs. Until the date at which regulatory approval has been received or is otherwise considered probable, the Company records all such costs as research and development expenses.</w:t>
      </w:r>
    </w:p>
    <w:p>
      <w:pPr>
        <w:spacing w:after="0" w:line="181"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inventories during each reporting period and writes down any excess and obsolete inventory to its net realizable value in the period in which the impairment is first identified. Such impairment charges, should they occur, are recorded as a component of cost of product sales in the consolidated statements of operations and comprehensive loss. The determination of whether</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2" w:name="page133"/>
    <w:bookmarkEnd w:id="13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19"/>
        <w:spacing w:after="0" w:line="266" w:lineRule="auto"/>
        <w:rPr>
          <w:sz w:val="20"/>
          <w:szCs w:val="20"/>
          <w:color w:val="auto"/>
        </w:rPr>
      </w:pPr>
      <w:r>
        <w:rPr>
          <w:rFonts w:ascii="Times New Roman" w:cs="Times New Roman" w:eastAsia="Times New Roman" w:hAnsi="Times New Roman"/>
          <w:sz w:val="18"/>
          <w:szCs w:val="18"/>
          <w:color w:val="auto"/>
        </w:rPr>
        <w:t>inventory costs will be realizable requires the use of estimates by management. If actual market conditions are less favorable than projected by management, additional write-downs of inventory may be required.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4" w:lineRule="exact"/>
        <w:rPr>
          <w:sz w:val="20"/>
          <w:szCs w:val="20"/>
          <w:color w:val="auto"/>
        </w:rPr>
      </w:pPr>
    </w:p>
    <w:p>
      <w:pPr>
        <w:ind w:left="60" w:right="559" w:firstLine="648"/>
        <w:spacing w:after="0" w:line="296" w:lineRule="auto"/>
        <w:rPr>
          <w:sz w:val="20"/>
          <w:szCs w:val="20"/>
          <w:color w:val="auto"/>
        </w:rPr>
      </w:pPr>
      <w:r>
        <w:rPr>
          <w:rFonts w:ascii="Times New Roman" w:cs="Times New Roman" w:eastAsia="Times New Roman" w:hAnsi="Times New Roman"/>
          <w:sz w:val="17"/>
          <w:szCs w:val="17"/>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39" w:lineRule="exact"/>
        <w:rPr>
          <w:sz w:val="20"/>
          <w:szCs w:val="20"/>
          <w:color w:val="auto"/>
        </w:rPr>
      </w:pPr>
    </w:p>
    <w:p>
      <w:pPr>
        <w:ind w:left="1380" w:right="119" w:hanging="331"/>
        <w:spacing w:after="0" w:line="266"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Fair values are determined utilizing quoted prices (unadjusted) in active markets for identical assets or liabilities that the Company has the ability to access;</w:t>
      </w:r>
    </w:p>
    <w:p>
      <w:pPr>
        <w:spacing w:after="0" w:line="162" w:lineRule="exact"/>
        <w:rPr>
          <w:rFonts w:ascii="Times New Roman" w:cs="Times New Roman" w:eastAsia="Times New Roman" w:hAnsi="Times New Roman"/>
          <w:sz w:val="18"/>
          <w:szCs w:val="18"/>
          <w:color w:val="auto"/>
        </w:rPr>
      </w:pPr>
    </w:p>
    <w:p>
      <w:pPr>
        <w:ind w:left="1380" w:right="439" w:hanging="331"/>
        <w:spacing w:after="0" w:line="250"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76" w:lineRule="exact"/>
        <w:rPr>
          <w:rFonts w:ascii="Times New Roman" w:cs="Times New Roman" w:eastAsia="Times New Roman" w:hAnsi="Times New Roman"/>
          <w:sz w:val="18"/>
          <w:szCs w:val="18"/>
          <w:color w:val="auto"/>
        </w:rPr>
      </w:pPr>
    </w:p>
    <w:p>
      <w:pPr>
        <w:ind w:left="1380" w:right="119" w:hanging="331"/>
        <w:spacing w:after="0" w:line="245" w:lineRule="auto"/>
        <w:tabs>
          <w:tab w:leader="none" w:pos="1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81" w:lineRule="exact"/>
        <w:rPr>
          <w:sz w:val="20"/>
          <w:szCs w:val="20"/>
          <w:color w:val="auto"/>
        </w:rPr>
      </w:pPr>
    </w:p>
    <w:p>
      <w:pPr>
        <w:ind w:left="60" w:right="239" w:firstLine="648"/>
        <w:spacing w:after="0" w:line="245" w:lineRule="auto"/>
        <w:rPr>
          <w:sz w:val="20"/>
          <w:szCs w:val="20"/>
          <w:color w:val="auto"/>
        </w:rPr>
      </w:pPr>
      <w:r>
        <w:rPr>
          <w:rFonts w:ascii="Times New Roman" w:cs="Times New Roman" w:eastAsia="Times New Roman" w:hAnsi="Times New Roman"/>
          <w:sz w:val="18"/>
          <w:szCs w:val="18"/>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have been no changes to the valuation methods during the years ended December 31, 2020 and 2019.</w:t>
      </w: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14" w:lineRule="exact"/>
        <w:rPr>
          <w:sz w:val="20"/>
          <w:szCs w:val="20"/>
          <w:color w:val="auto"/>
        </w:rPr>
      </w:pPr>
    </w:p>
    <w:p>
      <w:pPr>
        <w:ind w:left="60" w:right="219" w:firstLine="648"/>
        <w:spacing w:after="0" w:line="24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from the date of purchase to be cash equivalents. As of December 31, 2020, cash equivalents were comprised of money market funds with less than 90 days from the date of purchase. As of December 31, 2019, cash equivalents were comprised of money market funds and U.S. treasury obligations with maturities less than 90 days from the date of purchase. Cash equivalents are reported at fair value.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21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Company classifies marketable debt securities with a remaining maturity when purchased of greater than three months available-for-sale, and marketable debt securities with a remaining maturity date greater than one year as non-current assets. Available-for-sale marketable debt securities are maintained by an investment manager and mainly consist of U.S. treasury securities and U.S. government agency securities. Available-for-sale marketable debt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The Company reviews its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Comprehensive Income (Loss)</w:t>
      </w:r>
    </w:p>
    <w:p>
      <w:pPr>
        <w:spacing w:after="0" w:line="214" w:lineRule="exact"/>
        <w:rPr>
          <w:sz w:val="20"/>
          <w:szCs w:val="20"/>
          <w:color w:val="auto"/>
        </w:rPr>
      </w:pPr>
    </w:p>
    <w:p>
      <w:pPr>
        <w:ind w:left="60" w:right="59" w:firstLine="648"/>
        <w:spacing w:after="0" w:line="245" w:lineRule="auto"/>
        <w:rPr>
          <w:sz w:val="20"/>
          <w:szCs w:val="20"/>
          <w:color w:val="auto"/>
        </w:rPr>
      </w:pPr>
      <w:r>
        <w:rPr>
          <w:rFonts w:ascii="Times New Roman" w:cs="Times New Roman" w:eastAsia="Times New Roman" w:hAnsi="Times New Roman"/>
          <w:sz w:val="18"/>
          <w:szCs w:val="18"/>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14"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70"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14" w:lineRule="exact"/>
        <w:rPr>
          <w:sz w:val="20"/>
          <w:szCs w:val="20"/>
          <w:color w:val="auto"/>
        </w:rPr>
      </w:pPr>
    </w:p>
    <w:p>
      <w:pPr>
        <w:ind w:left="60" w:right="399" w:firstLine="64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compensation and benefits associated with sales and marketing, finance, human resources, legal, information technology and other administrative personnel, business development, advertising and legal expenses and other general and administrative costs. Advertising costs are expensed as incurred. For years ended December 31, 2020 and 2019, advertising costs totaled $9.4 million and $3.3 million, respectively. The advertising cost for the year ended December 31, 2018 was minimal.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214"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14" w:lineRule="exact"/>
        <w:rPr>
          <w:sz w:val="20"/>
          <w:szCs w:val="20"/>
          <w:color w:val="auto"/>
        </w:rPr>
      </w:pPr>
    </w:p>
    <w:p>
      <w:pPr>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through December 31, 2020.</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12" w:lineRule="exact"/>
        <w:rPr>
          <w:sz w:val="20"/>
          <w:szCs w:val="20"/>
          <w:color w:val="auto"/>
        </w:rPr>
      </w:pPr>
    </w:p>
    <w:p>
      <w:pPr>
        <w:ind w:left="60" w:right="159" w:firstLine="648"/>
        <w:spacing w:after="0" w:line="262" w:lineRule="auto"/>
        <w:rPr>
          <w:sz w:val="20"/>
          <w:szCs w:val="20"/>
          <w:color w:val="auto"/>
        </w:rPr>
      </w:pPr>
      <w:r>
        <w:rPr>
          <w:rFonts w:ascii="Times New Roman" w:cs="Times New Roman" w:eastAsia="Times New Roman" w:hAnsi="Times New Roman"/>
          <w:sz w:val="17"/>
          <w:szCs w:val="17"/>
          <w:color w:val="auto"/>
        </w:rPr>
        <w:t xml:space="preserve">Beginning January 1, 2019, leases are accounted for in accordance with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(ASC 842). At the inception of a contract, the Company assesses whether the contract is, or contains, a lease. The assessment is based on:</w:t>
      </w:r>
    </w:p>
    <w:p>
      <w:pPr>
        <w:ind w:left="60" w:right="99" w:hanging="10"/>
        <w:spacing w:after="0" w:line="238" w:lineRule="auto"/>
        <w:tabs>
          <w:tab w:leader="none" w:pos="31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85" w:lineRule="exact"/>
        <w:rPr>
          <w:sz w:val="20"/>
          <w:szCs w:val="20"/>
          <w:color w:val="auto"/>
        </w:rPr>
      </w:pPr>
    </w:p>
    <w:p>
      <w:pPr>
        <w:ind w:left="60" w:right="139" w:firstLine="648"/>
        <w:spacing w:after="0" w:line="242"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85" w:lineRule="exact"/>
        <w:rPr>
          <w:sz w:val="20"/>
          <w:szCs w:val="20"/>
          <w:color w:val="auto"/>
        </w:rPr>
      </w:pPr>
    </w:p>
    <w:p>
      <w:pPr>
        <w:jc w:val="both"/>
        <w:ind w:left="60" w:right="159" w:firstLine="648"/>
        <w:spacing w:after="0" w:line="250" w:lineRule="auto"/>
        <w:rPr>
          <w:sz w:val="20"/>
          <w:szCs w:val="20"/>
          <w:color w:val="auto"/>
        </w:rPr>
      </w:pPr>
      <w:r>
        <w:rPr>
          <w:rFonts w:ascii="Times New Roman" w:cs="Times New Roman" w:eastAsia="Times New Roman" w:hAnsi="Times New Roman"/>
          <w:sz w:val="18"/>
          <w:szCs w:val="18"/>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4" w:name="page135"/>
    <w:bookmarkEnd w:id="13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85" w:lineRule="exact"/>
        <w:rPr>
          <w:sz w:val="20"/>
          <w:szCs w:val="20"/>
          <w:color w:val="auto"/>
        </w:rPr>
      </w:pPr>
    </w:p>
    <w:p>
      <w:pPr>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59" w:lineRule="exact"/>
        <w:rPr>
          <w:sz w:val="20"/>
          <w:szCs w:val="20"/>
          <w:color w:val="auto"/>
        </w:rPr>
      </w:pPr>
    </w:p>
    <w:p>
      <w:pPr>
        <w:ind w:left="60" w:right="199" w:firstLine="648"/>
        <w:spacing w:after="0" w:line="241" w:lineRule="auto"/>
        <w:rPr>
          <w:sz w:val="20"/>
          <w:szCs w:val="20"/>
          <w:color w:val="auto"/>
        </w:rPr>
      </w:pPr>
      <w:r>
        <w:rPr>
          <w:rFonts w:ascii="Times New Roman" w:cs="Times New Roman" w:eastAsia="Times New Roman" w:hAnsi="Times New Roman"/>
          <w:sz w:val="18"/>
          <w:szCs w:val="18"/>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84" w:lineRule="exact"/>
        <w:rPr>
          <w:sz w:val="20"/>
          <w:szCs w:val="20"/>
          <w:color w:val="auto"/>
        </w:rPr>
      </w:pPr>
    </w:p>
    <w:p>
      <w:pPr>
        <w:ind w:left="60" w:right="139" w:firstLine="648"/>
        <w:spacing w:after="0" w:line="250" w:lineRule="auto"/>
        <w:rPr>
          <w:sz w:val="20"/>
          <w:szCs w:val="20"/>
          <w:color w:val="auto"/>
        </w:rPr>
      </w:pPr>
      <w:r>
        <w:rPr>
          <w:rFonts w:ascii="Times New Roman" w:cs="Times New Roman" w:eastAsia="Times New Roman" w:hAnsi="Times New Roman"/>
          <w:sz w:val="18"/>
          <w:szCs w:val="18"/>
          <w:color w:val="auto"/>
        </w:rPr>
        <w:t>The Company has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12"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 xml:space="preserve">Stock-based compensation awards are accounted for in accordance with ASC Topic 718, </w:t>
      </w:r>
      <w:r>
        <w:rPr>
          <w:rFonts w:ascii="Times New Roman" w:cs="Times New Roman" w:eastAsia="Times New Roman" w:hAnsi="Times New Roman"/>
          <w:sz w:val="18"/>
          <w:szCs w:val="18"/>
          <w:i w:val="1"/>
          <w:iCs w:val="1"/>
          <w:color w:val="auto"/>
        </w:rPr>
        <w:t>Compensation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(ASC 718). The Company expenses the fair value of stock awards granted to employees and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over the requisite service period, which is typically the vesting period. Compensation cost for stock-based awards issued to employees is measured using the estimated fair value at the grant date and is adjusted to reflect actual forfeitures. Fair value of options granted to employees at the date of grant are estimated using the Black-Scholes option-pricing model that requires management to apply judgment and make estimates, including:</w:t>
      </w:r>
    </w:p>
    <w:p>
      <w:pPr>
        <w:spacing w:after="0" w:line="186" w:lineRule="exact"/>
        <w:rPr>
          <w:sz w:val="20"/>
          <w:szCs w:val="20"/>
          <w:color w:val="auto"/>
        </w:rPr>
      </w:pPr>
    </w:p>
    <w:p>
      <w:pPr>
        <w:ind w:left="1380" w:right="79" w:hanging="331"/>
        <w:spacing w:after="0" w:line="238"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volatility, which is calculated based on a blend of the Company’s reported volatility data for the length of time that market data is available for the Company’s stock and the historical data for a representative group of publicly traded companies, for which historical information is available. For these analyses, the Company selects companies with comparable characteristics to itself including enterprise value, risk profiles, position within the industry,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its stock-based awards. The Company intends to consistently apply this process using representative companies until a sufficient amount of historical information regarding the volatility of its own share price becomes available;</w:t>
      </w:r>
    </w:p>
    <w:p>
      <w:pPr>
        <w:spacing w:after="0" w:line="188" w:lineRule="exact"/>
        <w:rPr>
          <w:rFonts w:ascii="Times New Roman" w:cs="Times New Roman" w:eastAsia="Times New Roman" w:hAnsi="Times New Roman"/>
          <w:sz w:val="18"/>
          <w:szCs w:val="18"/>
          <w:color w:val="auto"/>
        </w:rPr>
      </w:pPr>
    </w:p>
    <w:p>
      <w:pPr>
        <w:ind w:left="1380" w:right="559" w:hanging="331"/>
        <w:spacing w:after="0" w:line="266"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which is based on the U.S. Treasury yield curve in effect at the time of grant commensurate with the expected term assumption;</w:t>
      </w:r>
    </w:p>
    <w:p>
      <w:pPr>
        <w:spacing w:after="0" w:line="162" w:lineRule="exact"/>
        <w:rPr>
          <w:rFonts w:ascii="Times New Roman" w:cs="Times New Roman" w:eastAsia="Times New Roman" w:hAnsi="Times New Roman"/>
          <w:sz w:val="18"/>
          <w:szCs w:val="18"/>
          <w:color w:val="auto"/>
        </w:rPr>
      </w:pPr>
    </w:p>
    <w:p>
      <w:pPr>
        <w:ind w:left="1380" w:right="219" w:hanging="331"/>
        <w:spacing w:after="0" w:line="241"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expected term, which is calculated using the simplified method, as prescribed by the Securities and Exchange Commission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 and</w:t>
      </w:r>
    </w:p>
    <w:p>
      <w:pPr>
        <w:spacing w:after="0" w:line="183" w:lineRule="exact"/>
        <w:rPr>
          <w:rFonts w:ascii="Times New Roman" w:cs="Times New Roman" w:eastAsia="Times New Roman" w:hAnsi="Times New Roman"/>
          <w:sz w:val="18"/>
          <w:szCs w:val="18"/>
          <w:color w:val="auto"/>
        </w:rPr>
      </w:pPr>
    </w:p>
    <w:p>
      <w:pPr>
        <w:ind w:left="1380" w:right="119" w:hanging="331"/>
        <w:spacing w:after="0" w:line="266" w:lineRule="auto"/>
        <w:tabs>
          <w:tab w:leader="none" w:pos="13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yield, which is zero based on the fact that the Company never paid cash dividends and does not expect to pay any cash dividends in the foreseeable future.</w:t>
      </w:r>
    </w:p>
    <w:p>
      <w:pPr>
        <w:spacing w:after="0" w:line="162"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Stock-based awards issued to non-employees, including directors for non-board-related services, are accounted for based on the fair value of such services received or the fair value of the awards granted on the grant date, whichever</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5" w:name="page136"/>
    <w:bookmarkEnd w:id="13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is more reliably measured. Stock-based awards subject to service-based vesting conditions are expensed on a straight-line basis over the vesting period.</w:t>
      </w:r>
    </w:p>
    <w:p>
      <w:pPr>
        <w:spacing w:after="0" w:line="162" w:lineRule="exact"/>
        <w:rPr>
          <w:sz w:val="20"/>
          <w:szCs w:val="20"/>
          <w:color w:val="auto"/>
        </w:rPr>
      </w:pPr>
    </w:p>
    <w:p>
      <w:pPr>
        <w:ind w:left="60" w:right="59" w:firstLine="648"/>
        <w:spacing w:after="0" w:line="260" w:lineRule="auto"/>
        <w:rPr>
          <w:sz w:val="20"/>
          <w:szCs w:val="20"/>
          <w:color w:val="auto"/>
        </w:rPr>
      </w:pPr>
      <w:r>
        <w:rPr>
          <w:rFonts w:ascii="Times New Roman" w:cs="Times New Roman" w:eastAsia="Times New Roman" w:hAnsi="Times New Roman"/>
          <w:sz w:val="17"/>
          <w:szCs w:val="17"/>
          <w:color w:val="auto"/>
        </w:rPr>
        <w:t>The purchase price of common stock under the Company’s 2015 employee stock purchase plan (as amended, the 2015 ESPP) is equal to 85% of the lesser of (i) the fair market value per share of the common stock on the first business day of an offering period and (ii) 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4"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14" w:lineRule="exact"/>
        <w:rPr>
          <w:sz w:val="20"/>
          <w:szCs w:val="20"/>
          <w:color w:val="auto"/>
        </w:rPr>
      </w:pPr>
    </w:p>
    <w:p>
      <w:pPr>
        <w:ind w:left="60" w:right="79" w:firstLine="648"/>
        <w:spacing w:after="0" w:line="242" w:lineRule="auto"/>
        <w:rPr>
          <w:sz w:val="20"/>
          <w:szCs w:val="20"/>
          <w:color w:val="auto"/>
        </w:rPr>
      </w:pPr>
      <w:r>
        <w:rPr>
          <w:rFonts w:ascii="Times New Roman" w:cs="Times New Roman" w:eastAsia="Times New Roman" w:hAnsi="Times New Roman"/>
          <w:sz w:val="18"/>
          <w:szCs w:val="18"/>
          <w:color w:val="auto"/>
        </w:rPr>
        <w:t>The financial statements of each of the Company’s subsidiaries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Certain items in the prior year’s consolidated financial statements have been reclassified to conform to the current presentation.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Off-Balance-Sheet Risk</w:t>
      </w:r>
    </w:p>
    <w:p>
      <w:pPr>
        <w:spacing w:after="0" w:line="216" w:lineRule="exact"/>
        <w:rPr>
          <w:sz w:val="20"/>
          <w:szCs w:val="20"/>
          <w:color w:val="auto"/>
        </w:rPr>
      </w:pPr>
    </w:p>
    <w:p>
      <w:pPr>
        <w:ind w:left="60" w:right="139" w:firstLine="648"/>
        <w:spacing w:after="0" w:line="272" w:lineRule="auto"/>
        <w:rPr>
          <w:sz w:val="20"/>
          <w:szCs w:val="20"/>
          <w:color w:val="auto"/>
        </w:rPr>
      </w:pPr>
      <w:r>
        <w:rPr>
          <w:rFonts w:ascii="Times New Roman" w:cs="Times New Roman" w:eastAsia="Times New Roman" w:hAnsi="Times New Roman"/>
          <w:sz w:val="17"/>
          <w:szCs w:val="17"/>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investments, accounts receivable and unbilled account receivables.</w:t>
      </w:r>
    </w:p>
    <w:p>
      <w:pPr>
        <w:spacing w:after="0" w:line="159" w:lineRule="exact"/>
        <w:rPr>
          <w:sz w:val="20"/>
          <w:szCs w:val="20"/>
          <w:color w:val="auto"/>
        </w:rPr>
      </w:pPr>
    </w:p>
    <w:p>
      <w:pPr>
        <w:ind w:left="60" w:right="139" w:firstLine="648"/>
        <w:spacing w:after="0"/>
        <w:rPr>
          <w:sz w:val="20"/>
          <w:szCs w:val="20"/>
          <w:color w:val="auto"/>
        </w:rPr>
      </w:pPr>
      <w:r>
        <w:rPr>
          <w:rFonts w:ascii="Times New Roman" w:cs="Times New Roman" w:eastAsia="Times New Roman" w:hAnsi="Times New Roman"/>
          <w:sz w:val="18"/>
          <w:szCs w:val="18"/>
          <w:color w:val="auto"/>
        </w:rPr>
        <w:t>The Company maintains its cash, cash equivalents and marketable securities in custodian accounts at high quality financial institutions, and as of December 31, 2020 and 2019, substantially all the Company’s cash, cash equivalents and marketable securities were invested in money market funds and U.S. government agency securities and treasury obligations, and consequently, the Company believes that such funds are subject to minimal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85" w:lineRule="exact"/>
        <w:rPr>
          <w:sz w:val="20"/>
          <w:szCs w:val="20"/>
          <w:color w:val="auto"/>
        </w:rPr>
      </w:pPr>
    </w:p>
    <w:p>
      <w:pPr>
        <w:ind w:left="60" w:right="79" w:firstLine="648"/>
        <w:spacing w:after="0" w:line="250" w:lineRule="auto"/>
        <w:rPr>
          <w:sz w:val="20"/>
          <w:szCs w:val="20"/>
          <w:color w:val="auto"/>
        </w:rPr>
      </w:pPr>
      <w:r>
        <w:rPr>
          <w:rFonts w:ascii="Times New Roman" w:cs="Times New Roman" w:eastAsia="Times New Roman" w:hAnsi="Times New Roman"/>
          <w:sz w:val="18"/>
          <w:szCs w:val="18"/>
          <w:color w:val="auto"/>
        </w:rPr>
        <w:t>Accounts receivables and unbilled accounts receivables represent amounts arising from product sales and amounts due from the Company’s collaboration partners. The Company monitors economic conditions to identify facts or circumstances that may indicate that its receivables are at risk of collection.</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6" w:name="page137"/>
    <w:bookmarkEnd w:id="13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and Geographic Information</w:t>
      </w:r>
    </w:p>
    <w:p>
      <w:pPr>
        <w:spacing w:after="0" w:line="216"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in the U.S. and Europe. All material long-lived assets of the Company reside in the U.S.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16" w:lineRule="exact"/>
        <w:rPr>
          <w:sz w:val="20"/>
          <w:szCs w:val="20"/>
          <w:color w:val="auto"/>
        </w:rPr>
      </w:pPr>
    </w:p>
    <w:p>
      <w:pPr>
        <w:ind w:left="60" w:right="199" w:firstLine="648"/>
        <w:spacing w:after="0" w:line="245"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Losses</w:t>
      </w:r>
    </w:p>
    <w:p>
      <w:pPr>
        <w:spacing w:after="0" w:line="212" w:lineRule="exact"/>
        <w:rPr>
          <w:sz w:val="20"/>
          <w:szCs w:val="20"/>
          <w:color w:val="auto"/>
        </w:rPr>
      </w:pPr>
    </w:p>
    <w:p>
      <w:pPr>
        <w:ind w:left="60" w:right="79" w:firstLine="1296"/>
        <w:spacing w:after="0" w:line="238"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(ASU 2016-13). The FASB subsequently issued amendments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2016-13, which had the same effective date and transition date of January 1, 2020. These standards require an entity to measure and recognize expected credit losses for certain financial instruments, including trade receivables, as an allowance that reflects the entity's current estimate of credit losses expected to be incurred. For available-for-sale debt securities with unrealized credit losses, the standard requires allowances to be recorded through net income instead of directly reducing the amortized cost of the investment under the previous other-than-temporary impairment model. The Company adopted the new standard on a prospective basis on January 1, 2020. The adoption of this standard did not have a material impact on the Company’s consolidated financial position and results of operations or a significant impact on its internal controls.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12" w:lineRule="exact"/>
        <w:rPr>
          <w:sz w:val="20"/>
          <w:szCs w:val="20"/>
          <w:color w:val="auto"/>
        </w:rPr>
      </w:pPr>
    </w:p>
    <w:p>
      <w:pPr>
        <w:ind w:left="60" w:right="259" w:firstLine="648"/>
        <w:spacing w:after="0" w:line="246" w:lineRule="auto"/>
        <w:rPr>
          <w:sz w:val="20"/>
          <w:szCs w:val="20"/>
          <w:color w:val="auto"/>
        </w:rPr>
      </w:pPr>
      <w:r>
        <w:rPr>
          <w:rFonts w:ascii="Times New Roman" w:cs="Times New Roman" w:eastAsia="Times New Roman" w:hAnsi="Times New Roman"/>
          <w:sz w:val="18"/>
          <w:szCs w:val="18"/>
          <w:color w:val="auto"/>
        </w:rPr>
        <w:t>In August 2018, the FASB issued ASU No. 2018-13</w:t>
      </w:r>
      <w:r>
        <w:rPr>
          <w:rFonts w:ascii="Times New Roman" w:cs="Times New Roman" w:eastAsia="Times New Roman" w:hAnsi="Times New Roman"/>
          <w:sz w:val="18"/>
          <w:szCs w:val="18"/>
          <w:i w:val="1"/>
          <w:iCs w:val="1"/>
          <w:color w:val="auto"/>
        </w:rPr>
        <w:t>, Fair Value Measurement (Topic 820):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Changes to the Disclosure Requirements for Fair Value Measurement</w:t>
      </w:r>
      <w:r>
        <w:rPr>
          <w:rFonts w:ascii="Times New Roman" w:cs="Times New Roman" w:eastAsia="Times New Roman" w:hAnsi="Times New Roman"/>
          <w:sz w:val="18"/>
          <w:szCs w:val="18"/>
          <w:color w:val="auto"/>
        </w:rPr>
        <w:t>. This standard modifies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on fair value measurements. The Company adopted the new standard on January 1, 2020 and the adoption did not have a material impact on the related disclosures.</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Collaborative Arrangements</w:t>
      </w:r>
    </w:p>
    <w:p>
      <w:pPr>
        <w:spacing w:after="0" w:line="212" w:lineRule="exact"/>
        <w:rPr>
          <w:sz w:val="20"/>
          <w:szCs w:val="20"/>
          <w:color w:val="auto"/>
        </w:rPr>
      </w:pPr>
    </w:p>
    <w:p>
      <w:pPr>
        <w:ind w:left="60" w:right="99"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November 2018, the </w:t>
      </w:r>
      <w:r>
        <w:rPr>
          <w:rFonts w:ascii="Times New Roman" w:cs="Times New Roman" w:eastAsia="Times New Roman" w:hAnsi="Times New Roman"/>
          <w:sz w:val="18"/>
          <w:szCs w:val="18"/>
          <w:i w:val="1"/>
          <w:iCs w:val="1"/>
          <w:color w:val="auto"/>
        </w:rPr>
        <w:t>FASB</w:t>
      </w:r>
      <w:r>
        <w:rPr>
          <w:rFonts w:ascii="Times New Roman" w:cs="Times New Roman" w:eastAsia="Times New Roman" w:hAnsi="Times New Roman"/>
          <w:sz w:val="18"/>
          <w:szCs w:val="18"/>
          <w:color w:val="auto"/>
        </w:rPr>
        <w:t xml:space="preserve"> issued ASU No. 2018-18</w:t>
      </w:r>
      <w:r>
        <w:rPr>
          <w:rFonts w:ascii="Times New Roman" w:cs="Times New Roman" w:eastAsia="Times New Roman" w:hAnsi="Times New Roman"/>
          <w:sz w:val="18"/>
          <w:szCs w:val="18"/>
          <w:i w:val="1"/>
          <w:iCs w:val="1"/>
          <w:color w:val="auto"/>
        </w:rPr>
        <w:t>, Collaborative Arrangements (Topic 808):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Interaction between Topic 808 and Topic 606. </w:t>
      </w:r>
      <w:r>
        <w:rPr>
          <w:rFonts w:ascii="Times New Roman" w:cs="Times New Roman" w:eastAsia="Times New Roman" w:hAnsi="Times New Roman"/>
          <w:sz w:val="18"/>
          <w:szCs w:val="18"/>
          <w:color w:val="auto"/>
        </w:rPr>
        <w:t>This update clarifies that transactions between collaborative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should be accounted for as revenue under ASC 606 when the collaborative arrangement participant is a customer in the context of a unit of account, consistent with the unit of account guidance in ASC 606. The update also 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 The Company adopted the new standard on January 1, 2020. The adoption of this standard did not have a material impact on the Company’s consolidated financial position and results of operations or a significant impact on its internal controls.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212" w:lineRule="exact"/>
        <w:rPr>
          <w:sz w:val="20"/>
          <w:szCs w:val="20"/>
          <w:color w:val="auto"/>
        </w:rPr>
      </w:pPr>
    </w:p>
    <w:p>
      <w:pPr>
        <w:ind w:left="60" w:right="119" w:firstLine="648"/>
        <w:spacing w:after="0"/>
        <w:rPr>
          <w:sz w:val="20"/>
          <w:szCs w:val="20"/>
          <w:color w:val="auto"/>
        </w:rPr>
      </w:pPr>
      <w:r>
        <w:rPr>
          <w:rFonts w:ascii="Times New Roman" w:cs="Times New Roman" w:eastAsia="Times New Roman" w:hAnsi="Times New Roman"/>
          <w:sz w:val="18"/>
          <w:szCs w:val="18"/>
          <w:color w:val="auto"/>
        </w:rPr>
        <w:t>In August 2018, the FASB issued ASU No. 2018-15</w:t>
      </w:r>
      <w:r>
        <w:rPr>
          <w:rFonts w:ascii="Times New Roman" w:cs="Times New Roman" w:eastAsia="Times New Roman" w:hAnsi="Times New Roman"/>
          <w:sz w:val="18"/>
          <w:szCs w:val="18"/>
          <w:i w:val="1"/>
          <w:iCs w:val="1"/>
          <w:color w:val="auto"/>
        </w:rPr>
        <w:t>, Intangibles-Goodwill and Other-Internal-Use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350-40): Customer’s Accounting for Implementation Costs Incurred in a Cloud Computing Arrangement That Is a Service Contract</w:t>
      </w:r>
      <w:r>
        <w:rPr>
          <w:rFonts w:ascii="Times New Roman" w:cs="Times New Roman" w:eastAsia="Times New Roman" w:hAnsi="Times New Roman"/>
          <w:sz w:val="18"/>
          <w:szCs w:val="18"/>
          <w:color w:val="auto"/>
        </w:rPr>
        <w:t>, which clarifies the accounting for implementation costs in cloud computing arrangements.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standard is effective for interim and annual periods beginning after December 15, 2019, with early adoption permitted, and can be adopted prospectively or retrospectively. The Company adopted the new standard on January 1, 2020 on a prospective basis. The adoption of this standard did not have a material impact on the Company’s consolidated financial position and results of operations or a significant impact on its internal controls. However, the adoption of this standard</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7" w:name="page138"/>
    <w:bookmarkEnd w:id="13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99"/>
        <w:spacing w:after="0" w:line="266" w:lineRule="auto"/>
        <w:rPr>
          <w:sz w:val="20"/>
          <w:szCs w:val="20"/>
          <w:color w:val="auto"/>
        </w:rPr>
      </w:pPr>
      <w:r>
        <w:rPr>
          <w:rFonts w:ascii="Times New Roman" w:cs="Times New Roman" w:eastAsia="Times New Roman" w:hAnsi="Times New Roman"/>
          <w:sz w:val="18"/>
          <w:szCs w:val="18"/>
          <w:color w:val="auto"/>
        </w:rPr>
        <w:t>resulted in an increase in capitalized assets related to qualifying cloud computing arrangement implementation costs incurred after the adoption date.</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12" w:lineRule="exact"/>
        <w:rPr>
          <w:sz w:val="20"/>
          <w:szCs w:val="20"/>
          <w:color w:val="auto"/>
        </w:rPr>
      </w:pPr>
    </w:p>
    <w:p>
      <w:pPr>
        <w:ind w:left="60" w:right="59"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Income Taxes (Topic 740): Simplifying the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part of its initiative to reduce complexity in the accounting standards. The amendments in ASU 2019-12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eliminate certain exceptions related to the approach for intraperiod tax allocation, the methodology for calculating income taxes in an interim period and the recognition of deferred tax liabilities for outside basis differences. ASU 2019-12 also clarifies and simplifies other aspects of the accounting for income taxes. The amendments in ASU 2019-12 are effective for the fiscal years beginning after December 15, 2020. Early adoption is permitted, including adoption in any interim period. The Company early adopted this amendment prospectively as of January 1, 2020. The adoption of the standard did not have a material impact to the Company’s consolidated financial position and results of operations or a significant impact on its internal controls.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 xml:space="preserve">In August 2018, the FASB issued No. ASU 2018-14, </w:t>
      </w:r>
      <w:r>
        <w:rPr>
          <w:rFonts w:ascii="Times New Roman" w:cs="Times New Roman" w:eastAsia="Times New Roman" w:hAnsi="Times New Roman"/>
          <w:sz w:val="17"/>
          <w:szCs w:val="17"/>
          <w:i w:val="1"/>
          <w:iCs w:val="1"/>
          <w:color w:val="auto"/>
        </w:rPr>
        <w:t>Compensation – Retirement Benefits – Defined Benefit Plans</w:t>
      </w:r>
    </w:p>
    <w:p>
      <w:pPr>
        <w:spacing w:after="0" w:line="29" w:lineRule="exact"/>
        <w:rPr>
          <w:sz w:val="20"/>
          <w:szCs w:val="20"/>
          <w:color w:val="auto"/>
        </w:rPr>
      </w:pPr>
    </w:p>
    <w:p>
      <w:pPr>
        <w:ind w:left="60" w:right="59"/>
        <w:spacing w:after="0" w:line="237" w:lineRule="auto"/>
        <w:rPr>
          <w:sz w:val="20"/>
          <w:szCs w:val="20"/>
          <w:color w:val="auto"/>
        </w:rPr>
      </w:pPr>
      <w:r>
        <w:rPr>
          <w:rFonts w:ascii="Times New Roman" w:cs="Times New Roman" w:eastAsia="Times New Roman" w:hAnsi="Times New Roman"/>
          <w:sz w:val="18"/>
          <w:szCs w:val="18"/>
          <w:i w:val="1"/>
          <w:iCs w:val="1"/>
          <w:color w:val="auto"/>
        </w:rPr>
        <w:t>– General (Subtopic 715-20): Disclosure Framework – Changes to the Disclosure Requirements for Defined Benefit Plans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amends ASC 715 to add, remove, and clarify disclosure requirements related defined benefit pension and other postretirement plans. The amendments in ASU 2018-14 are effective for the fiscal years ending after December 15, 2020. The Company adopted this amendment as of January 1, 2020 and the adoption did not have a material impact on the related disclosures.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Marketable securities consisted of the following at December 31, 2020 and 2019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8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6"/>
                <w:szCs w:val="16"/>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6"/>
                <w:szCs w:val="16"/>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9"/>
        </w:trPr>
        <w:tc>
          <w:tcPr>
            <w:tcW w:w="4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746,770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747,269</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117,368</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117,817</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864,138</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962</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865,086</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8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24"/>
                <w:szCs w:val="24"/>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24"/>
                <w:szCs w:val="24"/>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99"/>
        </w:trPr>
        <w:tc>
          <w:tcPr>
            <w:tcW w:w="42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7"/>
                <w:szCs w:val="17"/>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20" w:type="dxa"/>
            <w:vAlign w:val="bottom"/>
          </w:tcPr>
          <w:p>
            <w:pPr>
              <w:spacing w:after="0"/>
              <w:rPr>
                <w:sz w:val="17"/>
                <w:szCs w:val="17"/>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 available-for-sale:</w:t>
            </w: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128,156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128,312</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305,360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305,710</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433,516</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ind w:left="140"/>
              <w:spacing w:after="0" w:line="196" w:lineRule="exact"/>
              <w:rPr>
                <w:sz w:val="20"/>
                <w:szCs w:val="20"/>
                <w:color w:val="auto"/>
              </w:rPr>
            </w:pPr>
            <w:r>
              <w:rPr>
                <w:rFonts w:ascii="Times New Roman" w:cs="Times New Roman" w:eastAsia="Times New Roman" w:hAnsi="Times New Roman"/>
                <w:sz w:val="18"/>
                <w:szCs w:val="18"/>
                <w:color w:val="auto"/>
              </w:rPr>
              <w:t>434,022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79" w:firstLine="648"/>
        <w:spacing w:after="0" w:line="241" w:lineRule="auto"/>
        <w:rPr>
          <w:sz w:val="20"/>
          <w:szCs w:val="20"/>
          <w:color w:val="auto"/>
        </w:rPr>
      </w:pPr>
      <w:r>
        <w:rPr>
          <w:rFonts w:ascii="Times New Roman" w:cs="Times New Roman" w:eastAsia="Times New Roman" w:hAnsi="Times New Roman"/>
          <w:sz w:val="18"/>
          <w:szCs w:val="18"/>
          <w:color w:val="auto"/>
        </w:rPr>
        <w:t>As of December 31, 2020 and 2019, the Company held 8 and 11 securities, respectively, that were in an unrealized loss position. The aggregate fair value of securities held by the Company in an unrealized loss position for less than twelve months as of December 31, 2020 and 2019 were $125.7 million and $82.1 million, respectively, and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years ended December 31, 2020 and 2019</w:t>
      </w:r>
      <w:r>
        <w:rPr>
          <w:rFonts w:ascii="Times New Roman" w:cs="Times New Roman" w:eastAsia="Times New Roman" w:hAnsi="Times New Roman"/>
          <w:sz w:val="18"/>
          <w:szCs w:val="18"/>
          <w:color w:val="212529"/>
        </w:rPr>
        <w:t>.</w:t>
      </w:r>
    </w:p>
    <w:p>
      <w:pPr>
        <w:spacing w:after="0" w:line="184" w:lineRule="exact"/>
        <w:rPr>
          <w:sz w:val="20"/>
          <w:szCs w:val="20"/>
          <w:color w:val="auto"/>
        </w:rPr>
      </w:pPr>
    </w:p>
    <w:p>
      <w:pPr>
        <w:jc w:val="both"/>
        <w:ind w:left="60" w:right="239" w:firstLine="648"/>
        <w:spacing w:after="0" w:line="250" w:lineRule="auto"/>
        <w:rPr>
          <w:sz w:val="20"/>
          <w:szCs w:val="20"/>
          <w:color w:val="auto"/>
        </w:rPr>
      </w:pPr>
      <w:r>
        <w:rPr>
          <w:rFonts w:ascii="Times New Roman" w:cs="Times New Roman" w:eastAsia="Times New Roman" w:hAnsi="Times New Roman"/>
          <w:sz w:val="18"/>
          <w:szCs w:val="18"/>
          <w:color w:val="212529"/>
        </w:rPr>
        <w:t>As of December 31, 2020, 65 securities with an aggregate fair value of $677.9 million had remaining maturities between one year and five years. As of December 31, 2019, 9 securities with an aggregate fair value of $64.4 million had remaining maturities greater than one year.</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8" w:name="page139"/>
    <w:bookmarkEnd w:id="13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148"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2020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6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9"/>
        </w:trPr>
        <w:tc>
          <w:tcPr>
            <w:tcW w:w="396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1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420,567</w:t>
            </w:r>
          </w:p>
        </w:tc>
        <w:tc>
          <w:tcPr>
            <w:tcW w:w="9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$ 420,567</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Marketable securities, available-for-sale: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U.S. government agency securities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747,269</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747,269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117,817</w:t>
            </w:r>
          </w:p>
        </w:tc>
        <w:tc>
          <w:tcPr>
            <w:tcW w:w="96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117,817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39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1,285,653</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$ 538,384</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747,269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cash equivalents and marketable securities measured at fair value on a recurring basis as of December 31, 2019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4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90"/>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9"/>
        </w:trPr>
        <w:tc>
          <w:tcPr>
            <w:tcW w:w="4000" w:type="dxa"/>
            <w:vAlign w:val="bottom"/>
            <w:tcBorders>
              <w:bottom w:val="single" w:sz="8" w:color="CCEEFF"/>
            </w:tcBorders>
            <w:vMerge w:val="continue"/>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Money market funds</w:t>
            </w:r>
          </w:p>
        </w:tc>
        <w:tc>
          <w:tcPr>
            <w:tcW w:w="1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98,946</w:t>
            </w:r>
          </w:p>
        </w:tc>
        <w:tc>
          <w:tcPr>
            <w:tcW w:w="2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98,946</w:t>
            </w:r>
          </w:p>
        </w:tc>
        <w:tc>
          <w:tcPr>
            <w:tcW w:w="2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14,992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Marketable securities, available-for-sale:</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U.S. government agency securities</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128,312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128,312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U.S. treasury obligations</w:t>
            </w:r>
          </w:p>
        </w:tc>
        <w:tc>
          <w:tcPr>
            <w:tcW w:w="10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305,710</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305,710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5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40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547,960</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419,648</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128,312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Product Revenue Reserves and Allowances</w:t>
      </w:r>
    </w:p>
    <w:p>
      <w:pPr>
        <w:spacing w:after="0" w:line="216" w:lineRule="exact"/>
        <w:rPr>
          <w:sz w:val="20"/>
          <w:szCs w:val="20"/>
          <w:color w:val="auto"/>
        </w:rPr>
      </w:pPr>
    </w:p>
    <w:p>
      <w:pPr>
        <w:ind w:left="60" w:right="139" w:firstLine="648"/>
        <w:spacing w:after="0" w:line="258" w:lineRule="auto"/>
        <w:rPr>
          <w:sz w:val="20"/>
          <w:szCs w:val="20"/>
          <w:color w:val="auto"/>
        </w:rPr>
      </w:pPr>
      <w:r>
        <w:rPr>
          <w:rFonts w:ascii="Times New Roman" w:cs="Times New Roman" w:eastAsia="Times New Roman" w:hAnsi="Times New Roman"/>
          <w:sz w:val="17"/>
          <w:szCs w:val="17"/>
          <w:color w:val="auto"/>
        </w:rPr>
        <w:t xml:space="preserve">In January 2020, the U.S. Food and Drug Administration (FDA) approved </w:t>
      </w:r>
      <w:r>
        <w:rPr>
          <w:rFonts w:ascii="Times New Roman" w:cs="Times New Roman" w:eastAsia="Times New Roman" w:hAnsi="Times New Roman"/>
          <w:sz w:val="17"/>
          <w:szCs w:val="17"/>
          <w:color w:val="0A0A0A"/>
          <w:highlight w:val="white"/>
        </w:rPr>
        <w:t>AYVAKIT</w:t>
      </w:r>
      <w:r>
        <w:rPr>
          <w:rFonts w:ascii="Times New Roman" w:cs="Times New Roman" w:eastAsia="Times New Roman" w:hAnsi="Times New Roman"/>
          <w:sz w:val="17"/>
          <w:szCs w:val="17"/>
          <w:color w:val="auto"/>
        </w:rPr>
        <w:t xml:space="preserve"> for the treatment of adults with unresectable or metastatic gastrointestinal stromal tumor (GIST) harboring a </w:t>
      </w:r>
      <w:r>
        <w:rPr>
          <w:rFonts w:ascii="Times New Roman" w:cs="Times New Roman" w:eastAsia="Times New Roman" w:hAnsi="Times New Roman"/>
          <w:sz w:val="17"/>
          <w:szCs w:val="17"/>
          <w:color w:val="0A0A0A"/>
          <w:highlight w:val="white"/>
        </w:rPr>
        <w:t>PDGFRA exon 18 mutation, including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0A0A0A"/>
          <w:highlight w:val="white"/>
        </w:rPr>
        <w:t>PDGFRA D842V mutations</w:t>
      </w:r>
      <w:r>
        <w:rPr>
          <w:rFonts w:ascii="Times New Roman" w:cs="Times New Roman" w:eastAsia="Times New Roman" w:hAnsi="Times New Roman"/>
          <w:sz w:val="17"/>
          <w:szCs w:val="17"/>
          <w:color w:val="000000"/>
        </w:rPr>
        <w:t>. In September 2020, the FDA granted accelerated approval of GAVRETO for the treatment of</w:t>
      </w:r>
      <w:r>
        <w:rPr>
          <w:rFonts w:ascii="Times New Roman" w:cs="Times New Roman" w:eastAsia="Times New Roman" w:hAnsi="Times New Roman"/>
          <w:sz w:val="17"/>
          <w:szCs w:val="17"/>
          <w:color w:val="0A0A0A"/>
          <w:highlight w:val="white"/>
        </w:rPr>
        <w:t xml:space="preserve"> </w:t>
      </w:r>
      <w:r>
        <w:rPr>
          <w:rFonts w:ascii="Times New Roman" w:cs="Times New Roman" w:eastAsia="Times New Roman" w:hAnsi="Times New Roman"/>
          <w:sz w:val="17"/>
          <w:szCs w:val="17"/>
          <w:color w:val="000000"/>
        </w:rPr>
        <w:t>adult patients with metastatic RET fusion-positive non-small cell lung cancer (NSCLC) as detected by an FDA approved test, and the European Commission granted conditional marketing authorization to AYVAKYT as a monotherapy for the treatment of adult patients with unresectable or metastatic GIST harboring the PDGFRA D842V mutation.</w:t>
      </w:r>
    </w:p>
    <w:p>
      <w:pPr>
        <w:spacing w:after="0" w:line="170" w:lineRule="exact"/>
        <w:rPr>
          <w:sz w:val="20"/>
          <w:szCs w:val="20"/>
          <w:color w:val="auto"/>
        </w:rPr>
      </w:pPr>
    </w:p>
    <w:p>
      <w:pPr>
        <w:ind w:left="60" w:right="299" w:firstLine="648"/>
        <w:spacing w:after="0" w:line="250" w:lineRule="auto"/>
        <w:rPr>
          <w:sz w:val="20"/>
          <w:szCs w:val="20"/>
          <w:color w:val="auto"/>
        </w:rPr>
      </w:pPr>
      <w:r>
        <w:rPr>
          <w:rFonts w:ascii="Times New Roman" w:cs="Times New Roman" w:eastAsia="Times New Roman" w:hAnsi="Times New Roman"/>
          <w:sz w:val="18"/>
          <w:szCs w:val="18"/>
          <w:color w:val="auto"/>
        </w:rPr>
        <w:t xml:space="preserve">For the year ended December 31, 2020, the Company generated aggregate net product revenue of $22.1 million from sales of </w:t>
      </w:r>
      <w:r>
        <w:rPr>
          <w:rFonts w:ascii="Times New Roman" w:cs="Times New Roman" w:eastAsia="Times New Roman" w:hAnsi="Times New Roman"/>
          <w:sz w:val="18"/>
          <w:szCs w:val="18"/>
          <w:color w:val="0A0A0A"/>
          <w:highlight w:val="white"/>
        </w:rPr>
        <w:t>AYVAKIT/</w:t>
      </w:r>
      <w:r>
        <w:rPr>
          <w:rFonts w:ascii="Times New Roman" w:cs="Times New Roman" w:eastAsia="Times New Roman" w:hAnsi="Times New Roman"/>
          <w:sz w:val="18"/>
          <w:szCs w:val="18"/>
          <w:color w:val="auto"/>
        </w:rPr>
        <w:t xml:space="preserve">AYVAKYT </w:t>
      </w:r>
      <w:r>
        <w:rPr>
          <w:rFonts w:ascii="Times New Roman" w:cs="Times New Roman" w:eastAsia="Times New Roman" w:hAnsi="Times New Roman"/>
          <w:sz w:val="18"/>
          <w:szCs w:val="18"/>
          <w:color w:val="0A0A0A"/>
        </w:rPr>
        <w:t>and GAVRETO</w:t>
      </w:r>
      <w:r>
        <w:rPr>
          <w:rFonts w:ascii="Times New Roman" w:cs="Times New Roman" w:eastAsia="Times New Roman" w:hAnsi="Times New Roman"/>
          <w:sz w:val="18"/>
          <w:szCs w:val="18"/>
          <w:color w:val="auto"/>
        </w:rPr>
        <w:t>. The following table summarizes activity in each of the product revenue allowance and reserve categories for the year ended December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-269875</wp:posOffset>
            </wp:positionV>
            <wp:extent cx="754380"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3">
                      <a:extLst>
                        <a:ext uri="{28A0092B-C50C-407E-A947-70E740481C1C}"/>
                      </a:extLst>
                    </a:blip>
                    <a:srcRect/>
                    <a:stretch>
                      <a:fillRect/>
                    </a:stretch>
                  </pic:blipFill>
                  <pic:spPr bwMode="auto">
                    <a:xfrm>
                      <a:off x="0" y="0"/>
                      <a:ext cx="754380" cy="12890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Beginning balance at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4896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7"/>
          <w:szCs w:val="17"/>
          <w:color w:val="auto"/>
        </w:rPr>
        <w:t>Provision related to sales in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Adjustment related to prior periods sales</w:t>
      </w:r>
    </w:p>
    <w:p>
      <w:pPr>
        <w:ind w:left="60"/>
        <w:spacing w:after="0"/>
        <w:rPr>
          <w:sz w:val="20"/>
          <w:szCs w:val="20"/>
          <w:color w:val="auto"/>
        </w:rPr>
      </w:pPr>
      <w:r>
        <w:rPr>
          <w:rFonts w:ascii="Times New Roman" w:cs="Times New Roman" w:eastAsia="Times New Roman" w:hAnsi="Times New Roman"/>
          <w:sz w:val="18"/>
          <w:szCs w:val="18"/>
          <w:color w:val="auto"/>
        </w:rPr>
        <w:t>Credits and payments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wp:posOffset>
            </wp:positionV>
            <wp:extent cx="5648960" cy="146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Ending balance at December 31, 2020</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9" w:lineRule="exact"/>
        <w:rPr>
          <w:sz w:val="20"/>
          <w:szCs w:val="20"/>
          <w:color w:val="auto"/>
        </w:rPr>
      </w:pPr>
    </w:p>
    <w:p>
      <w:pPr>
        <w:ind w:left="1100" w:hanging="1096"/>
        <w:spacing w:after="0"/>
        <w:tabs>
          <w:tab w:leader="none" w:pos="11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7" w:lineRule="exact"/>
        <w:rPr>
          <w:rFonts w:ascii="Times New Roman" w:cs="Times New Roman" w:eastAsia="Times New Roman" w:hAnsi="Times New Roman"/>
          <w:sz w:val="18"/>
          <w:szCs w:val="18"/>
          <w:color w:val="auto"/>
        </w:rPr>
      </w:pPr>
    </w:p>
    <w:p>
      <w:pPr>
        <w:ind w:left="86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2,515</w:t>
      </w:r>
    </w:p>
    <w:p>
      <w:pPr>
        <w:ind w:left="1100"/>
        <w:spacing w:after="0" w:line="2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(1,323)</w:t>
      </w:r>
    </w:p>
    <w:p>
      <w:pPr>
        <w:spacing w:after="0" w:line="7" w:lineRule="exact"/>
        <w:rPr>
          <w:sz w:val="20"/>
          <w:szCs w:val="20"/>
          <w:color w:val="auto"/>
        </w:rPr>
      </w:pPr>
    </w:p>
    <w:p>
      <w:pPr>
        <w:ind w:left="860" w:hanging="856"/>
        <w:spacing w:after="0"/>
        <w:tabs>
          <w:tab w:leader="none" w:pos="8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8401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7">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139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39" w:firstLine="648"/>
        <w:spacing w:after="0" w:line="266" w:lineRule="auto"/>
        <w:rPr>
          <w:sz w:val="20"/>
          <w:szCs w:val="20"/>
          <w:color w:val="auto"/>
        </w:rPr>
      </w:pPr>
      <w:r>
        <w:rPr>
          <w:rFonts w:ascii="Times New Roman" w:cs="Times New Roman" w:eastAsia="Times New Roman" w:hAnsi="Times New Roman"/>
          <w:sz w:val="18"/>
          <w:szCs w:val="18"/>
          <w:color w:val="auto"/>
        </w:rPr>
        <w:t>The total reserves above, which are included in the Company’s consolidated balance sheets, are summarized as follows (in thousands):</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3"/>
        </w:trPr>
        <w:tc>
          <w:tcPr>
            <w:tcW w:w="64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 of accounts receivable, net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Component of accrued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64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revenue-related reserves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1,192</w:t>
            </w:r>
          </w:p>
        </w:tc>
        <w:tc>
          <w:tcPr>
            <w:tcW w:w="2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64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Inventory</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Capitalized inventory consists of the following at December 31, 2020 and 2019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67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9,488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914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10,402</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Balance sheet classification</w:t>
            </w: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67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8,581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1,821</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10,402</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59" w:firstLine="648"/>
        <w:spacing w:after="0" w:line="250"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and was zero for the year ended December 31, 2020. Long-term inventory, which primarily consists of work in process, is included in other assets in the consolidated balance sheets.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Restricted Cash</w:t>
      </w:r>
    </w:p>
    <w:p>
      <w:pPr>
        <w:spacing w:after="0" w:line="216" w:lineRule="exact"/>
        <w:rPr>
          <w:sz w:val="20"/>
          <w:szCs w:val="20"/>
          <w:color w:val="auto"/>
        </w:rPr>
      </w:pPr>
    </w:p>
    <w:p>
      <w:pPr>
        <w:jc w:val="both"/>
        <w:ind w:left="60" w:right="219" w:firstLine="648"/>
        <w:spacing w:after="0" w:line="250" w:lineRule="auto"/>
        <w:rPr>
          <w:sz w:val="20"/>
          <w:szCs w:val="20"/>
          <w:color w:val="auto"/>
        </w:rPr>
      </w:pPr>
      <w:r>
        <w:rPr>
          <w:rFonts w:ascii="Times New Roman" w:cs="Times New Roman" w:eastAsia="Times New Roman" w:hAnsi="Times New Roman"/>
          <w:sz w:val="18"/>
          <w:szCs w:val="18"/>
          <w:color w:val="auto"/>
        </w:rPr>
        <w:t>At December 31, 2020 and 2019, respectively, $5.2 million and $5.7 million, of the Company’s cash is restricted by a bank primarily related to security deposits for the lease agreements for the Company’s current and former corporate headquarters.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as follows (in thousands):</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5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7"/>
                <w:szCs w:val="17"/>
                <w:color w:val="auto"/>
              </w:rPr>
            </w:pPr>
          </w:p>
        </w:tc>
        <w:tc>
          <w:tcPr>
            <w:tcW w:w="23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6"/>
        </w:trPr>
        <w:tc>
          <w:tcPr>
            <w:tcW w:w="510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7"/>
                <w:szCs w:val="17"/>
                <w:color w:val="auto"/>
              </w:rPr>
            </w:pPr>
          </w:p>
        </w:tc>
      </w:tr>
      <w:tr>
        <w:trPr>
          <w:trHeight w:val="196"/>
        </w:trPr>
        <w:tc>
          <w:tcPr>
            <w:tcW w:w="5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Lab equipment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11,418</w:t>
            </w: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8,975</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Furniture and fixtures</w:t>
            </w:r>
          </w:p>
        </w:tc>
        <w:tc>
          <w:tcPr>
            <w:tcW w:w="10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3,420</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3,512</w:t>
            </w: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Computer equipment</w:t>
            </w:r>
          </w:p>
        </w:tc>
        <w:tc>
          <w:tcPr>
            <w:tcW w:w="10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1,513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CEEFF"/>
          </w:tcPr>
          <w:p>
            <w:pPr>
              <w:spacing w:after="0"/>
              <w:rPr>
                <w:sz w:val="17"/>
                <w:szCs w:val="17"/>
                <w:color w:val="auto"/>
              </w:rPr>
            </w:pPr>
          </w:p>
        </w:tc>
      </w:tr>
      <w:tr>
        <w:trPr>
          <w:trHeight w:val="202"/>
        </w:trPr>
        <w:tc>
          <w:tcPr>
            <w:tcW w:w="5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Leasehold improvements</w:t>
            </w: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8"/>
              </w:rPr>
              <w:t>Term of lease</w:t>
            </w: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36,946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36,627</w:t>
            </w:r>
          </w:p>
        </w:tc>
        <w:tc>
          <w:tcPr>
            <w:tcW w:w="120" w:type="dxa"/>
            <w:vAlign w:val="bottom"/>
          </w:tcPr>
          <w:p>
            <w:pPr>
              <w:spacing w:after="0"/>
              <w:rPr>
                <w:sz w:val="17"/>
                <w:szCs w:val="17"/>
                <w:color w:val="auto"/>
              </w:rPr>
            </w:pPr>
          </w:p>
        </w:tc>
      </w:tr>
      <w:tr>
        <w:trPr>
          <w:trHeight w:val="203"/>
        </w:trPr>
        <w:tc>
          <w:tcPr>
            <w:tcW w:w="5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Software</w:t>
            </w:r>
          </w:p>
        </w:tc>
        <w:tc>
          <w:tcPr>
            <w:tcW w:w="108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417</w:t>
            </w:r>
          </w:p>
        </w:tc>
        <w:tc>
          <w:tcPr>
            <w:tcW w:w="120" w:type="dxa"/>
            <w:vAlign w:val="bottom"/>
            <w:shd w:val="clear" w:color="auto" w:fill="CCEEFF"/>
          </w:tcPr>
          <w:p>
            <w:pPr>
              <w:spacing w:after="0"/>
              <w:rPr>
                <w:sz w:val="17"/>
                <w:szCs w:val="17"/>
                <w:color w:val="auto"/>
              </w:rPr>
            </w:pPr>
          </w:p>
        </w:tc>
      </w:tr>
      <w:tr>
        <w:trPr>
          <w:trHeight w:val="203"/>
        </w:trPr>
        <w:tc>
          <w:tcPr>
            <w:tcW w:w="510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Construction-in-progress</w:t>
            </w:r>
          </w:p>
        </w:tc>
        <w:tc>
          <w:tcPr>
            <w:tcW w:w="1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956</w:t>
            </w:r>
          </w:p>
        </w:tc>
        <w:tc>
          <w:tcPr>
            <w:tcW w:w="120" w:type="dxa"/>
            <w:vAlign w:val="bottom"/>
            <w:tcBorders>
              <w:bottom w:val="single" w:sz="8" w:color="CCEEFF"/>
            </w:tcBorders>
          </w:tcPr>
          <w:p>
            <w:pPr>
              <w:spacing w:after="0"/>
              <w:rPr>
                <w:sz w:val="17"/>
                <w:szCs w:val="17"/>
                <w:color w:val="auto"/>
              </w:rPr>
            </w:pPr>
          </w:p>
        </w:tc>
      </w:tr>
      <w:tr>
        <w:trPr>
          <w:trHeight w:val="196"/>
        </w:trPr>
        <w:tc>
          <w:tcPr>
            <w:tcW w:w="5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cost</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53,860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52,045</w:t>
            </w:r>
          </w:p>
        </w:tc>
        <w:tc>
          <w:tcPr>
            <w:tcW w:w="120" w:type="dxa"/>
            <w:vAlign w:val="bottom"/>
            <w:shd w:val="clear" w:color="auto" w:fill="CCEEFF"/>
          </w:tcPr>
          <w:p>
            <w:pPr>
              <w:spacing w:after="0"/>
              <w:rPr>
                <w:sz w:val="17"/>
                <w:szCs w:val="17"/>
                <w:color w:val="auto"/>
              </w:rPr>
            </w:pPr>
          </w:p>
        </w:tc>
      </w:tr>
      <w:tr>
        <w:trPr>
          <w:trHeight w:val="202"/>
        </w:trPr>
        <w:tc>
          <w:tcPr>
            <w:tcW w:w="5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(19,731)</w:t>
            </w:r>
          </w:p>
        </w:tc>
        <w:tc>
          <w:tcPr>
            <w:tcW w:w="2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Times New Roman" w:cs="Times New Roman" w:eastAsia="Times New Roman" w:hAnsi="Times New Roman"/>
                <w:sz w:val="18"/>
                <w:szCs w:val="18"/>
                <w:color w:val="auto"/>
              </w:rPr>
              <w:t>(13,684)</w:t>
            </w:r>
          </w:p>
        </w:tc>
      </w:tr>
      <w:tr>
        <w:trPr>
          <w:trHeight w:val="196"/>
        </w:trPr>
        <w:tc>
          <w:tcPr>
            <w:tcW w:w="510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34,129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38,361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579" w:firstLine="648"/>
        <w:spacing w:after="0" w:line="250" w:lineRule="auto"/>
        <w:rPr>
          <w:sz w:val="20"/>
          <w:szCs w:val="20"/>
          <w:color w:val="auto"/>
        </w:rPr>
      </w:pPr>
      <w:r>
        <w:rPr>
          <w:rFonts w:ascii="Times New Roman" w:cs="Times New Roman" w:eastAsia="Times New Roman" w:hAnsi="Times New Roman"/>
          <w:sz w:val="18"/>
          <w:szCs w:val="18"/>
          <w:color w:val="auto"/>
        </w:rPr>
        <w:t>Property, plant and equipment are recorded at historical cost, net of accumulated depreciation. Depreciation expense for the years ended December 31, 2020, 2019 and 2018 was $6.6 million, $5.3 million and $4.2 million,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Accrued Expenses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1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6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83"/>
        </w:trPr>
        <w:tc>
          <w:tcPr>
            <w:tcW w:w="6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6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research and development</w:t>
            </w:r>
          </w:p>
        </w:tc>
        <w:tc>
          <w:tcPr>
            <w:tcW w:w="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60,255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33"/>
              <w:spacing w:after="0" w:line="19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59,420</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Employee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w:t>
            </w:r>
          </w:p>
        </w:tc>
      </w:tr>
      <w:tr>
        <w:trPr>
          <w:trHeight w:val="203"/>
        </w:trPr>
        <w:tc>
          <w:tcPr>
            <w:tcW w:w="6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10,986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12,042</w:t>
            </w:r>
          </w:p>
        </w:tc>
      </w:tr>
      <w:tr>
        <w:trPr>
          <w:trHeight w:val="203"/>
        </w:trPr>
        <w:tc>
          <w:tcPr>
            <w:tcW w:w="67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Revenue-related reserves</w:t>
            </w: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966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7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6,109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3,725</w:t>
            </w:r>
          </w:p>
        </w:tc>
      </w:tr>
      <w:tr>
        <w:trPr>
          <w:trHeight w:val="196"/>
        </w:trPr>
        <w:tc>
          <w:tcPr>
            <w:tcW w:w="67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105,938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88,706</w:t>
            </w:r>
          </w:p>
        </w:tc>
      </w:tr>
      <w:tr>
        <w:trPr>
          <w:trHeight w:val="20"/>
        </w:trPr>
        <w:tc>
          <w:tcPr>
            <w:tcW w:w="6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Collaboration and License Agreements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Pralsetinib Collaboration</w:t>
      </w:r>
    </w:p>
    <w:p>
      <w:pPr>
        <w:spacing w:after="0" w:line="216" w:lineRule="exact"/>
        <w:rPr>
          <w:sz w:val="20"/>
          <w:szCs w:val="20"/>
          <w:color w:val="auto"/>
        </w:rPr>
      </w:pPr>
    </w:p>
    <w:p>
      <w:pPr>
        <w:ind w:left="60" w:right="219" w:firstLine="648"/>
        <w:spacing w:after="0" w:line="241" w:lineRule="auto"/>
        <w:rPr>
          <w:sz w:val="20"/>
          <w:szCs w:val="20"/>
          <w:color w:val="auto"/>
        </w:rPr>
      </w:pPr>
      <w:r>
        <w:rPr>
          <w:rFonts w:ascii="Times New Roman" w:cs="Times New Roman" w:eastAsia="Times New Roman" w:hAnsi="Times New Roman"/>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4" w:lineRule="exact"/>
        <w:rPr>
          <w:sz w:val="20"/>
          <w:szCs w:val="20"/>
          <w:color w:val="auto"/>
        </w:rPr>
      </w:pPr>
    </w:p>
    <w:p>
      <w:pPr>
        <w:ind w:left="60" w:right="59" w:firstLine="648"/>
        <w:spacing w:after="0" w:line="241" w:lineRule="auto"/>
        <w:rPr>
          <w:sz w:val="20"/>
          <w:szCs w:val="20"/>
          <w:color w:val="auto"/>
        </w:rPr>
      </w:pPr>
      <w:r>
        <w:rPr>
          <w:rFonts w:ascii="Times New Roman" w:cs="Times New Roman" w:eastAsia="Times New Roman" w:hAnsi="Times New Roman"/>
          <w:sz w:val="18"/>
          <w:szCs w:val="18"/>
          <w:color w:val="auto"/>
        </w:rPr>
        <w:t>Under the Roche pralsetinib collaboration agreement, the Company received an upfront cash payment of $675.0 million in the third quarter of 2020, and through December 31, 2020, the Company has received $55.0 million in specified regulatory and commercialization milestones. In addition to upfront and milestone payments received through December 31, 2020, the Company is eligible to receive up to $872.0 million in contingent payments, including specified development, regulatory and sales-based milestones for pralsetinib and any licensed product containing a next-generation RET compound.</w:t>
      </w:r>
    </w:p>
    <w:p>
      <w:pPr>
        <w:spacing w:after="0" w:line="184" w:lineRule="exact"/>
        <w:rPr>
          <w:sz w:val="20"/>
          <w:szCs w:val="20"/>
          <w:color w:val="auto"/>
        </w:rPr>
      </w:pPr>
    </w:p>
    <w:p>
      <w:pPr>
        <w:ind w:left="60" w:right="99" w:firstLine="648"/>
        <w:spacing w:after="0" w:line="254" w:lineRule="auto"/>
        <w:rPr>
          <w:sz w:val="20"/>
          <w:szCs w:val="20"/>
          <w:color w:val="auto"/>
        </w:rPr>
      </w:pPr>
      <w:r>
        <w:rPr>
          <w:rFonts w:ascii="Times New Roman" w:cs="Times New Roman" w:eastAsia="Times New Roman" w:hAnsi="Times New Roman"/>
          <w:sz w:val="17"/>
          <w:szCs w:val="17"/>
          <w:color w:val="auto"/>
        </w:rPr>
        <w:t>In the U.S., the Company and Roche are working together to co-commercialize pralsetinib and will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 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77" w:lineRule="exact"/>
        <w:rPr>
          <w:sz w:val="20"/>
          <w:szCs w:val="20"/>
          <w:color w:val="auto"/>
        </w:rPr>
      </w:pPr>
    </w:p>
    <w:p>
      <w:pPr>
        <w:ind w:left="60" w:right="159" w:firstLine="648"/>
        <w:spacing w:after="0" w:line="239" w:lineRule="auto"/>
        <w:rPr>
          <w:sz w:val="20"/>
          <w:szCs w:val="20"/>
          <w:color w:val="auto"/>
        </w:rPr>
      </w:pPr>
      <w:r>
        <w:rPr>
          <w:rFonts w:ascii="Times New Roman" w:cs="Times New Roman" w:eastAsia="Times New Roman" w:hAnsi="Times New Roman"/>
          <w:sz w:val="18"/>
          <w:szCs w:val="18"/>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87"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firstLine="648"/>
        <w:spacing w:after="0" w:line="239" w:lineRule="auto"/>
        <w:rPr>
          <w:sz w:val="20"/>
          <w:szCs w:val="20"/>
          <w:color w:val="auto"/>
        </w:rPr>
      </w:pPr>
      <w:r>
        <w:rPr>
          <w:rFonts w:ascii="Times New Roman" w:cs="Times New Roman" w:eastAsia="Times New Roman" w:hAnsi="Times New Roman"/>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The Company determined that the Roche pralsetinib collaboration agreement contained four material components:</w:t>
      </w:r>
    </w:p>
    <w:p>
      <w:pPr>
        <w:spacing w:after="0" w:line="27" w:lineRule="exact"/>
        <w:rPr>
          <w:sz w:val="20"/>
          <w:szCs w:val="20"/>
          <w:color w:val="auto"/>
        </w:rPr>
      </w:pPr>
    </w:p>
    <w:p>
      <w:pPr>
        <w:ind w:left="60" w:right="199" w:hanging="10"/>
        <w:spacing w:after="0" w:line="252" w:lineRule="auto"/>
        <w:tabs>
          <w:tab w:leader="none" w:pos="27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77" w:lineRule="exact"/>
        <w:rPr>
          <w:sz w:val="20"/>
          <w:szCs w:val="20"/>
          <w:color w:val="auto"/>
        </w:rPr>
      </w:pPr>
    </w:p>
    <w:p>
      <w:pPr>
        <w:ind w:left="60" w:right="99" w:firstLine="648"/>
        <w:spacing w:after="0" w:line="245" w:lineRule="auto"/>
        <w:rPr>
          <w:sz w:val="20"/>
          <w:szCs w:val="20"/>
          <w:color w:val="auto"/>
        </w:rPr>
      </w:pPr>
      <w:r>
        <w:rPr>
          <w:rFonts w:ascii="Times New Roman" w:cs="Times New Roman" w:eastAsia="Times New Roman" w:hAnsi="Times New Roman"/>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1"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 at the outset of the arrangement. Additionally, the Company is entitled to sales milestones and royalties from Roche upon future sales of pralsetinib in the Roche territory, and revenue will be recognized when the related sales occur. Costs that are incurred associated with the Roche territory activities are reimbursable from Roche and will be recognized as revenue.</w:t>
      </w:r>
    </w:p>
    <w:p>
      <w:pPr>
        <w:spacing w:after="0" w:line="193"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For the purposes of ASC 606, the transaction price of the Roche collaboration agreement as of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During the year ended December 31, 2020, the Company achieved $55.0 million in specified regulatory and commercialization milestones and added the $55.0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2" w:name="page143"/>
    <w:bookmarkEnd w:id="14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revenue recognized under the Roche pralsetinib collaboration during the years ended December 31, 2020 and 2019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3"/>
        </w:trPr>
        <w:tc>
          <w:tcPr>
            <w:tcW w:w="66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196"/>
        </w:trPr>
        <w:tc>
          <w:tcPr>
            <w:tcW w:w="6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Upfront license revenue</w:t>
            </w: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695,694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6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6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License milestone revenue</w:t>
            </w:r>
          </w:p>
        </w:tc>
        <w:tc>
          <w:tcPr>
            <w:tcW w:w="2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55,000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ind w:left="56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66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Services related to Roche territory-specific activities</w:t>
            </w: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2,406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ind w:left="560"/>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6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Roche pralsetinib collaboration revenue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753,100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ind w:left="56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will be accounted for as an increase to or reduction of research and development expenses. Prior to the transition to Roche of specified responsibilities associated with product sales to customers, pricing and distribution matters in the U.S., the Company is the principal for product sales to customers in the U.S. and will recognize revenues on sales to third parties in product revenue, net in its consolidated statements of operations and comprehensive income (loss). After such transition, Roche will take over the responsibilities associated with product sales to customers, pricing and distribution matters for GAVRETO in the U.S. and become the principal for product sales to customers in the U.S., and the Company will recognize its portion of the commercial profits and losses sharing as revenue (expenses) from the collaboration arrangement in its consolidated statements of operations and comprehensive income (loss).</w:t>
      </w:r>
    </w:p>
    <w:p>
      <w:pPr>
        <w:spacing w:after="0" w:line="191" w:lineRule="exact"/>
        <w:rPr>
          <w:sz w:val="20"/>
          <w:szCs w:val="20"/>
          <w:color w:val="auto"/>
        </w:rPr>
      </w:pPr>
    </w:p>
    <w:p>
      <w:pPr>
        <w:ind w:left="60" w:right="339" w:firstLine="648"/>
        <w:spacing w:after="0" w:line="272" w:lineRule="auto"/>
        <w:rPr>
          <w:sz w:val="20"/>
          <w:szCs w:val="20"/>
          <w:color w:val="auto"/>
        </w:rPr>
      </w:pPr>
      <w:r>
        <w:rPr>
          <w:rFonts w:ascii="Times New Roman" w:cs="Times New Roman" w:eastAsia="Times New Roman" w:hAnsi="Times New Roman"/>
          <w:sz w:val="17"/>
          <w:szCs w:val="17"/>
          <w:color w:val="auto"/>
        </w:rPr>
        <w:t>During the year ended December 31, 2020, the Company recorded a $10.6 million reduction in selling, general and administrative expenses in connection with the commercialization of GAVRETO in the U.S. and a $20.5 million reduction in research and development expenses in connection with global development activities for pralsetinib.</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contract assets associated with the Roche pralsetinib collaboration as of</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 and 2019 (in thousands):</w:t>
      </w:r>
    </w:p>
    <w:p>
      <w:pPr>
        <w:spacing w:after="0" w:line="239" w:lineRule="exact"/>
        <w:rPr>
          <w:sz w:val="20"/>
          <w:szCs w:val="20"/>
          <w:color w:val="auto"/>
        </w:rPr>
      </w:pPr>
    </w:p>
    <w:p>
      <w:pPr>
        <w:jc w:val="center"/>
        <w:ind w:left="64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16510</wp:posOffset>
            </wp:positionV>
            <wp:extent cx="15430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2" w:lineRule="exact"/>
        <w:rPr>
          <w:sz w:val="20"/>
          <w:szCs w:val="20"/>
          <w:color w:val="auto"/>
        </w:rPr>
      </w:pPr>
    </w:p>
    <w:p>
      <w:pPr>
        <w:ind w:left="6920"/>
        <w:spacing w:after="0"/>
        <w:tabs>
          <w:tab w:leader="none" w:pos="822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9" w:lineRule="exact"/>
        <w:rPr>
          <w:sz w:val="20"/>
          <w:szCs w:val="20"/>
          <w:color w:val="auto"/>
        </w:rPr>
      </w:pPr>
    </w:p>
    <w:p>
      <w:pPr>
        <w:ind w:left="60"/>
        <w:spacing w:after="0"/>
        <w:tabs>
          <w:tab w:leader="none" w:pos="6500" w:val="left"/>
          <w:tab w:leader="none" w:pos="7060" w:val="left"/>
          <w:tab w:leader="none" w:pos="7800" w:val="left"/>
          <w:tab w:leader="none" w:pos="8700" w:val="left"/>
        </w:tabs>
        <w:rPr>
          <w:sz w:val="20"/>
          <w:szCs w:val="20"/>
          <w:color w:val="auto"/>
        </w:rPr>
      </w:pPr>
      <w:r>
        <w:rPr>
          <w:rFonts w:ascii="Times New Roman" w:cs="Times New Roman" w:eastAsia="Times New Roman" w:hAnsi="Times New Roman"/>
          <w:sz w:val="18"/>
          <w:szCs w:val="18"/>
          <w:color w:val="auto"/>
        </w:rPr>
        <w:t>Unbilled accounts receivable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17,600</w:t>
        <w:tab/>
        <w:t>$</w:t>
      </w:r>
      <w:r>
        <w:rPr>
          <w:sz w:val="20"/>
          <w:szCs w:val="20"/>
          <w:color w:val="auto"/>
        </w:rPr>
        <w:tab/>
      </w:r>
      <w:r>
        <w:rPr>
          <w:rFonts w:ascii="Times New Roman" w:cs="Times New Roman" w:eastAsia="Times New Roman" w:hAnsi="Times New Roman"/>
          <w:sz w:val="18"/>
          <w:szCs w:val="18"/>
          <w:color w:val="auto"/>
        </w:rPr>
        <w:t>—</w:t>
      </w:r>
    </w:p>
    <w:p>
      <w:pPr>
        <w:spacing w:after="0" w:line="2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Clementia</w:t>
      </w:r>
    </w:p>
    <w:p>
      <w:pPr>
        <w:spacing w:after="0" w:line="216"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1F2328"/>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progressive (FOP), as well as specified other compounds related to the BLU-782 program.</w:t>
      </w:r>
    </w:p>
    <w:p>
      <w:pPr>
        <w:spacing w:after="0" w:line="171" w:lineRule="exact"/>
        <w:rPr>
          <w:sz w:val="20"/>
          <w:szCs w:val="20"/>
          <w:color w:val="auto"/>
        </w:rPr>
      </w:pPr>
    </w:p>
    <w:p>
      <w:pPr>
        <w:ind w:left="60" w:right="239" w:firstLine="648"/>
        <w:spacing w:after="0" w:line="239" w:lineRule="auto"/>
        <w:rPr>
          <w:sz w:val="20"/>
          <w:szCs w:val="20"/>
          <w:color w:val="auto"/>
        </w:rPr>
      </w:pPr>
      <w:r>
        <w:rPr>
          <w:rFonts w:ascii="Times New Roman" w:cs="Times New Roman" w:eastAsia="Times New Roman" w:hAnsi="Times New Roman"/>
          <w:sz w:val="18"/>
          <w:szCs w:val="18"/>
          <w:color w:val="1F2328"/>
        </w:rPr>
        <w:t xml:space="preserve">Under the Clementia agreement, the Company received an upfront cash payment of $25.0 million and through December 31, 2020, the Company has received $20.0 million cash milestone payments. Subject to the terms of the Clementia agreement, in addition to the upfront and milestone payments </w:t>
      </w:r>
      <w:r>
        <w:rPr>
          <w:rFonts w:ascii="Times New Roman" w:cs="Times New Roman" w:eastAsia="Times New Roman" w:hAnsi="Times New Roman"/>
          <w:sz w:val="18"/>
          <w:szCs w:val="18"/>
          <w:color w:val="000000"/>
        </w:rPr>
        <w:t>received through December 31, 2020</w:t>
      </w:r>
      <w:r>
        <w:rPr>
          <w:rFonts w:ascii="Times New Roman" w:cs="Times New Roman" w:eastAsia="Times New Roman" w:hAnsi="Times New Roman"/>
          <w:sz w:val="18"/>
          <w:szCs w:val="18"/>
          <w:color w:val="1F2328"/>
        </w:rPr>
        <w:t>, the Company is eligible to receive up to $490.0 million in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7" w:lineRule="exact"/>
        <w:rPr>
          <w:sz w:val="20"/>
          <w:szCs w:val="20"/>
          <w:color w:val="auto"/>
        </w:rPr>
      </w:pPr>
    </w:p>
    <w:p>
      <w:pPr>
        <w:jc w:val="both"/>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w:t>
      </w: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3" w:name="page144"/>
    <w:bookmarkEnd w:id="14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45" w:lineRule="auto"/>
        <w:rPr>
          <w:sz w:val="20"/>
          <w:szCs w:val="20"/>
          <w:color w:val="auto"/>
        </w:rPr>
      </w:pPr>
      <w:r>
        <w:rPr>
          <w:rFonts w:ascii="Times New Roman" w:cs="Times New Roman" w:eastAsia="Times New Roman" w:hAnsi="Times New Roman"/>
          <w:sz w:val="18"/>
          <w:szCs w:val="18"/>
          <w:color w:val="auto"/>
        </w:rPr>
        <w:t>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81"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91" w:lineRule="exact"/>
        <w:rPr>
          <w:sz w:val="20"/>
          <w:szCs w:val="20"/>
          <w:color w:val="auto"/>
        </w:rPr>
      </w:pPr>
    </w:p>
    <w:p>
      <w:pPr>
        <w:ind w:left="60" w:right="179" w:firstLine="648"/>
        <w:spacing w:after="0" w:line="239" w:lineRule="auto"/>
        <w:rPr>
          <w:sz w:val="20"/>
          <w:szCs w:val="20"/>
          <w:color w:val="auto"/>
        </w:rPr>
      </w:pPr>
      <w:r>
        <w:rPr>
          <w:rFonts w:ascii="Times New Roman" w:cs="Times New Roman" w:eastAsia="Times New Roman" w:hAnsi="Times New Roman"/>
          <w:sz w:val="18"/>
          <w:szCs w:val="18"/>
          <w:color w:val="auto"/>
        </w:rPr>
        <w:t>The Company determined that the transaction price as of the outset of the arrangement was $46.5 million, which consisted of the upfront amount of $25.0 million, the $20.0 million cash milestone payment due in the third quarter of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 on a relative stand-alone selling price basis. The Company satisfies the performance obligations upon delivery of the license and completion of the technology transfer and inventory transfers.</w:t>
      </w:r>
    </w:p>
    <w:p>
      <w:pPr>
        <w:spacing w:after="0" w:line="187" w:lineRule="exact"/>
        <w:rPr>
          <w:sz w:val="20"/>
          <w:szCs w:val="20"/>
          <w:color w:val="auto"/>
        </w:rPr>
      </w:pPr>
    </w:p>
    <w:p>
      <w:pPr>
        <w:ind w:left="60" w:right="99" w:firstLine="648"/>
        <w:spacing w:after="0" w:line="242" w:lineRule="auto"/>
        <w:rPr>
          <w:sz w:val="20"/>
          <w:szCs w:val="20"/>
          <w:color w:val="auto"/>
        </w:rPr>
      </w:pPr>
      <w:r>
        <w:rPr>
          <w:rFonts w:ascii="Times New Roman" w:cs="Times New Roman" w:eastAsia="Times New Roman" w:hAnsi="Times New Roman"/>
          <w:sz w:val="18"/>
          <w:szCs w:val="18"/>
          <w:color w:val="auto"/>
        </w:rPr>
        <w:t>During the year ended December 31, 2019, the Company completed the delivery of the license, the technology transfer and the transfer of existing manufacturing inventory and recognized a total of $46.2 million as revenue. During the year ended December 31, 2020, the Company completed the transfer of the in-process manufacturing inventory and recognized revenue of $0.3 million accordingly. There was no revenue deferred as a contract liability associated with the Clementia agreement as of December 31, 2020 and 2019.</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CStone Pharmaceuticals</w:t>
      </w:r>
    </w:p>
    <w:p>
      <w:pPr>
        <w:spacing w:after="0" w:line="216"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On June 1,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The Company retains exclusive rights to the licensed products outside the CStone territory.</w:t>
      </w:r>
    </w:p>
    <w:p>
      <w:pPr>
        <w:spacing w:after="0" w:line="184"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The Company received an upfront cash payment of $40.0 million, and through December 31, 2020, the Company has received $14.0 million in milestone payments under this collaboration. Subject to the terms of the CStone agreement, in addition to the upfront and milestone payments received through December 31, 2020, the Company will be eligible to receive up to approximately $332.0 million in additional milestone payments, including $104.5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8" w:lineRule="exact"/>
        <w:rPr>
          <w:sz w:val="20"/>
          <w:szCs w:val="20"/>
          <w:color w:val="auto"/>
        </w:rPr>
      </w:pPr>
    </w:p>
    <w:p>
      <w:pPr>
        <w:ind w:left="60" w:right="119" w:firstLine="648"/>
        <w:spacing w:after="0" w:line="241" w:lineRule="auto"/>
        <w:rPr>
          <w:sz w:val="20"/>
          <w:szCs w:val="20"/>
          <w:color w:val="auto"/>
        </w:rPr>
      </w:pPr>
      <w:r>
        <w:rPr>
          <w:rFonts w:ascii="Times New Roman" w:cs="Times New Roman" w:eastAsia="Times New Roman" w:hAnsi="Times New Roman"/>
          <w:sz w:val="18"/>
          <w:szCs w:val="18"/>
          <w:color w:val="auto"/>
        </w:rPr>
        <w:t>Pursuant to the terms of the CStone agreement, CStone is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4" w:name="page145"/>
    <w:bookmarkEnd w:id="14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agreement, including license grants to enable each party to conduct research, development and commercialization activities pursuant to the terms of the CStone agreement.</w:t>
      </w:r>
    </w:p>
    <w:p>
      <w:pPr>
        <w:spacing w:after="0" w:line="162" w:lineRule="exact"/>
        <w:rPr>
          <w:sz w:val="20"/>
          <w:szCs w:val="20"/>
          <w:color w:val="auto"/>
        </w:rPr>
      </w:pPr>
    </w:p>
    <w:p>
      <w:pPr>
        <w:ind w:left="60" w:right="99" w:firstLine="648"/>
        <w:spacing w:after="0" w:line="236" w:lineRule="auto"/>
        <w:rPr>
          <w:sz w:val="20"/>
          <w:szCs w:val="20"/>
          <w:color w:val="auto"/>
        </w:rPr>
      </w:pPr>
      <w:r>
        <w:rPr>
          <w:rFonts w:ascii="Times New Roman" w:cs="Times New Roman" w:eastAsia="Times New Roman" w:hAnsi="Times New Roman"/>
          <w:sz w:val="18"/>
          <w:szCs w:val="18"/>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98" w:lineRule="exact"/>
        <w:rPr>
          <w:sz w:val="20"/>
          <w:szCs w:val="20"/>
          <w:color w:val="auto"/>
        </w:rPr>
      </w:pPr>
    </w:p>
    <w:p>
      <w:pPr>
        <w:ind w:left="60" w:right="119" w:firstLine="648"/>
        <w:spacing w:after="0" w:line="237" w:lineRule="auto"/>
        <w:rPr>
          <w:sz w:val="20"/>
          <w:szCs w:val="20"/>
          <w:color w:val="auto"/>
        </w:rPr>
      </w:pPr>
      <w:r>
        <w:rPr>
          <w:rFonts w:ascii="Times New Roman" w:cs="Times New Roman" w:eastAsia="Times New Roman" w:hAnsi="Times New Roman"/>
          <w:sz w:val="18"/>
          <w:szCs w:val="18"/>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91" w:lineRule="exact"/>
        <w:rPr>
          <w:sz w:val="20"/>
          <w:szCs w:val="20"/>
          <w:color w:val="auto"/>
        </w:rPr>
      </w:pPr>
    </w:p>
    <w:p>
      <w:pPr>
        <w:ind w:left="60" w:right="179" w:firstLine="648"/>
        <w:spacing w:after="0" w:line="296" w:lineRule="auto"/>
        <w:rPr>
          <w:sz w:val="20"/>
          <w:szCs w:val="20"/>
          <w:color w:val="auto"/>
        </w:rPr>
      </w:pPr>
      <w:r>
        <w:rPr>
          <w:rFonts w:ascii="Times New Roman" w:cs="Times New Roman" w:eastAsia="Times New Roman" w:hAnsi="Times New Roman"/>
          <w:sz w:val="17"/>
          <w:szCs w:val="17"/>
          <w:color w:val="auto"/>
        </w:rPr>
        <w:t>A summary of manufacturing and research and development services related to the global development activities net of cost sharing payments during the years ended December 31, 2020, 2019 and 2018 is as follows (in thousands):</w:t>
      </w:r>
    </w:p>
    <w:p>
      <w:pPr>
        <w:spacing w:after="0" w:line="146"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16510</wp:posOffset>
            </wp:positionV>
            <wp:extent cx="192024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9" w:lineRule="exact"/>
        <w:rPr>
          <w:sz w:val="20"/>
          <w:szCs w:val="20"/>
          <w:color w:val="auto"/>
        </w:rPr>
      </w:pPr>
    </w:p>
    <w:p>
      <w:pPr>
        <w:ind w:left="6220"/>
        <w:spacing w:after="0"/>
        <w:tabs>
          <w:tab w:leader="none" w:pos="7280" w:val="left"/>
          <w:tab w:leader="none" w:pos="8340" w:val="left"/>
        </w:tabs>
        <w:rPr>
          <w:sz w:val="20"/>
          <w:szCs w:val="20"/>
          <w:color w:val="auto"/>
        </w:rPr>
      </w:pPr>
      <w:r>
        <w:rPr>
          <w:rFonts w:ascii="Times New Roman" w:cs="Times New Roman" w:eastAsia="Times New Roman" w:hAnsi="Times New Roman"/>
          <w:sz w:val="14"/>
          <w:szCs w:val="14"/>
          <w:b w:val="1"/>
          <w:bCs w:val="1"/>
          <w:color w:val="auto"/>
        </w:rPr>
        <w:t>2020</w:t>
      </w:r>
      <w:r>
        <w:rPr>
          <w:sz w:val="20"/>
          <w:szCs w:val="20"/>
          <w:color w:val="auto"/>
        </w:rPr>
        <w:tab/>
      </w: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6985</wp:posOffset>
            </wp:positionV>
            <wp:extent cx="5648960" cy="2571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7">
                      <a:extLst>
                        <a:ext uri="{28A0092B-C50C-407E-A947-70E740481C1C}"/>
                      </a:extLst>
                    </a:blip>
                    <a:srcRect/>
                    <a:stretch>
                      <a:fillRect/>
                    </a:stretch>
                  </pic:blipFill>
                  <pic:spPr bwMode="auto">
                    <a:xfrm>
                      <a:off x="0" y="0"/>
                      <a:ext cx="5648960" cy="25717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195"/>
        </w:trPr>
        <w:tc>
          <w:tcPr>
            <w:tcW w:w="55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Manufacturing and research and development services related to global</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development activities net of cost sharing payments</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3,060</w:t>
            </w:r>
          </w:p>
        </w:tc>
        <w:tc>
          <w:tcPr>
            <w:tcW w:w="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bl>
    <w:p>
      <w:pPr>
        <w:spacing w:after="0" w:line="198"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participation on the JSC and JPTs, the regulatory responsibilities and the manufacturing technology and continuing know-how transfers are qualitatively and quantitatively immaterial in the context of the CStone agreement and therefore are excluded from</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5" w:name="page146"/>
    <w:bookmarkEnd w:id="14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299"/>
        <w:spacing w:after="0" w:line="266" w:lineRule="auto"/>
        <w:rPr>
          <w:sz w:val="20"/>
          <w:szCs w:val="20"/>
          <w:color w:val="auto"/>
        </w:rPr>
      </w:pPr>
      <w:r>
        <w:rPr>
          <w:rFonts w:ascii="Times New Roman" w:cs="Times New Roman" w:eastAsia="Times New Roman" w:hAnsi="Times New Roman"/>
          <w:sz w:val="18"/>
          <w:szCs w:val="18"/>
          <w:color w:val="auto"/>
        </w:rPr>
        <w:t>performance obligations. As such, the Company determined that these six material promises, described above, should be combined into one performance obligation for each of the three candidates.</w:t>
      </w:r>
    </w:p>
    <w:p>
      <w:pPr>
        <w:spacing w:after="0" w:line="162" w:lineRule="exact"/>
        <w:rPr>
          <w:sz w:val="20"/>
          <w:szCs w:val="20"/>
          <w:color w:val="auto"/>
        </w:rPr>
      </w:pPr>
    </w:p>
    <w:p>
      <w:pPr>
        <w:ind w:left="60" w:right="119" w:firstLine="648"/>
        <w:spacing w:after="0" w:line="242" w:lineRule="auto"/>
        <w:rPr>
          <w:sz w:val="20"/>
          <w:szCs w:val="20"/>
          <w:color w:val="auto"/>
        </w:rPr>
      </w:pPr>
      <w:r>
        <w:rPr>
          <w:rFonts w:ascii="Times New Roman" w:cs="Times New Roman" w:eastAsia="Times New Roman" w:hAnsi="Times New Roman"/>
          <w:sz w:val="18"/>
          <w:szCs w:val="18"/>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85" w:lineRule="exact"/>
        <w:rPr>
          <w:sz w:val="20"/>
          <w:szCs w:val="20"/>
          <w:color w:val="auto"/>
        </w:rPr>
      </w:pPr>
    </w:p>
    <w:p>
      <w:pPr>
        <w:jc w:val="both"/>
        <w:ind w:left="60" w:right="319" w:firstLine="648"/>
        <w:spacing w:after="0" w:line="250" w:lineRule="auto"/>
        <w:rPr>
          <w:sz w:val="20"/>
          <w:szCs w:val="20"/>
          <w:color w:val="auto"/>
        </w:rPr>
      </w:pPr>
      <w:r>
        <w:rPr>
          <w:rFonts w:ascii="Times New Roman" w:cs="Times New Roman" w:eastAsia="Times New Roman" w:hAnsi="Times New Roman"/>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77" w:lineRule="exact"/>
        <w:rPr>
          <w:sz w:val="20"/>
          <w:szCs w:val="20"/>
          <w:color w:val="auto"/>
        </w:rPr>
      </w:pPr>
    </w:p>
    <w:p>
      <w:pPr>
        <w:ind w:left="60" w:right="299" w:firstLine="648"/>
        <w:spacing w:after="0"/>
        <w:rPr>
          <w:sz w:val="20"/>
          <w:szCs w:val="20"/>
          <w:color w:val="auto"/>
        </w:rPr>
      </w:pPr>
      <w:r>
        <w:rPr>
          <w:rFonts w:ascii="Times New Roman" w:cs="Times New Roman" w:eastAsia="Times New Roman" w:hAnsi="Times New Roman"/>
          <w:sz w:val="18"/>
          <w:szCs w:val="18"/>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85" w:lineRule="exact"/>
        <w:rPr>
          <w:sz w:val="20"/>
          <w:szCs w:val="20"/>
          <w:color w:val="auto"/>
        </w:rPr>
      </w:pPr>
    </w:p>
    <w:p>
      <w:pPr>
        <w:ind w:left="60" w:right="99" w:firstLine="648"/>
        <w:spacing w:after="0" w:line="241" w:lineRule="auto"/>
        <w:rPr>
          <w:sz w:val="20"/>
          <w:szCs w:val="20"/>
          <w:color w:val="auto"/>
        </w:rPr>
      </w:pPr>
      <w:r>
        <w:rPr>
          <w:rFonts w:ascii="Times New Roman" w:cs="Times New Roman" w:eastAsia="Times New Roman" w:hAnsi="Times New Roman"/>
          <w:sz w:val="18"/>
          <w:szCs w:val="18"/>
          <w:color w:val="auto"/>
        </w:rPr>
        <w:t>During the years ended December 31, 2020 and 2019, cash consideration associated with achieved development milestones of $2.0 million and $12.0 million, respectively, were added to the estimated transaction price for the CStone agreement and recognized as revenue in such periods. The Company will continue to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84"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 summary of revenue recognized under the CStone agreement during the years ended December 31, 2020, 2019 and 2018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8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6"/>
                <w:szCs w:val="16"/>
                <w:color w:val="auto"/>
              </w:rPr>
            </w:pPr>
          </w:p>
        </w:tc>
      </w:tr>
      <w:tr>
        <w:trPr>
          <w:trHeight w:val="155"/>
        </w:trPr>
        <w:tc>
          <w:tcPr>
            <w:tcW w:w="58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4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License milestone revenue</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12,000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Manufacturing services related to CStone territory-specific activities</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58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CStone collaboration revenue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3,630</w:t>
            </w:r>
          </w:p>
        </w:tc>
        <w:tc>
          <w:tcPr>
            <w:tcW w:w="1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12,144</w:t>
            </w:r>
          </w:p>
        </w:tc>
        <w:tc>
          <w:tcPr>
            <w:tcW w:w="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40,000</w:t>
            </w:r>
          </w:p>
        </w:tc>
      </w:tr>
      <w:tr>
        <w:trPr>
          <w:trHeight w:val="20"/>
        </w:trPr>
        <w:tc>
          <w:tcPr>
            <w:tcW w:w="5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receivables including the contract assets associated with the CStone agreement as of December 31, 2020 and 2019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660" w:type="dxa"/>
            <w:vAlign w:val="bottom"/>
          </w:tcPr>
          <w:p>
            <w:pPr>
              <w:spacing w:after="0"/>
              <w:rPr>
                <w:sz w:val="16"/>
                <w:szCs w:val="16"/>
                <w:color w:val="auto"/>
              </w:rPr>
            </w:pPr>
          </w:p>
        </w:tc>
        <w:tc>
          <w:tcPr>
            <w:tcW w:w="2240" w:type="dxa"/>
            <w:vAlign w:val="bottom"/>
            <w:tcBorders>
              <w:bottom w:val="single" w:sz="8" w:color="auto"/>
            </w:tcBorders>
            <w:gridSpan w:val="5"/>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209"/>
        </w:trPr>
        <w:tc>
          <w:tcPr>
            <w:tcW w:w="66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2019</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6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68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w:t>
            </w:r>
          </w:p>
        </w:tc>
      </w:tr>
    </w:tbl>
    <w:p>
      <w:pPr>
        <w:spacing w:after="0" w:line="171"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2020, the Company had $6.5 million of deferred revenue as a contract liability associated with the CStone collaboration. This contract liability resulted from advance payments made by CStone in connection with commercial supply of avapritinib and pralsetinib for the CStone territory. There was no revenue deferred as a contract liability at December 31, 2019.</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Roche – Immunotherapy Collaboration</w:t>
      </w:r>
    </w:p>
    <w:p>
      <w:pPr>
        <w:spacing w:after="0" w:line="216" w:lineRule="exact"/>
        <w:rPr>
          <w:sz w:val="20"/>
          <w:szCs w:val="20"/>
          <w:color w:val="auto"/>
        </w:rPr>
      </w:pPr>
    </w:p>
    <w:p>
      <w:pPr>
        <w:ind w:left="60" w:right="279" w:firstLine="648"/>
        <w:spacing w:after="0" w:line="272" w:lineRule="auto"/>
        <w:rPr>
          <w:sz w:val="20"/>
          <w:szCs w:val="20"/>
          <w:color w:val="auto"/>
        </w:rPr>
      </w:pPr>
      <w:r>
        <w:rPr>
          <w:rFonts w:ascii="Times New Roman" w:cs="Times New Roman" w:eastAsia="Times New Roman" w:hAnsi="Times New Roman"/>
          <w:sz w:val="17"/>
          <w:szCs w:val="17"/>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6" w:name="page147"/>
    <w:bookmarkEnd w:id="14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in cancer immunotherapy (including the kinase target MAP4K1, which is believed to play a role in T cell regulation), as single products or possibly in combination with other therapeutics.</w:t>
      </w:r>
    </w:p>
    <w:p>
      <w:pPr>
        <w:spacing w:after="0" w:line="162"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the fourth quarter of 2019 and subsequently in the first quarter of 2021,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 and Roche will receive commercialization rights outside of the U.S. for the licensed product. The Company will also retain worldwide rights to any products for which Roche elects not to exercise its applicable option.</w:t>
      </w:r>
    </w:p>
    <w:p>
      <w:pPr>
        <w:spacing w:after="0" w:line="188" w:lineRule="exact"/>
        <w:rPr>
          <w:sz w:val="20"/>
          <w:szCs w:val="20"/>
          <w:color w:val="auto"/>
        </w:rPr>
      </w:pPr>
    </w:p>
    <w:p>
      <w:pPr>
        <w:ind w:left="60" w:right="119" w:firstLine="648"/>
        <w:spacing w:after="0" w:line="239" w:lineRule="auto"/>
        <w:rPr>
          <w:sz w:val="20"/>
          <w:szCs w:val="20"/>
          <w:color w:val="auto"/>
        </w:rPr>
      </w:pPr>
      <w:r>
        <w:rPr>
          <w:rFonts w:ascii="Times New Roman" w:cs="Times New Roman" w:eastAsia="Times New Roman" w:hAnsi="Times New Roman"/>
          <w:sz w:val="18"/>
          <w:szCs w:val="18"/>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87" w:lineRule="exact"/>
        <w:rPr>
          <w:sz w:val="20"/>
          <w:szCs w:val="20"/>
          <w:color w:val="auto"/>
        </w:rPr>
      </w:pPr>
    </w:p>
    <w:p>
      <w:pPr>
        <w:ind w:left="60" w:right="79" w:firstLine="648"/>
        <w:spacing w:after="0" w:line="237" w:lineRule="auto"/>
        <w:rPr>
          <w:sz w:val="20"/>
          <w:szCs w:val="20"/>
          <w:color w:val="auto"/>
        </w:rPr>
      </w:pPr>
      <w:r>
        <w:rPr>
          <w:rFonts w:ascii="Times New Roman" w:cs="Times New Roman" w:eastAsia="Times New Roman" w:hAnsi="Times New Roman"/>
          <w:sz w:val="18"/>
          <w:szCs w:val="18"/>
          <w:color w:val="auto"/>
        </w:rPr>
        <w:t>The Company received an upfront cash payment of $45.0 million in March 2016 upon execution of the Roche immunotherapy agreement, and through December 31, 2020, the Company has achieved $19.5 million in milestone payments under this collaboration. Subject to the terms of the Roche immunotherapy agreement, as amended, in addition to upfront and milestone payments received through December 31, 2020, the Company is eligible to receive up to approximately $323.3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93" w:lineRule="exact"/>
        <w:rPr>
          <w:sz w:val="20"/>
          <w:szCs w:val="20"/>
          <w:color w:val="auto"/>
        </w:rPr>
      </w:pPr>
    </w:p>
    <w:p>
      <w:pPr>
        <w:ind w:left="60" w:right="79" w:firstLine="648"/>
        <w:spacing w:after="0" w:line="238" w:lineRule="auto"/>
        <w:rPr>
          <w:sz w:val="20"/>
          <w:szCs w:val="20"/>
          <w:color w:val="auto"/>
        </w:rPr>
      </w:pPr>
      <w:r>
        <w:rPr>
          <w:rFonts w:ascii="Times New Roman" w:cs="Times New Roman" w:eastAsia="Times New Roman" w:hAnsi="Times New Roman"/>
          <w:sz w:val="18"/>
          <w:szCs w:val="18"/>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86" w:lineRule="exact"/>
        <w:rPr>
          <w:sz w:val="20"/>
          <w:szCs w:val="20"/>
          <w:color w:val="auto"/>
        </w:rPr>
      </w:pPr>
    </w:p>
    <w:p>
      <w:pPr>
        <w:ind w:left="60" w:right="179" w:firstLine="648"/>
        <w:spacing w:after="0" w:line="253" w:lineRule="auto"/>
        <w:rPr>
          <w:sz w:val="20"/>
          <w:szCs w:val="20"/>
          <w:color w:val="auto"/>
        </w:rPr>
      </w:pPr>
      <w:r>
        <w:rPr>
          <w:rFonts w:ascii="Times New Roman" w:cs="Times New Roman" w:eastAsia="Times New Roman" w:hAnsi="Times New Roman"/>
          <w:sz w:val="17"/>
          <w:szCs w:val="17"/>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2" w:lineRule="exact"/>
        <w:rPr>
          <w:sz w:val="20"/>
          <w:szCs w:val="20"/>
          <w:color w:val="auto"/>
        </w:rPr>
      </w:pPr>
    </w:p>
    <w:p>
      <w:pPr>
        <w:jc w:val="both"/>
        <w:ind w:left="60" w:right="59" w:hanging="10"/>
        <w:spacing w:after="0" w:line="238" w:lineRule="auto"/>
        <w:tabs>
          <w:tab w:leader="none" w:pos="31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7" w:name="page148"/>
    <w:bookmarkEnd w:id="147"/>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42" w:lineRule="auto"/>
        <w:rPr>
          <w:sz w:val="20"/>
          <w:szCs w:val="20"/>
          <w:color w:val="auto"/>
        </w:rPr>
      </w:pPr>
      <w:r>
        <w:rPr>
          <w:rFonts w:ascii="Times New Roman" w:cs="Times New Roman" w:eastAsia="Times New Roman" w:hAnsi="Times New Roman"/>
          <w:sz w:val="18"/>
          <w:szCs w:val="18"/>
          <w:color w:val="auto"/>
        </w:rPr>
        <w:t>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85" w:lineRule="exact"/>
        <w:rPr>
          <w:sz w:val="20"/>
          <w:szCs w:val="20"/>
          <w:color w:val="auto"/>
        </w:rPr>
      </w:pPr>
    </w:p>
    <w:p>
      <w:pPr>
        <w:ind w:left="60" w:right="379" w:firstLine="648"/>
        <w:spacing w:after="0" w:line="245" w:lineRule="auto"/>
        <w:rPr>
          <w:sz w:val="20"/>
          <w:szCs w:val="20"/>
          <w:color w:val="auto"/>
        </w:rPr>
      </w:pPr>
      <w:r>
        <w:rPr>
          <w:rFonts w:ascii="Times New Roman" w:cs="Times New Roman" w:eastAsia="Times New Roman" w:hAnsi="Times New Roman"/>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81" w:lineRule="exact"/>
        <w:rPr>
          <w:sz w:val="20"/>
          <w:szCs w:val="20"/>
          <w:color w:val="auto"/>
        </w:rPr>
      </w:pPr>
    </w:p>
    <w:p>
      <w:pPr>
        <w:ind w:left="60" w:right="339" w:firstLine="648"/>
        <w:spacing w:after="0" w:line="250" w:lineRule="auto"/>
        <w:rPr>
          <w:sz w:val="20"/>
          <w:szCs w:val="20"/>
          <w:color w:val="auto"/>
        </w:rPr>
      </w:pPr>
      <w:r>
        <w:rPr>
          <w:rFonts w:ascii="Times New Roman" w:cs="Times New Roman" w:eastAsia="Times New Roman" w:hAnsi="Times New Roman"/>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77" w:lineRule="exact"/>
        <w:rPr>
          <w:sz w:val="20"/>
          <w:szCs w:val="20"/>
          <w:color w:val="auto"/>
        </w:rPr>
      </w:pPr>
    </w:p>
    <w:p>
      <w:pPr>
        <w:ind w:left="60" w:right="139" w:firstLine="648"/>
        <w:spacing w:after="0" w:line="238" w:lineRule="auto"/>
        <w:rPr>
          <w:sz w:val="20"/>
          <w:szCs w:val="20"/>
          <w:color w:val="auto"/>
        </w:rPr>
      </w:pPr>
      <w:r>
        <w:rPr>
          <w:rFonts w:ascii="Times New Roman" w:cs="Times New Roman" w:eastAsia="Times New Roman" w:hAnsi="Times New Roman"/>
          <w:sz w:val="18"/>
          <w:szCs w:val="18"/>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91" w:lineRule="exact"/>
        <w:rPr>
          <w:sz w:val="20"/>
          <w:szCs w:val="20"/>
          <w:color w:val="auto"/>
        </w:rPr>
      </w:pPr>
    </w:p>
    <w:p>
      <w:pPr>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Through December 31, 2020, the Company has achieved $19.5 million in milestone payments under this collaboration, and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81" w:lineRule="exact"/>
        <w:rPr>
          <w:sz w:val="20"/>
          <w:szCs w:val="20"/>
          <w:color w:val="auto"/>
        </w:rPr>
      </w:pPr>
    </w:p>
    <w:p>
      <w:pPr>
        <w:ind w:left="60" w:right="99" w:firstLine="648"/>
        <w:spacing w:after="0"/>
        <w:rPr>
          <w:sz w:val="20"/>
          <w:szCs w:val="20"/>
          <w:color w:val="auto"/>
        </w:rPr>
      </w:pPr>
      <w:r>
        <w:rPr>
          <w:rFonts w:ascii="Times New Roman" w:cs="Times New Roman" w:eastAsia="Times New Roman" w:hAnsi="Times New Roman"/>
          <w:sz w:val="18"/>
          <w:szCs w:val="18"/>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25" w:lineRule="exact"/>
        <w:rPr>
          <w:sz w:val="20"/>
          <w:szCs w:val="20"/>
          <w:color w:val="auto"/>
        </w:rPr>
      </w:pPr>
    </w:p>
    <w:p>
      <w:pPr>
        <w:ind w:left="60" w:right="159" w:firstLine="648"/>
        <w:spacing w:after="0" w:line="245" w:lineRule="auto"/>
        <w:rPr>
          <w:sz w:val="20"/>
          <w:szCs w:val="20"/>
          <w:color w:val="auto"/>
        </w:rPr>
      </w:pPr>
      <w:r>
        <w:rPr>
          <w:rFonts w:ascii="Times New Roman" w:cs="Times New Roman" w:eastAsia="Times New Roman" w:hAnsi="Times New Roman"/>
          <w:sz w:val="18"/>
          <w:szCs w:val="18"/>
          <w:color w:val="auto"/>
        </w:rPr>
        <w:t xml:space="preserve">During the year ended December 31, 2020, a reduction in the costs expected to be incurred in the future to satisfy the performance obligation under the collaboration became probable. Accordingly, the Company recorded a cumulative revenue catch-up of $7.9 million during the year ended December 31, 2020. For additional information, see Note 18,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revenue recognized under the Roche immunotherapy agreement during the years ended</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2020, 2019 and 2018 is as follows (in thousands):</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6"/>
                <w:szCs w:val="16"/>
                <w:color w:val="auto"/>
              </w:rPr>
            </w:pPr>
          </w:p>
        </w:tc>
      </w:tr>
      <w:tr>
        <w:trPr>
          <w:trHeight w:val="155"/>
        </w:trPr>
        <w:tc>
          <w:tcPr>
            <w:tcW w:w="56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56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Roche collaboration research and development services revenue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14,580</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8,165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4,521</w:t>
            </w:r>
          </w:p>
        </w:tc>
      </w:tr>
    </w:tbl>
    <w:p>
      <w:pPr>
        <w:spacing w:after="0" w:line="23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2020, 2019 and 2018, the Company recognized the following revenue due to the changes in the contract liability balances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56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3"/>
                <w:szCs w:val="13"/>
                <w:color w:val="auto"/>
              </w:rPr>
            </w:pPr>
          </w:p>
        </w:tc>
      </w:tr>
      <w:tr>
        <w:trPr>
          <w:trHeight w:val="196"/>
        </w:trPr>
        <w:tc>
          <w:tcPr>
            <w:tcW w:w="5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included in the contract liability at the beginning of the period</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11,546</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4,578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4,277</w:t>
            </w:r>
          </w:p>
        </w:tc>
        <w:tc>
          <w:tcPr>
            <w:tcW w:w="20" w:type="dxa"/>
            <w:vAlign w:val="bottom"/>
          </w:tcPr>
          <w:p>
            <w:pPr>
              <w:spacing w:after="0"/>
              <w:rPr>
                <w:sz w:val="17"/>
                <w:szCs w:val="17"/>
                <w:color w:val="auto"/>
              </w:rPr>
            </w:pPr>
          </w:p>
        </w:tc>
      </w:tr>
      <w:tr>
        <w:trPr>
          <w:trHeight w:val="499"/>
        </w:trPr>
        <w:tc>
          <w:tcPr>
            <w:tcW w:w="560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F-30</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5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48" w:name="page149"/>
    <w:bookmarkEnd w:id="148"/>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79" w:firstLine="648"/>
        <w:spacing w:after="0" w:line="242" w:lineRule="auto"/>
        <w:rPr>
          <w:sz w:val="20"/>
          <w:szCs w:val="20"/>
          <w:color w:val="auto"/>
        </w:rPr>
      </w:pPr>
      <w:r>
        <w:rPr>
          <w:rFonts w:ascii="Times New Roman" w:cs="Times New Roman" w:eastAsia="Times New Roman" w:hAnsi="Times New Roman"/>
          <w:sz w:val="18"/>
          <w:szCs w:val="18"/>
          <w:color w:val="auto"/>
        </w:rPr>
        <w:t>As of December 31, 2020, the Company had revenue deferred as a contract liability related to the Roche immunotherapy agreement of $34.7 million, of which $6.1 million was included in current liabilities, and the research and development services related to the performance obligation are expected to be performed over a remaining period of approximately 4.25 years. As of December 31, 2019, the Company had revenue deferred as a contract liability related to the Roche immunotherapy agreement of $46.1 million, of which $6.2 million was included in current liabilities.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Stockholder’s Equity</w:t>
      </w:r>
    </w:p>
    <w:p>
      <w:pPr>
        <w:spacing w:after="0" w:line="216" w:lineRule="exact"/>
        <w:rPr>
          <w:sz w:val="20"/>
          <w:szCs w:val="20"/>
          <w:color w:val="auto"/>
        </w:rPr>
      </w:pPr>
    </w:p>
    <w:p>
      <w:pPr>
        <w:ind w:left="60" w:right="119" w:firstLine="648"/>
        <w:spacing w:after="0" w:line="250" w:lineRule="auto"/>
        <w:rPr>
          <w:sz w:val="20"/>
          <w:szCs w:val="20"/>
          <w:color w:val="auto"/>
        </w:rPr>
      </w:pPr>
      <w:r>
        <w:rPr>
          <w:rFonts w:ascii="Times New Roman" w:cs="Times New Roman" w:eastAsia="Times New Roman" w:hAnsi="Times New Roman"/>
          <w:sz w:val="18"/>
          <w:szCs w:val="18"/>
          <w:color w:val="auto"/>
        </w:rPr>
        <w:t>On January 27, 2020, the Company closed a follow-on public offering of 4,710,144 shares of its common stock at a price to the public of $69.00 per share and received net proceeds of $308.4 million, after deducting underwriting discounts and commissions and offering expenses paid by the Company.</w:t>
      </w:r>
    </w:p>
    <w:p>
      <w:pPr>
        <w:spacing w:after="0" w:line="177" w:lineRule="exact"/>
        <w:rPr>
          <w:sz w:val="20"/>
          <w:szCs w:val="20"/>
          <w:color w:val="auto"/>
        </w:rPr>
      </w:pPr>
    </w:p>
    <w:p>
      <w:pPr>
        <w:jc w:val="both"/>
        <w:ind w:left="60" w:right="179" w:firstLine="648"/>
        <w:spacing w:after="0" w:line="245" w:lineRule="auto"/>
        <w:rPr>
          <w:sz w:val="20"/>
          <w:szCs w:val="20"/>
          <w:color w:val="auto"/>
        </w:rPr>
      </w:pPr>
      <w:r>
        <w:rPr>
          <w:rFonts w:ascii="Times New Roman" w:cs="Times New Roman" w:eastAsia="Times New Roman" w:hAnsi="Times New Roman"/>
          <w:sz w:val="18"/>
          <w:szCs w:val="18"/>
          <w:color w:val="auto"/>
        </w:rPr>
        <w:t>On July 30, 2020, the Company entered into the ATM Facility with Cowen, pursuant to which the Company may offer and sell, from time to time at its sole discretion, shares of its common stock having an aggregate offering price of up to $250.0 million through Cowen as sales agent. During the year ended December 31, 2020, the Company issued and sold 1,784,926 shares of its common stock under the ATM Facility and received net proceeds of $194.7 million.</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216" w:lineRule="exact"/>
        <w:rPr>
          <w:sz w:val="20"/>
          <w:szCs w:val="20"/>
          <w:color w:val="auto"/>
        </w:rPr>
      </w:pPr>
    </w:p>
    <w:p>
      <w:pPr>
        <w:ind w:left="60" w:right="59" w:firstLine="648"/>
        <w:spacing w:after="0" w:line="237"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performance-based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years beginning January 1, 2020 and 2021, the number of shares reserved for issuance under the 2015 Plan was increased by 1,970,888 and 2,311,741 shares, respectively. In addition, the total number of shares reserved for issuance is subject to adjustment in the event of a stock split, stock dividend or other change in the Company’s capitalization. At December 31, 2020, there were 1,703,849 shares available for future grant under the 2015 Plan.</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totaling $75.5 million, $54.7 million and $30.5 million for the year ended December 31, 2020, 2019 and 2018, respectively.</w:t>
      </w:r>
    </w:p>
    <w:p>
      <w:pPr>
        <w:spacing w:after="0" w:line="162"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by award type included within the consolidated statements of operations and comprehensive income (loss) was as follows (in thousands):</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57,237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costs</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(1,076)</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1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 included in total cost and operating expenses</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75,526</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54,653</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ind w:left="4280"/>
              <w:spacing w:after="0"/>
              <w:rPr>
                <w:sz w:val="20"/>
                <w:szCs w:val="20"/>
                <w:color w:val="auto"/>
              </w:rPr>
            </w:pPr>
            <w:r>
              <w:rPr>
                <w:rFonts w:ascii="Times New Roman" w:cs="Times New Roman" w:eastAsia="Times New Roman" w:hAnsi="Times New Roman"/>
                <w:sz w:val="18"/>
                <w:szCs w:val="18"/>
                <w:color w:val="auto"/>
              </w:rPr>
              <w:t>F-31</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6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9" w:name="page150"/>
    <w:bookmarkEnd w:id="149"/>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3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by classification within the consolidated statements of operations and comprehensive income (loss) is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5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59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0" w:type="dxa"/>
            <w:vAlign w:val="bottom"/>
            <w:tcBorders>
              <w:bottom w:val="single" w:sz="8" w:color="CCEEFF"/>
            </w:tcBorders>
          </w:tcPr>
          <w:p>
            <w:pPr>
              <w:spacing w:after="0"/>
              <w:rPr>
                <w:sz w:val="13"/>
                <w:szCs w:val="13"/>
                <w:color w:val="auto"/>
              </w:rPr>
            </w:pPr>
          </w:p>
        </w:tc>
      </w:tr>
      <w:tr>
        <w:trPr>
          <w:trHeight w:val="196"/>
        </w:trPr>
        <w:tc>
          <w:tcPr>
            <w:tcW w:w="59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33,642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28,596</w:t>
            </w: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17,019</w:t>
            </w:r>
          </w:p>
        </w:tc>
        <w:tc>
          <w:tcPr>
            <w:tcW w:w="40" w:type="dxa"/>
            <w:vAlign w:val="bottom"/>
            <w:shd w:val="clear" w:color="auto" w:fill="CCEEFF"/>
          </w:tcPr>
          <w:p>
            <w:pPr>
              <w:spacing w:after="0"/>
              <w:rPr>
                <w:sz w:val="17"/>
                <w:szCs w:val="17"/>
                <w:color w:val="auto"/>
              </w:rPr>
            </w:pPr>
          </w:p>
        </w:tc>
      </w:tr>
      <w:tr>
        <w:trPr>
          <w:trHeight w:val="203"/>
        </w:trPr>
        <w:tc>
          <w:tcPr>
            <w:tcW w:w="598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41,884</w:t>
            </w: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26,057</w:t>
            </w:r>
          </w:p>
        </w:tc>
        <w:tc>
          <w:tcPr>
            <w:tcW w:w="2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13,515</w:t>
            </w:r>
          </w:p>
        </w:tc>
        <w:tc>
          <w:tcPr>
            <w:tcW w:w="40" w:type="dxa"/>
            <w:vAlign w:val="bottom"/>
            <w:tcBorders>
              <w:bottom w:val="single" w:sz="8" w:color="CCEEFF"/>
            </w:tcBorders>
          </w:tcPr>
          <w:p>
            <w:pPr>
              <w:spacing w:after="0"/>
              <w:rPr>
                <w:sz w:val="17"/>
                <w:szCs w:val="17"/>
                <w:color w:val="auto"/>
              </w:rPr>
            </w:pPr>
          </w:p>
        </w:tc>
      </w:tr>
      <w:tr>
        <w:trPr>
          <w:trHeight w:val="196"/>
        </w:trPr>
        <w:tc>
          <w:tcPr>
            <w:tcW w:w="59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stock-based compensation expense</w:t>
            </w: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75,526</w:t>
            </w:r>
          </w:p>
        </w:tc>
        <w:tc>
          <w:tcPr>
            <w:tcW w:w="2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54,653</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30,534</w:t>
            </w:r>
          </w:p>
        </w:tc>
        <w:tc>
          <w:tcPr>
            <w:tcW w:w="40" w:type="dxa"/>
            <w:vAlign w:val="bottom"/>
            <w:tcBorders>
              <w:bottom w:val="single" w:sz="8" w:color="CCEEFF"/>
            </w:tcBorders>
            <w:shd w:val="clear" w:color="auto" w:fill="CCEEFF"/>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there was $173.7 million of total unrecognized compensation cost related to non-vested stock awards, which is expected to be recognized over a weighted-average period of 2.7 years.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16"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100" w:type="dxa"/>
            <w:vAlign w:val="bottom"/>
          </w:tcPr>
          <w:p>
            <w:pPr>
              <w:spacing w:after="0"/>
              <w:rPr>
                <w:sz w:val="16"/>
                <w:szCs w:val="16"/>
                <w:color w:val="auto"/>
              </w:rPr>
            </w:pPr>
          </w:p>
        </w:tc>
        <w:tc>
          <w:tcPr>
            <w:tcW w:w="210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56"/>
        </w:trPr>
        <w:tc>
          <w:tcPr>
            <w:tcW w:w="610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Borders>
              <w:bottom w:val="single" w:sz="8" w:color="CCEEFF"/>
            </w:tcBorders>
          </w:tcPr>
          <w:p>
            <w:pPr>
              <w:spacing w:after="0"/>
              <w:rPr>
                <w:sz w:val="13"/>
                <w:szCs w:val="13"/>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Risk-free interest rate</w:t>
            </w: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r>
      <w:tr>
        <w:trPr>
          <w:trHeight w:val="203"/>
        </w:trPr>
        <w:tc>
          <w:tcPr>
            <w:tcW w:w="61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180" w:type="dxa"/>
            <w:vAlign w:val="bottom"/>
            <w:gridSpan w:val="3"/>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203"/>
        </w:trPr>
        <w:tc>
          <w:tcPr>
            <w:tcW w:w="6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Expected term (years)</w:t>
            </w: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spacing w:after="0"/>
              <w:rPr>
                <w:sz w:val="17"/>
                <w:szCs w:val="17"/>
                <w:color w:val="auto"/>
              </w:rPr>
            </w:pPr>
          </w:p>
        </w:tc>
      </w:tr>
      <w:tr>
        <w:trPr>
          <w:trHeight w:val="234"/>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69.08 %</w:t>
            </w:r>
          </w:p>
        </w:tc>
      </w:tr>
    </w:tbl>
    <w:p>
      <w:pPr>
        <w:spacing w:after="0" w:line="34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year ended December 31, 2020:</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9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December 31, 2019</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5,795,710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58.82</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7.69</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134,409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w:t>
            </w: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gridSpan w:val="2"/>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Exercised</w:t>
            </w:r>
          </w:p>
        </w:tc>
        <w:tc>
          <w:tcPr>
            <w:tcW w:w="8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(842,649)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39.50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20" w:type="dxa"/>
            <w:vAlign w:val="bottom"/>
            <w:tcBorders>
              <w:bottom w:val="single" w:sz="8" w:color="CCEEFF"/>
            </w:tcBorders>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Canceled</w:t>
            </w:r>
          </w:p>
        </w:tc>
        <w:tc>
          <w:tcPr>
            <w:tcW w:w="8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(424,823)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75.44</w:t>
            </w:r>
          </w:p>
        </w:tc>
        <w:tc>
          <w:tcPr>
            <w:tcW w:w="14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December 31, 2020</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6,030,641</w:t>
            </w:r>
          </w:p>
        </w:tc>
        <w:tc>
          <w:tcPr>
            <w:tcW w:w="28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61.28</w:t>
            </w:r>
          </w:p>
        </w:tc>
        <w:tc>
          <w:tcPr>
            <w:tcW w:w="90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7.41</w:t>
            </w:r>
          </w:p>
        </w:tc>
        <w:tc>
          <w:tcPr>
            <w:tcW w:w="2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306,810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2020</w:t>
            </w: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192,611</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gridSpan w:val="3"/>
            <w:vMerge w:val="continue"/>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8"/>
                <w:szCs w:val="18"/>
                <w:color w:val="auto"/>
              </w:rPr>
              <w:t>3,181,167</w:t>
            </w:r>
          </w:p>
        </w:tc>
        <w:tc>
          <w:tcPr>
            <w:tcW w:w="280" w:type="dxa"/>
            <w:vAlign w:val="bottom"/>
            <w:gridSpan w:val="2"/>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700" w:right="99" w:hanging="650"/>
        <w:spacing w:after="0" w:line="280" w:lineRule="auto"/>
        <w:tabs>
          <w:tab w:leader="none" w:pos="700"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Intrinsic value represents the amount by which the fair market value as of December 31, 2020 of the underlying common stock exceeds the exercise price of the option.</w:t>
      </w:r>
    </w:p>
    <w:p>
      <w:pPr>
        <w:spacing w:after="0" w:line="160" w:lineRule="exact"/>
        <w:rPr>
          <w:sz w:val="20"/>
          <w:szCs w:val="20"/>
          <w:color w:val="auto"/>
        </w:rPr>
      </w:pPr>
    </w:p>
    <w:p>
      <w:pPr>
        <w:ind w:left="60" w:right="319" w:firstLine="648"/>
        <w:spacing w:after="0" w:line="250"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in the years ended December 31, 2020, 2019 and 2018 was $34.77, $48.96 and $49.40, respectively. The total intrinsic value of options exercised in the years ended December 31, 2020, 2019, and 2018 was $43.3 million, $33.8 million, and $29.4 million, respectively.</w:t>
      </w:r>
    </w:p>
    <w:p>
      <w:pPr>
        <w:spacing w:after="0" w:line="177"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At December 31, 2020, the total unrecognized compensation expense related to unvested stock option awards was $112.4 million, which is expected to be recognized over a weighted-average period of approximately 2.5 years.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364" w:lineRule="exact"/>
        <w:rPr>
          <w:sz w:val="20"/>
          <w:szCs w:val="20"/>
          <w:color w:val="auto"/>
        </w:rPr>
      </w:pPr>
    </w:p>
    <w:p>
      <w:pPr>
        <w:ind w:left="60" w:right="719" w:firstLine="648"/>
        <w:spacing w:after="0" w:line="266" w:lineRule="auto"/>
        <w:rPr>
          <w:sz w:val="20"/>
          <w:szCs w:val="20"/>
          <w:color w:val="auto"/>
        </w:rPr>
      </w:pPr>
      <w:r>
        <w:rPr>
          <w:rFonts w:ascii="Times New Roman" w:cs="Times New Roman" w:eastAsia="Times New Roman" w:hAnsi="Times New Roman"/>
          <w:sz w:val="18"/>
          <w:szCs w:val="18"/>
          <w:color w:val="auto"/>
        </w:rPr>
        <w:t>Restricted stock units granted by the Company generally vest ratably over four years. The following table summarizes the restricted stock units activity for the years ended December 31, 2020:</w:t>
      </w:r>
    </w:p>
    <w:p>
      <w:pPr>
        <w:spacing w:after="0" w:line="12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6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87"/>
        </w:trPr>
        <w:tc>
          <w:tcPr>
            <w:tcW w:w="62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Unvested shares at December 31, 2019</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419,755</w:t>
            </w:r>
          </w:p>
        </w:tc>
        <w:tc>
          <w:tcPr>
            <w:tcW w:w="3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62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961,283</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60.01</w:t>
            </w:r>
          </w:p>
        </w:tc>
        <w:tc>
          <w:tcPr>
            <w:tcW w:w="100" w:type="dxa"/>
            <w:vAlign w:val="bottom"/>
          </w:tcPr>
          <w:p>
            <w:pPr>
              <w:spacing w:after="0"/>
              <w:rPr>
                <w:sz w:val="17"/>
                <w:szCs w:val="17"/>
                <w:color w:val="auto"/>
              </w:rPr>
            </w:pPr>
          </w:p>
        </w:tc>
      </w:tr>
      <w:tr>
        <w:trPr>
          <w:trHeight w:val="203"/>
        </w:trPr>
        <w:tc>
          <w:tcPr>
            <w:tcW w:w="628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8"/>
                <w:szCs w:val="18"/>
                <w:color w:val="auto"/>
              </w:rPr>
              <w:t>Vested</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(109,556)</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83.64</w:t>
            </w:r>
          </w:p>
        </w:tc>
        <w:tc>
          <w:tcPr>
            <w:tcW w:w="100" w:type="dxa"/>
            <w:vAlign w:val="bottom"/>
            <w:shd w:val="clear" w:color="auto" w:fill="CCEEFF"/>
          </w:tcPr>
          <w:p>
            <w:pPr>
              <w:spacing w:after="0"/>
              <w:rPr>
                <w:sz w:val="17"/>
                <w:szCs w:val="17"/>
                <w:color w:val="auto"/>
              </w:rPr>
            </w:pPr>
          </w:p>
        </w:tc>
      </w:tr>
      <w:tr>
        <w:trPr>
          <w:trHeight w:val="203"/>
        </w:trPr>
        <w:tc>
          <w:tcPr>
            <w:tcW w:w="6280" w:type="dxa"/>
            <w:vAlign w:val="bottom"/>
            <w:tcBorders>
              <w:bottom w:val="single" w:sz="8" w:color="CCEEFF"/>
            </w:tcBorders>
          </w:tcPr>
          <w:p>
            <w:pPr>
              <w:ind w:left="220"/>
              <w:spacing w:after="0" w:line="202" w:lineRule="exact"/>
              <w:rPr>
                <w:sz w:val="20"/>
                <w:szCs w:val="20"/>
                <w:color w:val="auto"/>
              </w:rPr>
            </w:pPr>
            <w:r>
              <w:rPr>
                <w:rFonts w:ascii="Times New Roman" w:cs="Times New Roman" w:eastAsia="Times New Roman" w:hAnsi="Times New Roman"/>
                <w:sz w:val="18"/>
                <w:szCs w:val="18"/>
                <w:color w:val="auto"/>
              </w:rPr>
              <w:t>Forfeited</w:t>
            </w: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(99,796)</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65.72</w:t>
            </w:r>
          </w:p>
        </w:tc>
        <w:tc>
          <w:tcPr>
            <w:tcW w:w="100" w:type="dxa"/>
            <w:vAlign w:val="bottom"/>
            <w:tcBorders>
              <w:bottom w:val="single" w:sz="8" w:color="CCEEFF"/>
            </w:tcBorders>
          </w:tcPr>
          <w:p>
            <w:pPr>
              <w:spacing w:after="0"/>
              <w:rPr>
                <w:sz w:val="17"/>
                <w:szCs w:val="17"/>
                <w:color w:val="auto"/>
              </w:rPr>
            </w:pPr>
          </w:p>
        </w:tc>
      </w:tr>
      <w:tr>
        <w:trPr>
          <w:trHeight w:val="196"/>
        </w:trPr>
        <w:tc>
          <w:tcPr>
            <w:tcW w:w="62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Unvested shares at December 31, 2020</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1,171,686</w:t>
            </w:r>
          </w:p>
        </w:tc>
        <w:tc>
          <w:tcPr>
            <w:tcW w:w="3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65.37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6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279" w:firstLine="648"/>
        <w:spacing w:after="0" w:line="242" w:lineRule="auto"/>
        <w:rPr>
          <w:sz w:val="20"/>
          <w:szCs w:val="20"/>
          <w:color w:val="auto"/>
        </w:rPr>
      </w:pPr>
      <w:r>
        <w:rPr>
          <w:rFonts w:ascii="Times New Roman" w:cs="Times New Roman" w:eastAsia="Times New Roman" w:hAnsi="Times New Roman"/>
          <w:sz w:val="18"/>
          <w:szCs w:val="18"/>
          <w:color w:val="auto"/>
        </w:rPr>
        <w:t>The Company started to grant restricted stock units to employees in June 2018. The total fair value of restricted stock units vested during the years ended December 31, 2020 and 2019 was $7.4 million and $0.7 million, respectively. There were no restricted stock units vested during the year ended December 31, 2018. At December 31, 2020, the total unrecognized compensation expense related to unvested restricted stock units was $61.3 million, which is expected to be recognized over a weighted-average period of approximately 3.0 years.</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2020 Inducement Plan</w:t>
      </w:r>
    </w:p>
    <w:p>
      <w:pPr>
        <w:spacing w:after="0" w:line="175" w:lineRule="exact"/>
        <w:rPr>
          <w:sz w:val="20"/>
          <w:szCs w:val="20"/>
          <w:color w:val="auto"/>
        </w:rPr>
      </w:pPr>
    </w:p>
    <w:p>
      <w:pPr>
        <w:ind w:left="60" w:right="139" w:firstLine="648"/>
        <w:spacing w:after="0" w:line="239" w:lineRule="auto"/>
        <w:rPr>
          <w:sz w:val="20"/>
          <w:szCs w:val="20"/>
          <w:color w:val="auto"/>
        </w:rPr>
      </w:pPr>
      <w:r>
        <w:rPr>
          <w:rFonts w:ascii="Times New Roman" w:cs="Times New Roman" w:eastAsia="Times New Roman" w:hAnsi="Times New Roman"/>
          <w:sz w:val="18"/>
          <w:szCs w:val="18"/>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December 31, 2020, there were 324,485 shares issued under the Inducement Plan.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216"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years by 1% of the number of shares of common stock issued and outstanding on the immediately preceding December 31 or such lesser amount as specified by the compensation committee of the board of directors. For the calendar years beginning January 1, 2020 and 2021, the number of shares reserved for issuance under the 2015 ESPP was increased by 492,722 and 577,935 shares, respectively. The Company issued 38,516, 20,724, and 13,878 shares under the ESPP during the years ended December 31, 2020, 2019, and 2018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216" w:lineRule="exact"/>
        <w:rPr>
          <w:sz w:val="20"/>
          <w:szCs w:val="20"/>
          <w:color w:val="auto"/>
        </w:rPr>
      </w:pPr>
    </w:p>
    <w:p>
      <w:pPr>
        <w:ind w:left="60" w:right="159" w:firstLine="648"/>
        <w:spacing w:after="0" w:line="241" w:lineRule="auto"/>
        <w:rPr>
          <w:sz w:val="20"/>
          <w:szCs w:val="20"/>
          <w:color w:val="auto"/>
        </w:rPr>
      </w:pPr>
      <w:r>
        <w:rPr>
          <w:rFonts w:ascii="Times New Roman" w:cs="Times New Roman" w:eastAsia="Times New Roman" w:hAnsi="Times New Roman"/>
          <w:sz w:val="18"/>
          <w:szCs w:val="18"/>
          <w:color w:val="auto"/>
        </w:rPr>
        <w:t>Basic net income (loss) per share (earnings per share, EPS) is calculated by dividing net income (loss) by the weighted average shares of common stock outstanding during the period, without consideration for common stock equivalents. Diluted net income (loss) per share is calculated by adjusting weighted average shares outstanding for the dilutive effect of common stock equivalents outstanding for the period. For purposes of the diluted net income (loss) per share calculation, the effect of stock options, unvested restricted stock units and ESPP shares on weighted average number of shares is calculated using the treasury stock method. In periods with reported net operating losses, all</w:t>
      </w: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459"/>
        <w:spacing w:after="0" w:line="266" w:lineRule="auto"/>
        <w:rPr>
          <w:sz w:val="20"/>
          <w:szCs w:val="20"/>
          <w:color w:val="auto"/>
        </w:rPr>
      </w:pPr>
      <w:r>
        <w:rPr>
          <w:rFonts w:ascii="Times New Roman" w:cs="Times New Roman" w:eastAsia="Times New Roman" w:hAnsi="Times New Roman"/>
          <w:sz w:val="18"/>
          <w:szCs w:val="18"/>
          <w:color w:val="auto"/>
        </w:rPr>
        <w:t>common stock equivalents are deemed anti-dilutive such that basic net loss per share and diluted net loss per share are equal.</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calculation of net income (loss) and the number of shares used to compute basic and diluted net income (loss)</w:t>
      </w:r>
    </w:p>
    <w:p>
      <w:pPr>
        <w:spacing w:after="0" w:line="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share for the years ended December 31, 2020, 2019 and 2018 are as follows (in thousands, except per share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55"/>
        </w:trPr>
        <w:tc>
          <w:tcPr>
            <w:tcW w:w="44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4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(loss) - basic and diluted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313,882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(347,694)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(236,642)</w:t>
            </w:r>
          </w:p>
        </w:tc>
      </w:tr>
      <w:tr>
        <w:trPr>
          <w:trHeight w:val="203"/>
        </w:trPr>
        <w:tc>
          <w:tcPr>
            <w:tcW w:w="446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54,534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47,829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43,867</w:t>
            </w:r>
          </w:p>
        </w:tc>
      </w:tr>
      <w:tr>
        <w:trPr>
          <w:trHeight w:val="203"/>
        </w:trPr>
        <w:tc>
          <w:tcPr>
            <w:tcW w:w="446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446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Stock options</w:t>
            </w:r>
          </w:p>
        </w:tc>
        <w:tc>
          <w:tcPr>
            <w:tcW w:w="3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1,303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46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196"/>
        </w:trPr>
        <w:tc>
          <w:tcPr>
            <w:tcW w:w="4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56,168</w:t>
            </w: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47,829</w:t>
            </w: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43,867</w:t>
            </w: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4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r>
    </w:tbl>
    <w:p>
      <w:pPr>
        <w:spacing w:after="0" w:line="171"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2020, 2019 and 2018, the following dilutive securities were not included in the computation of net income (loss) per share because the effect would be anti-dilutive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260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7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38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4,480</w:t>
            </w:r>
          </w:p>
        </w:tc>
        <w:tc>
          <w:tcPr>
            <w:tcW w:w="20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5,796</w:t>
            </w: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Restricted stock units</w:t>
            </w: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420</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Borders>
              <w:bottom w:val="single" w:sz="8" w:color="CCEEFF"/>
            </w:tcBorders>
          </w:tcPr>
          <w:p>
            <w:pPr>
              <w:ind w:left="20"/>
              <w:spacing w:after="0" w:line="202" w:lineRule="exact"/>
              <w:rPr>
                <w:sz w:val="20"/>
                <w:szCs w:val="20"/>
                <w:color w:val="auto"/>
              </w:rPr>
            </w:pPr>
            <w:r>
              <w:rPr>
                <w:rFonts w:ascii="Times New Roman" w:cs="Times New Roman" w:eastAsia="Times New Roman" w:hAnsi="Times New Roman"/>
                <w:sz w:val="18"/>
                <w:szCs w:val="18"/>
                <w:color w:val="auto"/>
              </w:rPr>
              <w:t>ESPP shares</w:t>
            </w: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4,512</w:t>
            </w:r>
          </w:p>
        </w:tc>
        <w:tc>
          <w:tcPr>
            <w:tcW w:w="2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6,230</w:t>
            </w:r>
          </w:p>
        </w:tc>
        <w:tc>
          <w:tcPr>
            <w:tcW w:w="1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4,605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16" w:lineRule="exact"/>
        <w:rPr>
          <w:sz w:val="20"/>
          <w:szCs w:val="20"/>
          <w:color w:val="auto"/>
        </w:rPr>
      </w:pPr>
    </w:p>
    <w:p>
      <w:pPr>
        <w:ind w:left="60" w:right="479"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the U.S. statutory income tax rate to the Company’s effective tax rate is as follows for the years ended December 31, 2020, 2019 and 2018</w:t>
      </w: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32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Federal income tax (benefit) at statutory rate</w:t>
            </w:r>
          </w:p>
        </w:tc>
        <w:tc>
          <w:tcPr>
            <w:tcW w:w="3300" w:type="dxa"/>
            <w:vAlign w:val="bottom"/>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268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240" w:type="dxa"/>
            <w:vAlign w:val="bottom"/>
            <w:vMerge w:val="continue"/>
          </w:tcPr>
          <w:p>
            <w:pPr>
              <w:spacing w:after="0"/>
              <w:rPr>
                <w:sz w:val="17"/>
                <w:szCs w:val="17"/>
                <w:color w:val="auto"/>
              </w:rPr>
            </w:pPr>
          </w:p>
        </w:tc>
        <w:tc>
          <w:tcPr>
            <w:tcW w:w="6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240" w:type="dxa"/>
            <w:vAlign w:val="bottom"/>
            <w:vMerge w:val="continue"/>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21.00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Permanent differences</w:t>
            </w:r>
          </w:p>
        </w:tc>
        <w:tc>
          <w:tcPr>
            <w:tcW w:w="3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(0.47)</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Federal research and development credits</w:t>
            </w:r>
          </w:p>
        </w:tc>
        <w:tc>
          <w:tcPr>
            <w:tcW w:w="3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(0.96)</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0.77</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1.79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Federal orphan drug credits</w:t>
            </w:r>
          </w:p>
        </w:tc>
        <w:tc>
          <w:tcPr>
            <w:tcW w:w="3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(10.35)</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6.90</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State income tax, net of federal benefit</w:t>
            </w:r>
          </w:p>
        </w:tc>
        <w:tc>
          <w:tcPr>
            <w:tcW w:w="3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7.08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Other</w:t>
            </w:r>
          </w:p>
        </w:tc>
        <w:tc>
          <w:tcPr>
            <w:tcW w:w="3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1.50</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2.13</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Foreign rate differential</w:t>
            </w:r>
          </w:p>
        </w:tc>
        <w:tc>
          <w:tcPr>
            <w:tcW w:w="3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0.37</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(0.03)</w:t>
            </w:r>
          </w:p>
        </w:tc>
        <w:tc>
          <w:tcPr>
            <w:tcW w:w="240" w:type="dxa"/>
            <w:vAlign w:val="bottom"/>
          </w:tcPr>
          <w:p>
            <w:pPr>
              <w:spacing w:after="0"/>
              <w:rPr>
                <w:sz w:val="17"/>
                <w:szCs w:val="17"/>
                <w:color w:val="auto"/>
              </w:rPr>
            </w:pPr>
          </w:p>
        </w:tc>
        <w:tc>
          <w:tcPr>
            <w:tcW w:w="78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Deferred rate change</w:t>
            </w:r>
          </w:p>
        </w:tc>
        <w:tc>
          <w:tcPr>
            <w:tcW w:w="330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(0.08)</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3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Change in valuation allowance</w:t>
            </w:r>
          </w:p>
        </w:tc>
        <w:tc>
          <w:tcPr>
            <w:tcW w:w="330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(13.42)</w:t>
            </w:r>
          </w:p>
        </w:tc>
        <w:tc>
          <w:tcPr>
            <w:tcW w:w="24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(39.26)</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(49.68)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income tax rate</w:t>
            </w:r>
          </w:p>
        </w:tc>
        <w:tc>
          <w:tcPr>
            <w:tcW w:w="26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0.35</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40" w:type="dxa"/>
            <w:vAlign w:val="bottom"/>
            <w:gridSpan w:val="3"/>
          </w:tcPr>
          <w:p>
            <w:pPr>
              <w:jc w:val="right"/>
              <w:ind w:right="2590"/>
              <w:spacing w:after="0"/>
              <w:rPr>
                <w:sz w:val="20"/>
                <w:szCs w:val="20"/>
                <w:color w:val="auto"/>
              </w:rPr>
            </w:pPr>
            <w:r>
              <w:rPr>
                <w:rFonts w:ascii="Times New Roman" w:cs="Times New Roman" w:eastAsia="Times New Roman" w:hAnsi="Times New Roman"/>
                <w:sz w:val="18"/>
                <w:szCs w:val="18"/>
                <w:color w:val="auto"/>
              </w:rPr>
              <w:t>F-34</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2" w:name="page153"/>
    <w:bookmarkEnd w:id="152"/>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deferred tax assets and liabilities consist of the following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7"/>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6"/>
        </w:trPr>
        <w:tc>
          <w:tcPr>
            <w:tcW w:w="498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23"/>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03"/>
        </w:trPr>
        <w:tc>
          <w:tcPr>
            <w:tcW w:w="49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Net operating loss carryforwards</w:t>
            </w:r>
          </w:p>
        </w:tc>
        <w:tc>
          <w:tcPr>
            <w:tcW w:w="144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140,769</w:t>
            </w:r>
          </w:p>
        </w:tc>
        <w:tc>
          <w:tcPr>
            <w:tcW w:w="18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219,935</w:t>
            </w:r>
          </w:p>
        </w:tc>
        <w:tc>
          <w:tcPr>
            <w:tcW w:w="1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127,421</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23,679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19,240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13,714</w:t>
            </w:r>
          </w:p>
        </w:tc>
      </w:tr>
      <w:tr>
        <w:trPr>
          <w:trHeight w:val="203"/>
        </w:trPr>
        <w:tc>
          <w:tcPr>
            <w:tcW w:w="49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Orphan drug credit carryforwards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125,153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92,538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68,536</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Accrued expenses and other</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32,206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25,842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12,248</w:t>
            </w:r>
          </w:p>
        </w:tc>
      </w:tr>
      <w:tr>
        <w:trPr>
          <w:trHeight w:val="203"/>
        </w:trPr>
        <w:tc>
          <w:tcPr>
            <w:tcW w:w="49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Deferred revenue</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7,317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10,971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10,320</w:t>
            </w: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Deferred lease incentive</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3,993</w:t>
            </w:r>
          </w:p>
        </w:tc>
      </w:tr>
      <w:tr>
        <w:trPr>
          <w:trHeight w:val="203"/>
        </w:trPr>
        <w:tc>
          <w:tcPr>
            <w:tcW w:w="4980" w:type="dxa"/>
            <w:vAlign w:val="bottom"/>
            <w:tcBorders>
              <w:bottom w:val="single" w:sz="8" w:color="CCEEFF"/>
            </w:tcBorders>
          </w:tcPr>
          <w:p>
            <w:pPr>
              <w:ind w:left="200"/>
              <w:spacing w:after="0" w:line="202" w:lineRule="exact"/>
              <w:rPr>
                <w:sz w:val="20"/>
                <w:szCs w:val="20"/>
                <w:color w:val="auto"/>
              </w:rPr>
            </w:pPr>
            <w:r>
              <w:rPr>
                <w:rFonts w:ascii="Times New Roman" w:cs="Times New Roman" w:eastAsia="Times New Roman" w:hAnsi="Times New Roman"/>
                <w:sz w:val="18"/>
                <w:szCs w:val="18"/>
                <w:color w:val="auto"/>
              </w:rPr>
              <w:t>Deferred rent</w:t>
            </w: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19,308</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26,196</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1,436</w:t>
            </w:r>
          </w:p>
        </w:tc>
      </w:tr>
      <w:tr>
        <w:trPr>
          <w:trHeight w:val="196"/>
        </w:trPr>
        <w:tc>
          <w:tcPr>
            <w:tcW w:w="4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gross deferred tax asset</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348,432</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394,722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237,668</w:t>
            </w:r>
          </w:p>
        </w:tc>
      </w:tr>
      <w:tr>
        <w:trPr>
          <w:trHeight w:val="203"/>
        </w:trPr>
        <w:tc>
          <w:tcPr>
            <w:tcW w:w="49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Deferred tax liability</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8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Depreciation</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(5,451)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(4,474)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(4,162)</w:t>
            </w:r>
          </w:p>
        </w:tc>
      </w:tr>
      <w:tr>
        <w:trPr>
          <w:trHeight w:val="203"/>
        </w:trPr>
        <w:tc>
          <w:tcPr>
            <w:tcW w:w="498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Right of use assets</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(14,539)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(19,869)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9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Debt discount</w:t>
            </w: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498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Valuation allowance</w:t>
            </w:r>
          </w:p>
        </w:tc>
        <w:tc>
          <w:tcPr>
            <w:tcW w:w="1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(328,442)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(370,379)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(233,506)</w:t>
            </w:r>
          </w:p>
        </w:tc>
      </w:tr>
      <w:tr>
        <w:trPr>
          <w:trHeight w:val="196"/>
        </w:trPr>
        <w:tc>
          <w:tcPr>
            <w:tcW w:w="49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deferred tax asset</w:t>
            </w: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4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Coronavirus Aid, Relief and Economic Security Act</w:t>
      </w:r>
    </w:p>
    <w:p>
      <w:pPr>
        <w:spacing w:after="0" w:line="200" w:lineRule="exact"/>
        <w:rPr>
          <w:sz w:val="20"/>
          <w:szCs w:val="20"/>
          <w:color w:val="auto"/>
        </w:rPr>
      </w:pPr>
    </w:p>
    <w:p>
      <w:pPr>
        <w:ind w:left="60" w:right="80" w:firstLine="648"/>
        <w:spacing w:after="0" w:line="256" w:lineRule="auto"/>
        <w:rPr>
          <w:sz w:val="20"/>
          <w:szCs w:val="20"/>
          <w:color w:val="auto"/>
        </w:rPr>
      </w:pPr>
      <w:r>
        <w:rPr>
          <w:rFonts w:ascii="Times New Roman" w:cs="Times New Roman" w:eastAsia="Times New Roman" w:hAnsi="Times New Roman"/>
          <w:sz w:val="17"/>
          <w:szCs w:val="17"/>
          <w:color w:val="auto"/>
        </w:rPr>
        <w:t>In response to the COVID-19 pandemic, the Coronavirus Aid, Relief and Economic Security Act (CARES Act) was signed into law in March 2020. The CARES Act lifts certain deduction limitations originally imposed by the Tax Cuts and Jobs Act of 2017 (2017 Tax Act). Corporate taxpayers may carryback net operating losses (NOLs) originating during 2018 through 2020 for up to five years, which was not previously allowed under the 2017 Tax Act. The CARES Act also eliminates the 80% of taxable income limitations by allowing corporate entities to fully utilize NOL carryforwards to offset taxable income in 2018, 2019 or 2020. Taxpayers may generally deduct interest up to the sum of 50% of adjusted taxable income plus business interest income (30% limit under the 2017 Tax Act) for tax years beginning in 2019 and 2020.</w:t>
      </w:r>
    </w:p>
    <w:p>
      <w:pPr>
        <w:spacing w:after="0" w:line="174" w:lineRule="exact"/>
        <w:rPr>
          <w:sz w:val="20"/>
          <w:szCs w:val="20"/>
          <w:color w:val="auto"/>
        </w:rPr>
      </w:pPr>
    </w:p>
    <w:p>
      <w:pPr>
        <w:ind w:left="60" w:right="60" w:firstLine="648"/>
        <w:spacing w:after="0" w:line="242" w:lineRule="auto"/>
        <w:rPr>
          <w:sz w:val="20"/>
          <w:szCs w:val="20"/>
          <w:color w:val="auto"/>
        </w:rPr>
      </w:pPr>
      <w:r>
        <w:rPr>
          <w:rFonts w:ascii="Times New Roman" w:cs="Times New Roman" w:eastAsia="Times New Roman" w:hAnsi="Times New Roman"/>
          <w:sz w:val="18"/>
          <w:szCs w:val="18"/>
          <w:color w:val="auto"/>
        </w:rPr>
        <w:t>In addition, the CARES Act raises the corporate charitable deduction limit to 25% of taxable income and makes qualified improvement property generally eligible for 15-year cost-recovery and 100% bonus depreciation. The enactment of the CARES Act resulted in $3.7 million of bonus depreciation to the Company’s income tax provision for the year ended December 31, 2020. Additionally, the Company was able to offset 100% of its current year Federal taxable income with NOLs carried forward from previous years.</w:t>
      </w:r>
    </w:p>
    <w:p>
      <w:pPr>
        <w:spacing w:after="0" w:line="185" w:lineRule="exact"/>
        <w:rPr>
          <w:sz w:val="20"/>
          <w:szCs w:val="20"/>
          <w:color w:val="auto"/>
        </w:rPr>
      </w:pPr>
    </w:p>
    <w:p>
      <w:pPr>
        <w:ind w:left="60" w:right="160" w:firstLine="648"/>
        <w:spacing w:after="0"/>
        <w:rPr>
          <w:sz w:val="20"/>
          <w:szCs w:val="20"/>
          <w:color w:val="auto"/>
        </w:rPr>
      </w:pPr>
      <w:r>
        <w:rPr>
          <w:rFonts w:ascii="Times New Roman" w:cs="Times New Roman" w:eastAsia="Times New Roman" w:hAnsi="Times New Roman"/>
          <w:sz w:val="18"/>
          <w:szCs w:val="18"/>
          <w:color w:val="auto"/>
        </w:rPr>
        <w:t>Management has evaluated the positive and negative evidence bearing upon the realizability of its deferred tax assets and has determined that it is more likely than not that the Company will not recognize the benefits of its net federal, foreign and state deferred tax assets, and as a result, a valuation allowance of $328.4 million, $370.4 million and $233.5 million has been established at December 31, 2020, 2019 and 2018, respectively. The change in the valuation allowance was ($42.0) million, $136.9 million and $119.0 million for the years ended December 31, 2020, 2019 and 2018, respectively. The decrease in the deferred tax asset between December 31,2020 and 2019 was mostly due to the utilization of federal and state net operating losses to offset current year taxable income.</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incurred net operating losses (NOL) since inception. As of December 31, 2020, the Company</w:t>
      </w:r>
    </w:p>
    <w:p>
      <w:pPr>
        <w:spacing w:after="0" w:line="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had federal and state NOL carryforwards of $435.7 million and $776.0 million, respectively, which begin to expire in 2030,</w:t>
      </w:r>
    </w:p>
    <w:p>
      <w:pPr>
        <w:ind w:left="60"/>
        <w:spacing w:after="0" w:line="234" w:lineRule="auto"/>
        <w:rPr>
          <w:sz w:val="20"/>
          <w:szCs w:val="20"/>
          <w:color w:val="auto"/>
        </w:rPr>
      </w:pPr>
      <w:r>
        <w:rPr>
          <w:rFonts w:ascii="Times New Roman" w:cs="Times New Roman" w:eastAsia="Times New Roman" w:hAnsi="Times New Roman"/>
          <w:sz w:val="18"/>
          <w:szCs w:val="18"/>
          <w:color w:val="auto"/>
        </w:rPr>
        <w:t>and of which $414 million of the Company’s federal NOL carryforwards have an unlimited carryforward. As of</w:t>
      </w:r>
    </w:p>
    <w:p>
      <w:pPr>
        <w:ind w:left="60"/>
        <w:spacing w:after="0" w:line="235" w:lineRule="auto"/>
        <w:rPr>
          <w:sz w:val="20"/>
          <w:szCs w:val="20"/>
          <w:color w:val="auto"/>
        </w:rPr>
      </w:pPr>
      <w:r>
        <w:rPr>
          <w:rFonts w:ascii="Times New Roman" w:cs="Times New Roman" w:eastAsia="Times New Roman" w:hAnsi="Times New Roman"/>
          <w:sz w:val="18"/>
          <w:szCs w:val="18"/>
          <w:color w:val="auto"/>
        </w:rPr>
        <w:t>December 31, 2020, the Company had federal and state research and development tax credit carryforwards of $14.2 million</w:t>
      </w:r>
    </w:p>
    <w:p>
      <w:pPr>
        <w:ind w:left="60"/>
        <w:spacing w:after="0" w:line="235" w:lineRule="auto"/>
        <w:rPr>
          <w:sz w:val="20"/>
          <w:szCs w:val="20"/>
          <w:color w:val="auto"/>
        </w:rPr>
      </w:pPr>
      <w:r>
        <w:rPr>
          <w:rFonts w:ascii="Times New Roman" w:cs="Times New Roman" w:eastAsia="Times New Roman" w:hAnsi="Times New Roman"/>
          <w:sz w:val="18"/>
          <w:szCs w:val="18"/>
          <w:color w:val="auto"/>
        </w:rPr>
        <w:t>and $11.2 million, respectively, which begin to expire in 2030. As of December 31, 2020, the Company had federal orphan</w:t>
      </w:r>
    </w:p>
    <w:p>
      <w:pPr>
        <w:ind w:left="60"/>
        <w:spacing w:after="0" w:line="235" w:lineRule="auto"/>
        <w:rPr>
          <w:sz w:val="20"/>
          <w:szCs w:val="20"/>
          <w:color w:val="auto"/>
        </w:rPr>
      </w:pPr>
      <w:r>
        <w:rPr>
          <w:rFonts w:ascii="Times New Roman" w:cs="Times New Roman" w:eastAsia="Times New Roman" w:hAnsi="Times New Roman"/>
          <w:sz w:val="18"/>
          <w:szCs w:val="18"/>
          <w:color w:val="auto"/>
        </w:rPr>
        <w:t>drug credits of $125.2 million, which begin to expire in 2035 and state investment tax credits of $0.8 million, which begin</w:t>
      </w:r>
    </w:p>
    <w:p>
      <w:pPr>
        <w:ind w:left="60"/>
        <w:spacing w:after="0" w:line="235" w:lineRule="auto"/>
        <w:rPr>
          <w:sz w:val="20"/>
          <w:szCs w:val="20"/>
          <w:color w:val="auto"/>
        </w:rPr>
      </w:pPr>
      <w:r>
        <w:rPr>
          <w:rFonts w:ascii="Times New Roman" w:cs="Times New Roman" w:eastAsia="Times New Roman" w:hAnsi="Times New Roman"/>
          <w:sz w:val="18"/>
          <w:szCs w:val="18"/>
          <w:color w:val="auto"/>
        </w:rPr>
        <w:t>to expire in 2021. The Company has analyzed and validated its research and development tax credits as well as its orphan</w:t>
      </w:r>
    </w:p>
    <w:p>
      <w:pPr>
        <w:ind w:left="60"/>
        <w:spacing w:after="0" w:line="234" w:lineRule="auto"/>
        <w:rPr>
          <w:sz w:val="20"/>
          <w:szCs w:val="20"/>
          <w:color w:val="auto"/>
        </w:rPr>
      </w:pPr>
      <w:r>
        <w:rPr>
          <w:rFonts w:ascii="Times New Roman" w:cs="Times New Roman" w:eastAsia="Times New Roman" w:hAnsi="Times New Roman"/>
          <w:sz w:val="18"/>
          <w:szCs w:val="18"/>
          <w:color w:val="auto"/>
        </w:rPr>
        <w:t>drug credits for 2011-2019. The Company generated research credits in 2020 but has not conducted a formal study to</w:t>
      </w:r>
    </w:p>
    <w:p>
      <w:pPr>
        <w:ind w:left="60"/>
        <w:spacing w:after="0" w:line="235" w:lineRule="auto"/>
        <w:rPr>
          <w:sz w:val="20"/>
          <w:szCs w:val="20"/>
          <w:color w:val="auto"/>
        </w:rPr>
      </w:pPr>
      <w:r>
        <w:rPr>
          <w:rFonts w:ascii="Times New Roman" w:cs="Times New Roman" w:eastAsia="Times New Roman" w:hAnsi="Times New Roman"/>
          <w:sz w:val="18"/>
          <w:szCs w:val="18"/>
          <w:color w:val="auto"/>
        </w:rPr>
        <w:t>document its qualified activities. This study may result in an adjustment to the Company’s research and development credit</w:t>
      </w:r>
    </w:p>
    <w:p>
      <w:pPr>
        <w:ind w:left="60"/>
        <w:spacing w:after="0" w:line="235" w:lineRule="auto"/>
        <w:rPr>
          <w:sz w:val="20"/>
          <w:szCs w:val="20"/>
          <w:color w:val="auto"/>
        </w:rPr>
      </w:pPr>
      <w:r>
        <w:rPr>
          <w:rFonts w:ascii="Times New Roman" w:cs="Times New Roman" w:eastAsia="Times New Roman" w:hAnsi="Times New Roman"/>
          <w:sz w:val="18"/>
          <w:szCs w:val="18"/>
          <w:color w:val="auto"/>
        </w:rPr>
        <w:t>carryforwards. No amounts are being presented as an uncertain tax position as of December 31, 2020 until such study is</w:t>
      </w:r>
    </w:p>
    <w:p>
      <w:pPr>
        <w:ind w:left="60"/>
        <w:spacing w:after="0" w:line="235" w:lineRule="auto"/>
        <w:rPr>
          <w:sz w:val="20"/>
          <w:szCs w:val="20"/>
          <w:color w:val="auto"/>
        </w:rPr>
      </w:pPr>
      <w:r>
        <w:rPr>
          <w:rFonts w:ascii="Times New Roman" w:cs="Times New Roman" w:eastAsia="Times New Roman" w:hAnsi="Times New Roman"/>
          <w:sz w:val="18"/>
          <w:szCs w:val="18"/>
          <w:color w:val="auto"/>
        </w:rPr>
        <w:t>completed and the adjustment is known. A valuation allowance has been provided against the Company’s research and</w:t>
      </w:r>
    </w:p>
    <w:p>
      <w:pPr>
        <w:ind w:left="60"/>
        <w:spacing w:after="0"/>
        <w:rPr>
          <w:sz w:val="20"/>
          <w:szCs w:val="20"/>
          <w:color w:val="auto"/>
        </w:rPr>
      </w:pPr>
      <w:r>
        <w:rPr>
          <w:rFonts w:ascii="Times New Roman" w:cs="Times New Roman" w:eastAsia="Times New Roman" w:hAnsi="Times New Roman"/>
          <w:sz w:val="18"/>
          <w:szCs w:val="18"/>
          <w:color w:val="auto"/>
        </w:rPr>
        <w:t>development credits and, if an adjustment is required, this adjustment would be</w:t>
      </w:r>
    </w:p>
    <w:p>
      <w:pPr>
        <w:spacing w:after="0" w:line="2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sectPr>
      </w:pPr>
    </w:p>
    <w:bookmarkStart w:id="153" w:name="page154"/>
    <w:bookmarkEnd w:id="153"/>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offset by an adjustment to the deferred tax asset established for the research and development credit carry-forwards and the valuation allowance.</w:t>
      </w:r>
    </w:p>
    <w:p>
      <w:pPr>
        <w:spacing w:after="0" w:line="162" w:lineRule="exact"/>
        <w:rPr>
          <w:sz w:val="20"/>
          <w:szCs w:val="20"/>
          <w:color w:val="auto"/>
        </w:rPr>
      </w:pPr>
    </w:p>
    <w:p>
      <w:pPr>
        <w:ind w:left="60" w:right="99" w:firstLine="648"/>
        <w:spacing w:after="0" w:line="237" w:lineRule="auto"/>
        <w:rPr>
          <w:sz w:val="20"/>
          <w:szCs w:val="20"/>
          <w:color w:val="auto"/>
        </w:rPr>
      </w:pPr>
      <w:r>
        <w:rPr>
          <w:rFonts w:ascii="Times New Roman" w:cs="Times New Roman" w:eastAsia="Times New Roman" w:hAnsi="Times New Roman"/>
          <w:sz w:val="18"/>
          <w:szCs w:val="18"/>
          <w:color w:val="auto"/>
        </w:rPr>
        <w:t>The Internal Revenue Code of 1986, as amended (the Code), provides for a limitation of the annual use of net operating losses and other tax attributes (such as research and development tax credit carryforwards) following certain ownership changes (as defined by the Code) that could limit the Company’s ability to utilize these carryforwards. The Company analyzed shifts in the stock ownership to determine if its net operating losses and tax credit carryforwards may be subject to limitation under Sections 382 and 383. Based on this analysis, it was determined that it is more likely than not that an ownership change occurred on the following dates: March 24, 2011; April 5, 2011; November 10, 2014; and February 7, 2017. As a consequence of these ownership changes, the Company’s net operating loss carryforwards and tax credit carryforwards allocable to the periods preceding each ownership change are subject to limitations under Section 382. Approximately $2 million of the Company’s NOL carryforwards may be available for utilization within their applicable carryforward periods. In addition, U.S. tax laws limit the time during which these carryforwards may be applied against future taxes. Therefore, the Company may not be able to take full advantage of these carryforwards for federal or state income tax purposes.</w:t>
      </w:r>
    </w:p>
    <w:p>
      <w:pPr>
        <w:spacing w:after="0" w:line="193" w:lineRule="exact"/>
        <w:rPr>
          <w:sz w:val="20"/>
          <w:szCs w:val="20"/>
          <w:color w:val="auto"/>
        </w:rPr>
      </w:pPr>
    </w:p>
    <w:p>
      <w:pPr>
        <w:ind w:left="60" w:right="59" w:firstLine="648"/>
        <w:spacing w:after="0"/>
        <w:rPr>
          <w:sz w:val="20"/>
          <w:szCs w:val="20"/>
          <w:color w:val="auto"/>
        </w:rPr>
      </w:pPr>
      <w:r>
        <w:rPr>
          <w:rFonts w:ascii="Times New Roman" w:cs="Times New Roman" w:eastAsia="Times New Roman" w:hAnsi="Times New Roman"/>
          <w:sz w:val="18"/>
          <w:szCs w:val="18"/>
          <w:color w:val="auto"/>
        </w:rPr>
        <w:t>Interest and penalty charges, if any, related to unrecognized tax benefits would be classified as income tax expense in the accompanying statements of operations and comprehensive loss. As of December 31, 2020 and 2019, the Company has no unrecognized tax benefits or accrued interest related to unrecognized tax benefits. As of December 31, 2020,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38 Sidney Street</w:t>
      </w:r>
    </w:p>
    <w:p>
      <w:pPr>
        <w:spacing w:after="0" w:line="214" w:lineRule="exact"/>
        <w:rPr>
          <w:sz w:val="20"/>
          <w:szCs w:val="20"/>
          <w:color w:val="auto"/>
        </w:rPr>
      </w:pPr>
    </w:p>
    <w:p>
      <w:pPr>
        <w:ind w:left="60" w:right="99" w:firstLine="648"/>
        <w:spacing w:after="0" w:line="236" w:lineRule="auto"/>
        <w:rPr>
          <w:sz w:val="20"/>
          <w:szCs w:val="20"/>
          <w:color w:val="auto"/>
        </w:rPr>
      </w:pPr>
      <w:r>
        <w:rPr>
          <w:rFonts w:ascii="Times New Roman" w:cs="Times New Roman" w:eastAsia="Times New Roman" w:hAnsi="Times New Roman"/>
          <w:sz w:val="18"/>
          <w:szCs w:val="18"/>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lease provided the Company with an allowance for leasehold improvements of $4.3 million. During the year ended December 31, 2018, prior to the adoption of ASC 842, the Company recorded rent expense on a straight-line basis and the leasehold improvement incentives as a reduction to rent expense ratably over the lease term. The lease agreement required the Company to pay an intital security deposit of $1.3 million, of which a total of $0.4 million was released subsequently, and the remaining $0.9 million is recorded in restricted cash on the Company’s consolidated balance sheet as of</w:t>
      </w:r>
    </w:p>
    <w:p>
      <w:pPr>
        <w:spacing w:after="0" w:line="9" w:lineRule="exact"/>
        <w:rPr>
          <w:sz w:val="20"/>
          <w:szCs w:val="20"/>
          <w:color w:val="auto"/>
        </w:rPr>
      </w:pPr>
    </w:p>
    <w:p>
      <w:pPr>
        <w:ind w:left="60" w:right="539"/>
        <w:spacing w:after="0" w:line="243" w:lineRule="auto"/>
        <w:rPr>
          <w:sz w:val="20"/>
          <w:szCs w:val="20"/>
          <w:color w:val="auto"/>
        </w:rPr>
      </w:pPr>
      <w:r>
        <w:rPr>
          <w:rFonts w:ascii="Times New Roman" w:cs="Times New Roman" w:eastAsia="Times New Roman" w:hAnsi="Times New Roman"/>
          <w:sz w:val="18"/>
          <w:szCs w:val="18"/>
          <w:color w:val="auto"/>
        </w:rPr>
        <w:t>December 31, 2020. In the first quarter of 2018, the Company subleased the space to a third party and the term of the sublease will expire on February 28, 2021.</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45 Sidney Street</w:t>
      </w:r>
    </w:p>
    <w:p>
      <w:pPr>
        <w:spacing w:after="0" w:line="214" w:lineRule="exact"/>
        <w:rPr>
          <w:sz w:val="20"/>
          <w:szCs w:val="20"/>
          <w:color w:val="auto"/>
        </w:rPr>
      </w:pPr>
    </w:p>
    <w:p>
      <w:pPr>
        <w:ind w:left="60" w:right="199" w:firstLine="648"/>
        <w:spacing w:after="0" w:line="242" w:lineRule="auto"/>
        <w:rPr>
          <w:sz w:val="20"/>
          <w:szCs w:val="20"/>
          <w:color w:val="auto"/>
        </w:rPr>
      </w:pPr>
      <w:r>
        <w:rPr>
          <w:rFonts w:ascii="Times New Roman" w:cs="Times New Roman" w:eastAsia="Times New Roman" w:hAnsi="Times New Roman"/>
          <w:sz w:val="18"/>
          <w:szCs w:val="18"/>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85" w:lineRule="exact"/>
        <w:rPr>
          <w:sz w:val="20"/>
          <w:szCs w:val="20"/>
          <w:color w:val="auto"/>
        </w:rPr>
      </w:pPr>
    </w:p>
    <w:p>
      <w:pPr>
        <w:ind w:left="60" w:right="79" w:firstLine="648"/>
        <w:spacing w:after="0"/>
        <w:rPr>
          <w:sz w:val="20"/>
          <w:szCs w:val="20"/>
          <w:color w:val="auto"/>
        </w:rPr>
      </w:pPr>
      <w:r>
        <w:rPr>
          <w:rFonts w:ascii="Times New Roman" w:cs="Times New Roman" w:eastAsia="Times New Roman" w:hAnsi="Times New Roman"/>
          <w:sz w:val="18"/>
          <w:szCs w:val="18"/>
          <w:color w:val="auto"/>
        </w:rPr>
        <w:t>During the initial term of the lease agreement, the Company has agreed to pay an initial annual base rent of approximately $7.7 million, which increases annually until it reaches approximately $10.6 million in the last year of the initial term. The lease provided the Company with a tenant improvement allowance of approximately $14.2 million for improvements to be made to the premises. During the year ended December 31, 2018, prior to the adoption of ASC 842, the Company recorded rent expense on a straight-line basis and the leasehold improvement incentives as a reduction to rent expense ratably over the lease term. The lease agreement required the Company to pay an initial security deposit of $3.5 million, of which $3.0 million is recorded in restricted cash on the Company’s consolidated balance sheet as of</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4" w:name="page155"/>
    <w:bookmarkEnd w:id="154"/>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December 31, 2019, and $0.5 million was recorded in prepaid and other current assets, which was subsequently released in January 2020.</w:t>
      </w:r>
    </w:p>
    <w:p>
      <w:pPr>
        <w:spacing w:after="0" w:line="162" w:lineRule="exact"/>
        <w:rPr>
          <w:sz w:val="20"/>
          <w:szCs w:val="20"/>
          <w:color w:val="auto"/>
        </w:rPr>
      </w:pPr>
    </w:p>
    <w:p>
      <w:pPr>
        <w:ind w:left="60" w:right="399" w:firstLine="648"/>
        <w:spacing w:after="0" w:line="242" w:lineRule="auto"/>
        <w:rPr>
          <w:sz w:val="20"/>
          <w:szCs w:val="20"/>
          <w:color w:val="auto"/>
        </w:rPr>
      </w:pPr>
      <w:r>
        <w:rPr>
          <w:rFonts w:ascii="Times New Roman" w:cs="Times New Roman" w:eastAsia="Times New Roman" w:hAnsi="Times New Roman"/>
          <w:sz w:val="18"/>
          <w:szCs w:val="18"/>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rent commencement date for the expansion premises was July 1, 2019.</w:t>
      </w:r>
    </w:p>
    <w:p>
      <w:pPr>
        <w:spacing w:after="0" w:line="185" w:lineRule="exact"/>
        <w:rPr>
          <w:sz w:val="20"/>
          <w:szCs w:val="20"/>
          <w:color w:val="auto"/>
        </w:rPr>
      </w:pPr>
    </w:p>
    <w:p>
      <w:pPr>
        <w:ind w:left="60" w:right="179" w:firstLine="648"/>
        <w:spacing w:after="0" w:line="258" w:lineRule="auto"/>
        <w:rPr>
          <w:sz w:val="20"/>
          <w:szCs w:val="20"/>
          <w:color w:val="auto"/>
        </w:rPr>
      </w:pPr>
      <w:r>
        <w:rPr>
          <w:rFonts w:ascii="Times New Roman" w:cs="Times New Roman" w:eastAsia="Times New Roman" w:hAnsi="Times New Roman"/>
          <w:sz w:val="17"/>
          <w:szCs w:val="17"/>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consolidated balance sheet as of December 31, 2020.</w:t>
      </w:r>
    </w:p>
    <w:p>
      <w:pPr>
        <w:spacing w:after="0" w:line="170" w:lineRule="exact"/>
        <w:rPr>
          <w:sz w:val="20"/>
          <w:szCs w:val="20"/>
          <w:color w:val="auto"/>
        </w:rPr>
      </w:pPr>
    </w:p>
    <w:p>
      <w:pPr>
        <w:ind w:left="60" w:right="439" w:firstLine="690"/>
        <w:spacing w:after="0" w:line="266" w:lineRule="auto"/>
        <w:rPr>
          <w:sz w:val="20"/>
          <w:szCs w:val="20"/>
          <w:color w:val="auto"/>
        </w:rPr>
      </w:pPr>
      <w:r>
        <w:rPr>
          <w:rFonts w:ascii="Times New Roman" w:cs="Times New Roman" w:eastAsia="Times New Roman" w:hAnsi="Times New Roman"/>
          <w:sz w:val="18"/>
          <w:szCs w:val="18"/>
          <w:color w:val="auto"/>
        </w:rPr>
        <w:t>The lease agreements do not contain residual value guarantees and the components of lease cost for the years ended December 31, 2020 and 2019 were as follows (in thousands):</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628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2019</w:t>
            </w: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Lease cost</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17,600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16,162</w:t>
            </w:r>
          </w:p>
        </w:tc>
        <w:tc>
          <w:tcPr>
            <w:tcW w:w="0" w:type="dxa"/>
            <w:vAlign w:val="bottom"/>
          </w:tcPr>
          <w:p>
            <w:pPr>
              <w:spacing w:after="0"/>
              <w:rPr>
                <w:sz w:val="1"/>
                <w:szCs w:val="1"/>
                <w:color w:val="auto"/>
              </w:rPr>
            </w:pPr>
          </w:p>
        </w:tc>
      </w:tr>
      <w:tr>
        <w:trPr>
          <w:trHeight w:val="203"/>
        </w:trPr>
        <w:tc>
          <w:tcPr>
            <w:tcW w:w="62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Sublease income</w:t>
            </w:r>
          </w:p>
        </w:tc>
        <w:tc>
          <w:tcPr>
            <w:tcW w:w="260" w:type="dxa"/>
            <w:vAlign w:val="bottom"/>
          </w:tcPr>
          <w:p>
            <w:pPr>
              <w:spacing w:after="0"/>
              <w:rPr>
                <w:sz w:val="17"/>
                <w:szCs w:val="17"/>
                <w:color w:val="auto"/>
              </w:rPr>
            </w:pPr>
          </w:p>
        </w:tc>
        <w:tc>
          <w:tcPr>
            <w:tcW w:w="112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(2,919)</w:t>
            </w: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Net lease cost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14,681</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13,328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For the year ended December 31, 2018, rent expense under ASC 840, net of sublease income, was $7.3 million.</w:t>
      </w:r>
    </w:p>
    <w:p>
      <w:pPr>
        <w:spacing w:after="0" w:line="21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has not entered into any material short-term leases or financing leases as of December 31, 2020.</w:t>
      </w:r>
    </w:p>
    <w:p>
      <w:pPr>
        <w:spacing w:after="0" w:line="212"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Supplemental cash flow information related to leases for the years ended December 31, 2020 and 2019 was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r>
      <w:tr>
        <w:trPr>
          <w:trHeight w:val="196"/>
        </w:trPr>
        <w:tc>
          <w:tcPr>
            <w:tcW w:w="40" w:type="dxa"/>
            <w:vAlign w:val="bottom"/>
            <w:tcBorders>
              <w:bottom w:val="single" w:sz="8" w:color="CCEEFF"/>
            </w:tcBorders>
          </w:tcPr>
          <w:p>
            <w:pPr>
              <w:spacing w:after="0"/>
              <w:rPr>
                <w:sz w:val="17"/>
                <w:szCs w:val="17"/>
                <w:color w:val="auto"/>
              </w:rPr>
            </w:pPr>
          </w:p>
        </w:tc>
        <w:tc>
          <w:tcPr>
            <w:tcW w:w="6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196"/>
        </w:trPr>
        <w:tc>
          <w:tcPr>
            <w:tcW w:w="6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14,444</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12,247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63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632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23,300</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603"/>
        </w:trPr>
        <w:tc>
          <w:tcPr>
            <w:tcW w:w="40" w:type="dxa"/>
            <w:vAlign w:val="bottom"/>
          </w:tcPr>
          <w:p>
            <w:pPr>
              <w:spacing w:after="0"/>
              <w:rPr>
                <w:sz w:val="24"/>
                <w:szCs w:val="24"/>
                <w:color w:val="auto"/>
              </w:rPr>
            </w:pPr>
          </w:p>
        </w:tc>
        <w:tc>
          <w:tcPr>
            <w:tcW w:w="892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of the operating leases are as</w:t>
            </w: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follows: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6280" w:type="dxa"/>
            <w:vAlign w:val="bottom"/>
            <w:tcBorders>
              <w:top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40" w:type="dxa"/>
            <w:vAlign w:val="bottom"/>
          </w:tcPr>
          <w:p>
            <w:pPr>
              <w:spacing w:after="0"/>
              <w:rPr>
                <w:sz w:val="20"/>
                <w:szCs w:val="20"/>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70"/>
        </w:trPr>
        <w:tc>
          <w:tcPr>
            <w:tcW w:w="40" w:type="dxa"/>
            <w:vAlign w:val="bottom"/>
          </w:tcPr>
          <w:p>
            <w:pPr>
              <w:spacing w:after="0"/>
              <w:rPr>
                <w:sz w:val="24"/>
                <w:szCs w:val="24"/>
                <w:color w:val="auto"/>
              </w:rPr>
            </w:pPr>
          </w:p>
        </w:tc>
        <w:tc>
          <w:tcPr>
            <w:tcW w:w="628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F-37</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0" w:type="dxa"/>
            <w:vAlign w:val="bottom"/>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55" w:name="page156"/>
    <w:bookmarkEnd w:id="155"/>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579" w:firstLine="648"/>
        <w:spacing w:after="0" w:line="266" w:lineRule="auto"/>
        <w:rPr>
          <w:sz w:val="20"/>
          <w:szCs w:val="20"/>
          <w:color w:val="auto"/>
        </w:rPr>
      </w:pPr>
      <w:r>
        <w:rPr>
          <w:rFonts w:ascii="Times New Roman" w:cs="Times New Roman" w:eastAsia="Times New Roman" w:hAnsi="Times New Roman"/>
          <w:sz w:val="18"/>
          <w:szCs w:val="18"/>
          <w:color w:val="auto"/>
        </w:rPr>
        <w:t>Future minimum lease payments under non-cancellable leases as of December 31, 2020 were as follows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14,879</w:t>
            </w:r>
          </w:p>
        </w:tc>
      </w:tr>
      <w:tr>
        <w:trPr>
          <w:trHeight w:val="203"/>
        </w:trPr>
        <w:tc>
          <w:tcPr>
            <w:tcW w:w="5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14,836</w:t>
            </w:r>
          </w:p>
        </w:tc>
      </w:tr>
      <w:tr>
        <w:trPr>
          <w:trHeight w:val="203"/>
        </w:trPr>
        <w:tc>
          <w:tcPr>
            <w:tcW w:w="5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2023</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12,864</w:t>
            </w:r>
          </w:p>
        </w:tc>
      </w:tr>
      <w:tr>
        <w:trPr>
          <w:trHeight w:val="203"/>
        </w:trPr>
        <w:tc>
          <w:tcPr>
            <w:tcW w:w="53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2024</w:t>
            </w:r>
          </w:p>
        </w:tc>
        <w:tc>
          <w:tcPr>
            <w:tcW w:w="2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13,241</w:t>
            </w:r>
          </w:p>
        </w:tc>
      </w:tr>
      <w:tr>
        <w:trPr>
          <w:trHeight w:val="203"/>
        </w:trPr>
        <w:tc>
          <w:tcPr>
            <w:tcW w:w="534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2025</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13,517</w:t>
            </w:r>
          </w:p>
        </w:tc>
      </w:tr>
      <w:tr>
        <w:trPr>
          <w:trHeight w:val="203"/>
        </w:trPr>
        <w:tc>
          <w:tcPr>
            <w:tcW w:w="53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Thereafter</w:t>
            </w:r>
          </w:p>
        </w:tc>
        <w:tc>
          <w:tcPr>
            <w:tcW w:w="2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56,842</w:t>
            </w:r>
          </w:p>
        </w:tc>
      </w:tr>
      <w:tr>
        <w:trPr>
          <w:trHeight w:val="196"/>
        </w:trPr>
        <w:tc>
          <w:tcPr>
            <w:tcW w:w="5340" w:type="dxa"/>
            <w:vAlign w:val="bottom"/>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126,179</w:t>
            </w:r>
          </w:p>
        </w:tc>
      </w:tr>
      <w:tr>
        <w:trPr>
          <w:trHeight w:val="203"/>
        </w:trPr>
        <w:tc>
          <w:tcPr>
            <w:tcW w:w="53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Less imputed interest</w:t>
            </w:r>
          </w:p>
        </w:tc>
        <w:tc>
          <w:tcPr>
            <w:tcW w:w="25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(36,575)</w:t>
            </w:r>
          </w:p>
        </w:tc>
      </w:tr>
      <w:tr>
        <w:trPr>
          <w:trHeight w:val="196"/>
        </w:trPr>
        <w:tc>
          <w:tcPr>
            <w:tcW w:w="53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5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89,604</w:t>
            </w:r>
          </w:p>
        </w:tc>
      </w:tr>
      <w:tr>
        <w:trPr>
          <w:trHeight w:val="20"/>
        </w:trPr>
        <w:tc>
          <w:tcPr>
            <w:tcW w:w="53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Employee Benefit Plans</w:t>
      </w:r>
    </w:p>
    <w:p>
      <w:pPr>
        <w:spacing w:after="0" w:line="216" w:lineRule="exact"/>
        <w:rPr>
          <w:sz w:val="20"/>
          <w:szCs w:val="20"/>
          <w:color w:val="auto"/>
        </w:rPr>
      </w:pPr>
    </w:p>
    <w:p>
      <w:pPr>
        <w:ind w:left="60" w:right="259" w:firstLine="648"/>
        <w:spacing w:after="0" w:line="250" w:lineRule="auto"/>
        <w:rPr>
          <w:sz w:val="20"/>
          <w:szCs w:val="20"/>
          <w:color w:val="auto"/>
        </w:rPr>
      </w:pPr>
      <w:r>
        <w:rPr>
          <w:rFonts w:ascii="Times New Roman" w:cs="Times New Roman" w:eastAsia="Times New Roman" w:hAnsi="Times New Roman"/>
          <w:sz w:val="18"/>
          <w:szCs w:val="18"/>
          <w:color w:val="auto"/>
        </w:rPr>
        <w:t>The Company sponsors various retirement and pension plans. The estimates of liabilities and expenses for these plans incorporate a number of assumptions, including expected rates of return on plan assets and interest rates used to discount future benefits.</w:t>
      </w:r>
    </w:p>
    <w:p>
      <w:pPr>
        <w:spacing w:after="0" w:line="1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Savings Plan</w:t>
      </w:r>
    </w:p>
    <w:p>
      <w:pPr>
        <w:spacing w:after="0" w:line="216" w:lineRule="exact"/>
        <w:rPr>
          <w:sz w:val="20"/>
          <w:szCs w:val="20"/>
          <w:color w:val="auto"/>
        </w:rPr>
      </w:pPr>
    </w:p>
    <w:p>
      <w:pPr>
        <w:ind w:left="60" w:right="119" w:firstLine="648"/>
        <w:spacing w:after="0" w:line="238" w:lineRule="auto"/>
        <w:rPr>
          <w:sz w:val="20"/>
          <w:szCs w:val="20"/>
          <w:color w:val="auto"/>
        </w:rPr>
      </w:pPr>
      <w:r>
        <w:rPr>
          <w:rFonts w:ascii="Times New Roman" w:cs="Times New Roman" w:eastAsia="Times New Roman" w:hAnsi="Times New Roman"/>
          <w:sz w:val="18"/>
          <w:szCs w:val="18"/>
          <w:color w:val="auto"/>
        </w:rPr>
        <w:t>The Company maintains a 401(k) plan for employees (the 401(k) Plan). The 401(k) Plan is intended to qualify under Section 401(k) of the Code, so that contributions to the 401(k) Plan by employees or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The expense related to the 401(k) Plan primarily consists of the Company’s matching contributions. Expense related to the 401(k) Plan for the years ended December 31, 2020, 2019 and 2018 were not material.</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Switzerland Defined Benefit Plan</w:t>
      </w:r>
    </w:p>
    <w:p>
      <w:pPr>
        <w:spacing w:after="0" w:line="216" w:lineRule="exact"/>
        <w:rPr>
          <w:sz w:val="20"/>
          <w:szCs w:val="20"/>
          <w:color w:val="auto"/>
        </w:rPr>
      </w:pPr>
    </w:p>
    <w:p>
      <w:pPr>
        <w:ind w:left="60" w:right="159" w:firstLine="648"/>
        <w:spacing w:after="0" w:line="237" w:lineRule="auto"/>
        <w:rPr>
          <w:sz w:val="20"/>
          <w:szCs w:val="20"/>
          <w:color w:val="auto"/>
        </w:rPr>
      </w:pPr>
      <w:r>
        <w:rPr>
          <w:rFonts w:ascii="Times New Roman" w:cs="Times New Roman" w:eastAsia="Times New Roman" w:hAnsi="Times New Roman"/>
          <w:sz w:val="18"/>
          <w:szCs w:val="18"/>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 As</w:t>
      </w:r>
    </w:p>
    <w:p>
      <w:pPr>
        <w:spacing w:after="0" w:line="5" w:lineRule="exact"/>
        <w:rPr>
          <w:sz w:val="20"/>
          <w:szCs w:val="20"/>
          <w:color w:val="auto"/>
        </w:rPr>
      </w:pPr>
    </w:p>
    <w:p>
      <w:pPr>
        <w:ind w:left="60" w:right="79"/>
        <w:spacing w:after="0" w:line="238" w:lineRule="auto"/>
        <w:rPr>
          <w:sz w:val="20"/>
          <w:szCs w:val="20"/>
          <w:color w:val="auto"/>
        </w:rPr>
      </w:pPr>
      <w:r>
        <w:rPr>
          <w:rFonts w:ascii="Times New Roman" w:cs="Times New Roman" w:eastAsia="Times New Roman" w:hAnsi="Times New Roman"/>
          <w:sz w:val="18"/>
          <w:szCs w:val="18"/>
          <w:color w:val="auto"/>
        </w:rPr>
        <w:t>of December 31, 2020, the Swiss Plan had an unfunded status of $6.4 million, which resulted from fair value of plan assets of $7.7 million and projected benefit obligation of $14.1 million. The accumulated benefit obligation at December 31, 2020 was $11.8 million. The Company’s net periodic benefit cost as well as contributions to the Swiss Plan for the years ended December 31, 2020 and 2019 were not material.</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w:t>
      </w:r>
    </w:p>
    <w:p>
      <w:pPr>
        <w:spacing w:after="0" w:line="216" w:lineRule="exact"/>
        <w:rPr>
          <w:sz w:val="20"/>
          <w:szCs w:val="20"/>
          <w:color w:val="auto"/>
        </w:rPr>
      </w:pPr>
    </w:p>
    <w:p>
      <w:pPr>
        <w:ind w:left="60" w:right="79" w:firstLine="648"/>
        <w:spacing w:after="0" w:line="245" w:lineRule="auto"/>
        <w:rPr>
          <w:sz w:val="20"/>
          <w:szCs w:val="20"/>
          <w:color w:val="auto"/>
        </w:rPr>
      </w:pPr>
      <w:r>
        <w:rPr>
          <w:rFonts w:ascii="Times New Roman" w:cs="Times New Roman" w:eastAsia="Times New Roman" w:hAnsi="Times New Roman"/>
          <w:sz w:val="18"/>
          <w:szCs w:val="18"/>
          <w:color w:val="212529"/>
        </w:rPr>
        <w:t>In connection with the commercialization of AYVAKIT/AYVAKYT and GAVRETO, the Company has negotiated manufacturing agreements with certain vendors that require the Company to meet minimum purchase obligations on an annual basis. The aggregate amount of future minimum purchase obligations under these manufacturing agreements over the period of next five years is approximately $30.9 million as of December 31, 2020</w:t>
      </w:r>
      <w:r>
        <w:rPr>
          <w:rFonts w:ascii="Times New Roman" w:cs="Times New Roman" w:eastAsia="Times New Roman" w:hAnsi="Times New Roman"/>
          <w:sz w:val="18"/>
          <w:szCs w:val="18"/>
          <w:color w:val="000000"/>
        </w:rPr>
        <w: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358775</wp:posOffset>
            </wp:positionV>
            <wp:extent cx="565785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6" w:name="page157"/>
    <w:bookmarkEnd w:id="156"/>
    <w:p>
      <w:pPr>
        <w:ind w:left="60"/>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12529"/>
        </w:rPr>
        <w:t>18. Subsequent Events</w:t>
      </w:r>
    </w:p>
    <w:p>
      <w:pPr>
        <w:spacing w:after="0" w:line="256" w:lineRule="exact"/>
        <w:rPr>
          <w:sz w:val="20"/>
          <w:szCs w:val="20"/>
          <w:color w:val="auto"/>
        </w:rPr>
      </w:pPr>
    </w:p>
    <w:p>
      <w:pPr>
        <w:ind w:left="60" w:right="159" w:firstLine="648"/>
        <w:spacing w:after="0"/>
        <w:rPr>
          <w:sz w:val="20"/>
          <w:szCs w:val="20"/>
          <w:color w:val="auto"/>
        </w:rPr>
      </w:pPr>
      <w:r>
        <w:rPr>
          <w:rFonts w:ascii="Times New Roman" w:cs="Times New Roman" w:eastAsia="Times New Roman" w:hAnsi="Times New Roman"/>
          <w:sz w:val="18"/>
          <w:szCs w:val="18"/>
          <w:color w:val="212529"/>
        </w:rPr>
        <w:t>On January 8, 2021, the Company entered into a ninth amendment to its collaboration and license agreement, as amended, with Roche related to the discovery, development and commercialization of small molecule therapeutics targeting kinases in cancer immunotherapy. Pursuant to the amendment, the Company and Roche agreed to modify certain time periods related to Roche’s option rights for one of the collaboration programs and agreed to terminate two of</w:t>
      </w:r>
    </w:p>
    <w:p>
      <w:pPr>
        <w:spacing w:after="0" w:line="2" w:lineRule="exact"/>
        <w:rPr>
          <w:sz w:val="20"/>
          <w:szCs w:val="20"/>
          <w:color w:val="auto"/>
        </w:rPr>
      </w:pPr>
    </w:p>
    <w:p>
      <w:pPr>
        <w:ind w:left="60" w:right="319"/>
        <w:spacing w:after="0" w:line="243" w:lineRule="auto"/>
        <w:rPr>
          <w:sz w:val="20"/>
          <w:szCs w:val="20"/>
          <w:color w:val="auto"/>
        </w:rPr>
      </w:pPr>
      <w:r>
        <w:rPr>
          <w:rFonts w:ascii="Times New Roman" w:cs="Times New Roman" w:eastAsia="Times New Roman" w:hAnsi="Times New Roman"/>
          <w:sz w:val="18"/>
          <w:szCs w:val="18"/>
          <w:color w:val="212529"/>
        </w:rPr>
        <w:t>the other collaboration programs, including certain mechanics related to the wind-down of activities for such terminated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7" w:name="page158"/>
    <w:bookmarkEnd w:id="157"/>
    <w:p>
      <w:pPr>
        <w:jc w:val="right"/>
        <w:ind w:right="219"/>
        <w:spacing w:after="0"/>
        <w:rPr>
          <w:sz w:val="20"/>
          <w:szCs w:val="20"/>
          <w:color w:val="auto"/>
        </w:rPr>
      </w:pPr>
      <w:r>
        <w:rPr>
          <w:rFonts w:ascii="Arial" w:cs="Arial" w:eastAsia="Arial" w:hAnsi="Arial"/>
          <w:sz w:val="18"/>
          <w:szCs w:val="18"/>
          <w:color w:val="auto"/>
        </w:rPr>
        <w:t>Exhibit 10.32</w:t>
      </w:r>
    </w:p>
    <w:p>
      <w:pPr>
        <w:spacing w:after="0" w:line="200" w:lineRule="exact"/>
        <w:rPr>
          <w:sz w:val="20"/>
          <w:szCs w:val="20"/>
          <w:color w:val="auto"/>
        </w:rPr>
      </w:pPr>
    </w:p>
    <w:p>
      <w:pPr>
        <w:spacing w:after="0" w:line="240" w:lineRule="exact"/>
        <w:rPr>
          <w:sz w:val="20"/>
          <w:szCs w:val="20"/>
          <w:color w:val="auto"/>
        </w:rPr>
      </w:pPr>
    </w:p>
    <w:p>
      <w:pPr>
        <w:ind w:left="820" w:hanging="380"/>
        <w:spacing w:after="0"/>
        <w:tabs>
          <w:tab w:leader="none" w:pos="8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omitted from this exhibit because it is both</w:t>
      </w:r>
    </w:p>
    <w:p>
      <w:pPr>
        <w:spacing w:after="0" w:line="19" w:lineRule="exact"/>
        <w:rPr>
          <w:rFonts w:ascii="Arial" w:cs="Arial" w:eastAsia="Arial" w:hAnsi="Arial"/>
          <w:sz w:val="18"/>
          <w:szCs w:val="18"/>
          <w:b w:val="1"/>
          <w:bCs w:val="1"/>
          <w:color w:val="auto"/>
        </w:rPr>
      </w:pPr>
    </w:p>
    <w:p>
      <w:pPr>
        <w:ind w:left="1500" w:hanging="215"/>
        <w:spacing w:after="0"/>
        <w:tabs>
          <w:tab w:leader="none" w:pos="150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not material and (ii) would be competitively harmful if publicly disclosed.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NINTH AMENDMENT TO COLLABORATION AND LICENSE AGREEMENT</w:t>
      </w:r>
    </w:p>
    <w:p>
      <w:pPr>
        <w:spacing w:after="0" w:line="202" w:lineRule="exact"/>
        <w:rPr>
          <w:sz w:val="20"/>
          <w:szCs w:val="20"/>
          <w:color w:val="auto"/>
        </w:rPr>
      </w:pPr>
    </w:p>
    <w:p>
      <w:pPr>
        <w:jc w:val="both"/>
        <w:ind w:left="200" w:right="219" w:firstLine="648"/>
        <w:spacing w:after="0" w:line="232" w:lineRule="auto"/>
        <w:rPr>
          <w:sz w:val="20"/>
          <w:szCs w:val="20"/>
          <w:color w:val="auto"/>
        </w:rPr>
      </w:pPr>
      <w:r>
        <w:rPr>
          <w:rFonts w:ascii="Arial" w:cs="Arial" w:eastAsia="Arial" w:hAnsi="Arial"/>
          <w:sz w:val="20"/>
          <w:szCs w:val="20"/>
          <w:color w:val="auto"/>
        </w:rPr>
        <w:t>This Ninth Amendment (this “</w:t>
      </w:r>
      <w:r>
        <w:rPr>
          <w:rFonts w:ascii="Arial" w:cs="Arial" w:eastAsia="Arial" w:hAnsi="Arial"/>
          <w:sz w:val="20"/>
          <w:szCs w:val="20"/>
          <w:b w:val="1"/>
          <w:bCs w:val="1"/>
          <w:color w:val="auto"/>
        </w:rPr>
        <w:t>Ninth Amendment</w:t>
      </w:r>
      <w:r>
        <w:rPr>
          <w:rFonts w:ascii="Arial" w:cs="Arial" w:eastAsia="Arial" w:hAnsi="Arial"/>
          <w:sz w:val="20"/>
          <w:szCs w:val="20"/>
          <w:color w:val="auto"/>
        </w:rPr>
        <w:t>”), effective January 8, 2021 (“</w:t>
      </w:r>
      <w:r>
        <w:rPr>
          <w:rFonts w:ascii="Arial" w:cs="Arial" w:eastAsia="Arial" w:hAnsi="Arial"/>
          <w:sz w:val="20"/>
          <w:szCs w:val="20"/>
          <w:b w:val="1"/>
          <w:bCs w:val="1"/>
          <w:color w:val="auto"/>
        </w:rPr>
        <w:t>Ninth</w:t>
      </w:r>
      <w:r>
        <w:rPr>
          <w:rFonts w:ascii="Arial" w:cs="Arial" w:eastAsia="Arial" w:hAnsi="Arial"/>
          <w:sz w:val="20"/>
          <w:szCs w:val="20"/>
          <w:color w:val="auto"/>
        </w:rPr>
        <w:t xml:space="preserv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is by and between F. Hoffmann-La Roche Ltd, with an office and</w:t>
      </w:r>
      <w:r>
        <w:rPr>
          <w:rFonts w:ascii="Arial" w:cs="Arial" w:eastAsia="Arial" w:hAnsi="Arial"/>
          <w:sz w:val="20"/>
          <w:szCs w:val="20"/>
          <w:b w:val="1"/>
          <w:bCs w:val="1"/>
          <w:color w:val="auto"/>
        </w:rPr>
        <w:t xml:space="preserve"> </w:t>
      </w:r>
      <w:r>
        <w:rPr>
          <w:rFonts w:ascii="Arial" w:cs="Arial" w:eastAsia="Arial" w:hAnsi="Arial"/>
          <w:sz w:val="20"/>
          <w:szCs w:val="20"/>
          <w:color w:val="auto"/>
        </w:rPr>
        <w:t>place of business at Grenzacherstrasse 124, 4070 Basel, Switzerland and Hoffmann-La Roche Inc., with an office and place of business at 150 Clove Road, Suite 8, Little Falls, New Jersey 07424 U.S.A. (together referred to as “</w:t>
      </w:r>
      <w:r>
        <w:rPr>
          <w:rFonts w:ascii="Arial" w:cs="Arial" w:eastAsia="Arial" w:hAnsi="Arial"/>
          <w:sz w:val="20"/>
          <w:szCs w:val="20"/>
          <w:b w:val="1"/>
          <w:bCs w:val="1"/>
          <w:color w:val="auto"/>
        </w:rPr>
        <w:t>Roche</w:t>
      </w:r>
      <w:r>
        <w:rPr>
          <w:rFonts w:ascii="Arial" w:cs="Arial" w:eastAsia="Arial" w:hAnsi="Arial"/>
          <w:sz w:val="20"/>
          <w:szCs w:val="20"/>
          <w:color w:val="auto"/>
        </w:rPr>
        <w:t>”), and Blueprint Medicines Corporation, with a principal place of business at 45 Sidney Street, Cambridge, Massachusetts 02139 U.S.A. (“</w:t>
      </w:r>
      <w:r>
        <w:rPr>
          <w:rFonts w:ascii="Arial" w:cs="Arial" w:eastAsia="Arial" w:hAnsi="Arial"/>
          <w:sz w:val="20"/>
          <w:szCs w:val="20"/>
          <w:b w:val="1"/>
          <w:bCs w:val="1"/>
          <w:color w:val="auto"/>
        </w:rPr>
        <w:t>BPM</w:t>
      </w:r>
      <w:r>
        <w:rPr>
          <w:rFonts w:ascii="Arial" w:cs="Arial" w:eastAsia="Arial" w:hAnsi="Arial"/>
          <w:sz w:val="20"/>
          <w:szCs w:val="20"/>
          <w:color w:val="auto"/>
        </w:rPr>
        <w:t>”). Capitalized terms used and not otherwise defined in this Ninth Amendment shall have the meanings set forth in the Agreement (as defined below).</w:t>
      </w:r>
    </w:p>
    <w:p>
      <w:pPr>
        <w:spacing w:after="0" w:line="168" w:lineRule="exact"/>
        <w:rPr>
          <w:sz w:val="20"/>
          <w:szCs w:val="20"/>
          <w:color w:val="auto"/>
        </w:rPr>
      </w:pPr>
    </w:p>
    <w:p>
      <w:pPr>
        <w:jc w:val="both"/>
        <w:ind w:left="200" w:right="219" w:firstLine="648"/>
        <w:spacing w:after="0" w:line="236" w:lineRule="auto"/>
        <w:rPr>
          <w:sz w:val="20"/>
          <w:szCs w:val="20"/>
          <w:color w:val="auto"/>
        </w:rPr>
      </w:pPr>
      <w:r>
        <w:rPr>
          <w:rFonts w:ascii="Arial" w:cs="Arial" w:eastAsia="Arial" w:hAnsi="Arial"/>
          <w:sz w:val="20"/>
          <w:szCs w:val="20"/>
          <w:color w:val="auto"/>
        </w:rPr>
        <w:t>WHEREAS, BPM and Roche entered into a Collaboration and License Agreement, dated March 14, 2016, as amended by an amendment, effective April 15, 2016, a second amendment, effective April 27, 2016, a third amendment, effective August 4, 2016, a fourth amendment, effective February 25, 2019, a fifth amendment, effective June 28, 2019, a sixth amendment effective November 1, 2019, a seventh amendment effective December 17, 2019 and an eighth amendment effective April 30, 2020 (collectively, the “</w:t>
      </w:r>
      <w:r>
        <w:rPr>
          <w:rFonts w:ascii="Arial" w:cs="Arial" w:eastAsia="Arial" w:hAnsi="Arial"/>
          <w:sz w:val="20"/>
          <w:szCs w:val="20"/>
          <w:b w:val="1"/>
          <w:bCs w:val="1"/>
          <w:color w:val="auto"/>
        </w:rPr>
        <w:t>Agreement</w:t>
      </w:r>
      <w:r>
        <w:rPr>
          <w:rFonts w:ascii="Arial" w:cs="Arial" w:eastAsia="Arial" w:hAnsi="Arial"/>
          <w:sz w:val="20"/>
          <w:szCs w:val="20"/>
          <w:color w:val="auto"/>
        </w:rPr>
        <w:t>”);</w:t>
      </w:r>
    </w:p>
    <w:p>
      <w:pPr>
        <w:spacing w:after="0" w:line="155" w:lineRule="exact"/>
        <w:rPr>
          <w:sz w:val="20"/>
          <w:szCs w:val="20"/>
          <w:color w:val="auto"/>
        </w:rPr>
      </w:pPr>
    </w:p>
    <w:p>
      <w:pPr>
        <w:jc w:val="both"/>
        <w:ind w:left="200" w:right="219" w:firstLine="648"/>
        <w:spacing w:after="0" w:line="266" w:lineRule="auto"/>
        <w:rPr>
          <w:sz w:val="20"/>
          <w:szCs w:val="20"/>
          <w:color w:val="auto"/>
        </w:rPr>
      </w:pPr>
      <w:r>
        <w:rPr>
          <w:rFonts w:ascii="Arial" w:cs="Arial" w:eastAsia="Arial" w:hAnsi="Arial"/>
          <w:sz w:val="20"/>
          <w:szCs w:val="20"/>
          <w:color w:val="auto"/>
        </w:rPr>
        <w:t>WHEREAS, BPM and Roche desire to amend certain terms under the Agreement, as set forth below; and</w:t>
      </w:r>
    </w:p>
    <w:p>
      <w:pPr>
        <w:spacing w:after="0" w:line="138" w:lineRule="exact"/>
        <w:rPr>
          <w:sz w:val="20"/>
          <w:szCs w:val="20"/>
          <w:color w:val="auto"/>
        </w:rPr>
      </w:pPr>
    </w:p>
    <w:p>
      <w:pPr>
        <w:jc w:val="both"/>
        <w:ind w:left="200" w:right="239" w:firstLine="648"/>
        <w:spacing w:after="0" w:line="266" w:lineRule="auto"/>
        <w:rPr>
          <w:sz w:val="20"/>
          <w:szCs w:val="20"/>
          <w:color w:val="auto"/>
        </w:rPr>
      </w:pPr>
      <w:r>
        <w:rPr>
          <w:rFonts w:ascii="Arial" w:cs="Arial" w:eastAsia="Arial" w:hAnsi="Arial"/>
          <w:sz w:val="20"/>
          <w:szCs w:val="20"/>
          <w:color w:val="auto"/>
        </w:rPr>
        <w:t>WHEREAS, the Parties wish to terminate each of [***] and [***] as a Collaboration Target under the Agreement;</w:t>
      </w:r>
    </w:p>
    <w:p>
      <w:pPr>
        <w:spacing w:after="0" w:line="138" w:lineRule="exact"/>
        <w:rPr>
          <w:sz w:val="20"/>
          <w:szCs w:val="20"/>
          <w:color w:val="auto"/>
        </w:rPr>
      </w:pPr>
    </w:p>
    <w:p>
      <w:pPr>
        <w:ind w:left="860"/>
        <w:spacing w:after="0"/>
        <w:rPr>
          <w:sz w:val="20"/>
          <w:szCs w:val="20"/>
          <w:color w:val="auto"/>
        </w:rPr>
      </w:pPr>
      <w:r>
        <w:rPr>
          <w:rFonts w:ascii="Arial" w:cs="Arial" w:eastAsia="Arial" w:hAnsi="Arial"/>
          <w:sz w:val="20"/>
          <w:szCs w:val="20"/>
          <w:color w:val="auto"/>
        </w:rPr>
        <w:t>NOW THEREFORE, Roche and Blueprint hereby agree as follows:</w:t>
      </w:r>
    </w:p>
    <w:p>
      <w:pPr>
        <w:spacing w:after="0" w:line="202" w:lineRule="exact"/>
        <w:rPr>
          <w:sz w:val="20"/>
          <w:szCs w:val="20"/>
          <w:color w:val="auto"/>
        </w:rPr>
      </w:pPr>
    </w:p>
    <w:p>
      <w:pPr>
        <w:ind w:left="200" w:right="219" w:firstLine="657"/>
        <w:spacing w:after="0" w:line="266" w:lineRule="auto"/>
        <w:tabs>
          <w:tab w:leader="none" w:pos="1496" w:val="left"/>
        </w:tabs>
        <w:numPr>
          <w:ilvl w:val="0"/>
          <w:numId w:val="73"/>
        </w:numPr>
        <w:rPr>
          <w:rFonts w:ascii="Arial" w:cs="Arial" w:eastAsia="Arial" w:hAnsi="Arial"/>
          <w:sz w:val="20"/>
          <w:szCs w:val="20"/>
          <w:color w:val="auto"/>
        </w:rPr>
      </w:pPr>
      <w:r>
        <w:rPr>
          <w:rFonts w:ascii="Arial" w:cs="Arial" w:eastAsia="Arial" w:hAnsi="Arial"/>
          <w:sz w:val="20"/>
          <w:szCs w:val="20"/>
          <w:color w:val="auto"/>
        </w:rPr>
        <w:t>Section 1.86 (Option Period) of the Agreement shall be deleted in its entirety and replaced by the following:</w:t>
      </w:r>
    </w:p>
    <w:p>
      <w:pPr>
        <w:spacing w:after="0" w:line="138" w:lineRule="exact"/>
        <w:rPr>
          <w:sz w:val="20"/>
          <w:szCs w:val="20"/>
          <w:color w:val="auto"/>
        </w:rPr>
      </w:pPr>
    </w:p>
    <w:p>
      <w:pPr>
        <w:jc w:val="both"/>
        <w:ind w:left="1500" w:right="219"/>
        <w:spacing w:after="0" w:line="229" w:lineRule="auto"/>
        <w:rPr>
          <w:sz w:val="20"/>
          <w:szCs w:val="20"/>
          <w:color w:val="auto"/>
        </w:rPr>
      </w:pPr>
      <w:r>
        <w:rPr>
          <w:rFonts w:ascii="Arial" w:cs="Arial" w:eastAsia="Arial" w:hAnsi="Arial"/>
          <w:sz w:val="20"/>
          <w:szCs w:val="20"/>
          <w:color w:val="auto"/>
        </w:rPr>
        <w:t xml:space="preserve">“The term ‘Option Period’ shall mean, for each Collaboration Target, the period beginning on the date the MTD for the first Product for such Collaboration Target is designated by the JDC and ending upon the earliest of (i) the date that such Collaboration Target becomes a Leftover Target, (ii) [***] after Roche’s receipt of the Option Data Package for such Collaboration Target, (iii) the date such Collaboration Target becomes a Terminated Target, (iv) the date upon which a Product (including Backup Compounds) for such Collaboration Target is no longer in GLP Tox Studies, in Phase I Studies, or progressing from GLP Tox Studies to Phase I Studies, or (v) [***] after achievement of Lead Series Identified Criteria has been confirmed by the JRC for such Collaboration Target if Initiation of the GLP Tox Study has not been achieved for such Collaboration Target prior to such date; </w:t>
      </w:r>
      <w:r>
        <w:rPr>
          <w:rFonts w:ascii="Arial" w:cs="Arial" w:eastAsia="Arial" w:hAnsi="Arial"/>
          <w:sz w:val="20"/>
          <w:szCs w:val="20"/>
          <w:i w:val="1"/>
          <w:iCs w:val="1"/>
          <w:color w:val="auto"/>
        </w:rPr>
        <w:t>provided, however</w:t>
      </w:r>
      <w:r>
        <w:rPr>
          <w:rFonts w:ascii="Arial" w:cs="Arial" w:eastAsia="Arial" w:hAnsi="Arial"/>
          <w:sz w:val="20"/>
          <w:szCs w:val="20"/>
          <w:color w:val="auto"/>
        </w:rPr>
        <w:t>, that [***], for purposes of this clause 1.86(v), [***]. Promptly</w:t>
      </w:r>
      <w:r>
        <w:rPr>
          <w:rFonts w:ascii="Arial" w:cs="Arial" w:eastAsia="Arial" w:hAnsi="Arial"/>
          <w:sz w:val="20"/>
          <w:szCs w:val="20"/>
          <w:i w:val="1"/>
          <w:iCs w:val="1"/>
          <w:color w:val="auto"/>
        </w:rPr>
        <w:t xml:space="preserve"> </w:t>
      </w:r>
      <w:r>
        <w:rPr>
          <w:rFonts w:ascii="Arial" w:cs="Arial" w:eastAsia="Arial" w:hAnsi="Arial"/>
          <w:sz w:val="20"/>
          <w:szCs w:val="20"/>
          <w:color w:val="auto"/>
        </w:rPr>
        <w:t>after the Ninth Amendment Effective Date, the JRC will [***] as the JRC deems reasonably appropriate. [***]. In the event that the JRC subsequently [***].</w:t>
      </w:r>
    </w:p>
    <w:p>
      <w:pPr>
        <w:spacing w:after="0" w:line="168" w:lineRule="exact"/>
        <w:rPr>
          <w:sz w:val="20"/>
          <w:szCs w:val="20"/>
          <w:color w:val="auto"/>
        </w:rPr>
      </w:pPr>
    </w:p>
    <w:p>
      <w:pPr>
        <w:jc w:val="both"/>
        <w:ind w:left="200" w:right="219" w:firstLine="657"/>
        <w:spacing w:after="0" w:line="239" w:lineRule="auto"/>
        <w:tabs>
          <w:tab w:leader="none" w:pos="1496" w:val="left"/>
        </w:tabs>
        <w:numPr>
          <w:ilvl w:val="0"/>
          <w:numId w:val="74"/>
        </w:numPr>
        <w:rPr>
          <w:rFonts w:ascii="Arial" w:cs="Arial" w:eastAsia="Arial" w:hAnsi="Arial"/>
          <w:sz w:val="20"/>
          <w:szCs w:val="20"/>
          <w:color w:val="auto"/>
        </w:rPr>
      </w:pPr>
      <w:r>
        <w:rPr>
          <w:rFonts w:ascii="Arial" w:cs="Arial" w:eastAsia="Arial" w:hAnsi="Arial"/>
          <w:sz w:val="20"/>
          <w:szCs w:val="20"/>
          <w:color w:val="auto"/>
        </w:rPr>
        <w:t>In the event that (A) Initiation of the GLP Tox Study [***] or (B) prior to [***], the JRC determines [***] shall not be continued for any reason, then [***] shall automatically be classified as a “Terminated Target” under the Agreement in all countries in the Territory as if terminated in accordance with Section 21.2.4 (the failure to satisfy the deadline under clause (A)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507365</wp:posOffset>
            </wp:positionV>
            <wp:extent cx="5452110"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58" w:name="page159"/>
    <w:bookmarkEnd w:id="158"/>
    <w:p>
      <w:pPr>
        <w:jc w:val="both"/>
        <w:ind w:left="200" w:right="219"/>
        <w:spacing w:after="0" w:line="239" w:lineRule="auto"/>
        <w:rPr>
          <w:sz w:val="20"/>
          <w:szCs w:val="20"/>
          <w:color w:val="auto"/>
        </w:rPr>
      </w:pPr>
      <w:r>
        <w:rPr>
          <w:rFonts w:ascii="Arial" w:cs="Arial" w:eastAsia="Arial" w:hAnsi="Arial"/>
          <w:sz w:val="19"/>
          <w:szCs w:val="19"/>
          <w:color w:val="auto"/>
        </w:rPr>
        <w:t>or the occurrence of the trigger under clause (B), as applicable, is hereinafter referred to as the “[***]”). Notwithstanding the written notice period set forth in such Section 21.2.4, the effective date of termination of such Terminated Target will be the [***]. Further, effective as of the [***], this Ninth Amendment will be deemed to constitute a “Continuation Election Notice” in accordance with Section 21.3.1 and Roche will comply with its obligations under 21.3.1 and 21.3.4; provided that no payment will be due or payable to Roche under Section 21.3.1(f) or 21.3.4.4. As of the [***], (a) the rights and licenses granted by BPM to Roche under the Agreement related to [***] will terminate in their entirety in all countries in the Territory, (b) except as set forth herein, the rights and obligations of the Parties under the Agreement will terminate with respect to [***], (c) Roche’s obligations under Section 20.1 will survive with respect to [***], (d) BPM will solely own all Collaboration Compounds and Other Compounds for [***], including their methods of manufacture and use, and all Patent Rights and Know-How relating thereto, and (e) BPM will have the right to</w:t>
      </w:r>
    </w:p>
    <w:p>
      <w:pPr>
        <w:spacing w:after="0" w:line="6" w:lineRule="exact"/>
        <w:rPr>
          <w:sz w:val="20"/>
          <w:szCs w:val="20"/>
          <w:color w:val="auto"/>
        </w:rPr>
      </w:pPr>
    </w:p>
    <w:p>
      <w:pPr>
        <w:jc w:val="both"/>
        <w:ind w:left="200" w:right="219" w:firstLine="9"/>
        <w:spacing w:after="0" w:line="228" w:lineRule="auto"/>
        <w:tabs>
          <w:tab w:leader="none" w:pos="431" w:val="left"/>
        </w:tabs>
        <w:numPr>
          <w:ilvl w:val="0"/>
          <w:numId w:val="75"/>
        </w:numPr>
        <w:rPr>
          <w:rFonts w:ascii="Arial" w:cs="Arial" w:eastAsia="Arial" w:hAnsi="Arial"/>
          <w:sz w:val="20"/>
          <w:szCs w:val="20"/>
          <w:color w:val="auto"/>
        </w:rPr>
      </w:pPr>
      <w:r>
        <w:rPr>
          <w:rFonts w:ascii="Arial" w:cs="Arial" w:eastAsia="Arial" w:hAnsi="Arial"/>
          <w:sz w:val="20"/>
          <w:szCs w:val="20"/>
          <w:color w:val="auto"/>
        </w:rPr>
        <w:t>research, develop, manufacture, commercialize and otherwise exploit compounds and products related to [***] outside of the Agreement without any financial obligations to Roche, (ii) publish data and other Know-How related to [***] (including without limitation Collaboration Compounds and Other Compounds for such Terminated Target) generated by or on behalf of the Parties under the Agreement prior to the [***] or thereafter without obtaining prior review or approval from Roche and (iii) disclose, in its sole discretion, in a manner consistent with BPM’s then-current disclosure or publication practices or policies, that such data or Know-How was generated under the Agreement and/or the names and affiliations of the individuals involved in the generation of such data or Know-How, if and as applicable.</w:t>
      </w:r>
    </w:p>
    <w:p>
      <w:pPr>
        <w:spacing w:after="0" w:line="167" w:lineRule="exact"/>
        <w:rPr>
          <w:rFonts w:ascii="Arial" w:cs="Arial" w:eastAsia="Arial" w:hAnsi="Arial"/>
          <w:sz w:val="20"/>
          <w:szCs w:val="20"/>
          <w:color w:val="auto"/>
        </w:rPr>
      </w:pPr>
    </w:p>
    <w:p>
      <w:pPr>
        <w:jc w:val="both"/>
        <w:ind w:left="200" w:right="219" w:firstLine="657"/>
        <w:spacing w:after="0" w:line="227" w:lineRule="auto"/>
        <w:tabs>
          <w:tab w:leader="none" w:pos="1496" w:val="left"/>
        </w:tabs>
        <w:numPr>
          <w:ilvl w:val="1"/>
          <w:numId w:val="75"/>
        </w:numPr>
        <w:rPr>
          <w:rFonts w:ascii="Arial" w:cs="Arial" w:eastAsia="Arial" w:hAnsi="Arial"/>
          <w:sz w:val="20"/>
          <w:szCs w:val="20"/>
          <w:color w:val="auto"/>
        </w:rPr>
      </w:pPr>
      <w:r>
        <w:rPr>
          <w:rFonts w:ascii="Arial" w:cs="Arial" w:eastAsia="Arial" w:hAnsi="Arial"/>
          <w:sz w:val="20"/>
          <w:szCs w:val="20"/>
          <w:color w:val="auto"/>
        </w:rPr>
        <w:t>Effective as of the Ninth Amendment Effective Date, [***] shall be classified as a “Terminated Target” under the Agreement in all countries in the Territory as if terminated in accordance with Section 21.2.4 (provided that the Parties hereby waive the written notice period set forth in Section 21.2.4). Further, this Ninth Amendment will be deemed to constitute a “Continuation Election Notice” in accordance with Section 21.3.1 and Roche will comply with its obligations under 21.3.1 and 21.3.4; provided that there will be no Transfer Activities (as defined in Section 21.3.4.4(d)) related to [***] other than the transfer by Roche to BPM of any and all preclinical data and reports in Roche’s possession and control related to Collaboration Compounds and Other Compounds for [***] (including without limitation data and reports generated pursuant to the [***] (as defined below)) and no payment will be due or payable to Roche under Section 21.3.1(f) or 21.3.4.4. As of the Ninth Amendment Effective Date, (a) except to the extent necessary to conduct the [***] (as defined below), the rights and licenses granted by BPM to Roche under the Agreement related to [***] will terminate in their entirety in all countries in the Territory, (b) except as set forth herein, the rights and obligations of the Parties under the Agreement will terminate with respect to [***], (c) Roche’s obligations under Section 20.1 will survive with respect to [***], (d) BPM will solely own all Collaboration Compounds and Other Compounds for [***], including [***] (as defined below)), and (e) BPM will have the right to (i) research, develop, manufacture, commercialize and otherwise exploit compounds and products related to [***] outside of the Agreement without any financial obligations to Roche, (ii) publish data and other Know-How related to [***] (including without limitation the name of the target and Collaboration Compounds and Other Compounds for such Terminated Target) generated by or on behalf of the Parties under the Agreement prior to the Ninth Amendment Effective Date or thereafter without obtaining prior review or approval from Roche and (iii) disclose, in its sole discretion, in a manner consistent with BPM’s then-current disclosure or publication practices or policies, that such data or Know-How was generated under the Agreement (including without limitation pursuant to the [***]) and/or the names and affiliations of the individuals involved in the generation of such data or Know-How, if and as applicable. Notwithstanding the foregoing, it is hereby acknowledged and agreed by the Parties that (x) Roche and BPM will conduct the [***] and (y) the Parties under the supervision of the JRC will [***] unless otherwise mutually agreed 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59" w:name="page160"/>
    <w:bookmarkEnd w:id="159"/>
    <w:p>
      <w:pPr>
        <w:jc w:val="both"/>
        <w:ind w:left="200" w:right="219"/>
        <w:spacing w:after="0" w:line="245" w:lineRule="auto"/>
        <w:rPr>
          <w:sz w:val="20"/>
          <w:szCs w:val="20"/>
          <w:color w:val="auto"/>
        </w:rPr>
      </w:pPr>
      <w:r>
        <w:rPr>
          <w:rFonts w:ascii="Arial" w:cs="Arial" w:eastAsia="Arial" w:hAnsi="Arial"/>
          <w:sz w:val="20"/>
          <w:szCs w:val="20"/>
          <w:color w:val="auto"/>
        </w:rPr>
        <w:t>writing; provided, however, that in the event that the Parties are unable to agree upon the content for such publication on or prior to [***], then the obligations of the Parties under clause (y) shall terminate as of such date.</w:t>
      </w:r>
    </w:p>
    <w:p>
      <w:pPr>
        <w:spacing w:after="0" w:line="158" w:lineRule="exact"/>
        <w:rPr>
          <w:sz w:val="20"/>
          <w:szCs w:val="20"/>
          <w:color w:val="auto"/>
        </w:rPr>
      </w:pPr>
    </w:p>
    <w:p>
      <w:pPr>
        <w:jc w:val="both"/>
        <w:ind w:left="200" w:right="219" w:firstLine="657"/>
        <w:spacing w:after="0"/>
        <w:tabs>
          <w:tab w:leader="none" w:pos="1496" w:val="left"/>
        </w:tabs>
        <w:numPr>
          <w:ilvl w:val="1"/>
          <w:numId w:val="76"/>
        </w:numPr>
        <w:rPr>
          <w:rFonts w:ascii="Arial" w:cs="Arial" w:eastAsia="Arial" w:hAnsi="Arial"/>
          <w:sz w:val="19"/>
          <w:szCs w:val="19"/>
          <w:color w:val="auto"/>
        </w:rPr>
      </w:pPr>
      <w:r>
        <w:rPr>
          <w:rFonts w:ascii="Arial" w:cs="Arial" w:eastAsia="Arial" w:hAnsi="Arial"/>
          <w:sz w:val="19"/>
          <w:szCs w:val="19"/>
          <w:color w:val="auto"/>
        </w:rPr>
        <w:t>Effective as of the Ninth Amendment Effective Date, [***] shall be classified as a “Terminated Target” under the Agreement in all countries in the Territory as if terminated in accordance with Section 21.2.4 (provided that the Parties hereby waive the written notice period set forth in Section 21.2.4). Further, this Ninth Amendment will be deemed to constitute a “Continuation Election Notice” in accordance with Section 21.3.1 and Roche will comply with its obligations under 21.3.1 and 21.3.4; provided that there will be no Transfer Activities (as defined in Section 21.3.4.4(d)) related to [***] other than the transfer by Roche to BPM of any and all preclinical data and reports in Roche’s possession and control related to Collaboration Compounds and Other Compounds for [***] (including without limitation data and reports generated pursuant to the [***] (as defined below)) and no payment will be due or payable to Roche under Section 21.3.1(f) or 21.3.4.4. As of the Ninth Amendment Effective Date, (a) except to the extent necessary to conduct the [***] (as defined below), the rights and licenses granted by BPM to Roche under the Agreement related to [***] will terminate in their entirety in all countries in the Territory, (b) except as set forth herein, the rights and obligations of the Parties under the Agreement will terminate with respect to [***], (c) Roche’s obligations under Section 20.1 will survive with respect to [***],(d) BPM will solely own all Collaboration Compounds and Other Compounds for [***] (as defined below)) and (e) BPM will have the right to (i) research, develop, manufacture, commercialize and otherwise exploit compounds and products related to [***] outside of the Agreement without any financial obligations to Roche, (ii) publish data and other Know-How related to [***] (including without limitation the name of the target and Collaboration Compounds and Other Compounds for such Terminated Target) generated by or on behalf of the Parties under the Agreement prior to the Ninth Amendment Effective Date or thereafter without obtaining prior review or approval from Roche and (iii) disclose, in its sole discretion, in a manner consistent with BPM’s then-current disclosure or publication practices or policies that such data or Know-How was generated under the Agreement (including without limitation pursuant to the [***]) and/or the names and affiliations of the individuals involved in the generation of such data or Know-How, if and as applicable. Notwithstanding the foregoing, (x) Roche and BPM will conduct</w:t>
      </w:r>
    </w:p>
    <w:p>
      <w:pPr>
        <w:spacing w:after="0" w:line="177" w:lineRule="exact"/>
        <w:rPr>
          <w:rFonts w:ascii="Arial" w:cs="Arial" w:eastAsia="Arial" w:hAnsi="Arial"/>
          <w:sz w:val="19"/>
          <w:szCs w:val="19"/>
          <w:color w:val="auto"/>
        </w:rPr>
      </w:pPr>
    </w:p>
    <w:p>
      <w:pPr>
        <w:jc w:val="both"/>
        <w:ind w:left="200" w:right="219" w:firstLine="9"/>
        <w:spacing w:after="0" w:line="237" w:lineRule="auto"/>
        <w:tabs>
          <w:tab w:leader="none" w:pos="6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and (y) the Parties under the supervision of the JRC will [***] unless otherwise mutually agreed in writing; provided, however, that in the event that the Parties are unable to agree upon the content for such publication on or prior to [***], then the obligations of the Parties under clause</w:t>
      </w:r>
    </w:p>
    <w:p>
      <w:pPr>
        <w:ind w:left="200"/>
        <w:spacing w:after="0"/>
        <w:rPr>
          <w:rFonts w:ascii="Arial" w:cs="Arial" w:eastAsia="Arial" w:hAnsi="Arial"/>
          <w:sz w:val="19"/>
          <w:szCs w:val="19"/>
          <w:color w:val="auto"/>
        </w:rPr>
      </w:pPr>
      <w:r>
        <w:rPr>
          <w:rFonts w:ascii="Arial" w:cs="Arial" w:eastAsia="Arial" w:hAnsi="Arial"/>
          <w:sz w:val="20"/>
          <w:szCs w:val="20"/>
          <w:color w:val="auto"/>
        </w:rPr>
        <w:t>(y) shall terminate as of such date.</w:t>
      </w:r>
    </w:p>
    <w:p>
      <w:pPr>
        <w:spacing w:after="0" w:line="176" w:lineRule="exact"/>
        <w:rPr>
          <w:rFonts w:ascii="Arial" w:cs="Arial" w:eastAsia="Arial" w:hAnsi="Arial"/>
          <w:sz w:val="19"/>
          <w:szCs w:val="19"/>
          <w:color w:val="auto"/>
        </w:rPr>
      </w:pPr>
    </w:p>
    <w:p>
      <w:pPr>
        <w:jc w:val="both"/>
        <w:ind w:left="200" w:right="219" w:firstLine="657"/>
        <w:spacing w:after="0" w:line="236" w:lineRule="auto"/>
        <w:tabs>
          <w:tab w:leader="none" w:pos="1496"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This Ninth Amendment may be executed in two (2) or more counterparts, each of which shall be deemed an original, but all of which together shall constitute one and the same instrument. Counterparts may be delivered via facsimile, electronic mail (including pdf or other electronic signature) or other transmission method and any counterpart so delivered shall be deemed to have been duly and validly delivered and be valid and effective for all purposes.</w:t>
      </w:r>
    </w:p>
    <w:p>
      <w:pPr>
        <w:spacing w:after="0" w:line="165" w:lineRule="exact"/>
        <w:rPr>
          <w:rFonts w:ascii="Arial" w:cs="Arial" w:eastAsia="Arial" w:hAnsi="Arial"/>
          <w:sz w:val="20"/>
          <w:szCs w:val="20"/>
          <w:color w:val="auto"/>
        </w:rPr>
      </w:pPr>
    </w:p>
    <w:p>
      <w:pPr>
        <w:jc w:val="both"/>
        <w:ind w:left="200" w:right="219" w:firstLine="657"/>
        <w:spacing w:after="0" w:line="233" w:lineRule="auto"/>
        <w:tabs>
          <w:tab w:leader="none" w:pos="1496"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This Ninth Amendment shall be effective as of the Ninth Amendment Effective Date. On and after the Ninth Amendment Effective Date, each reference in the Agreement to “this Agreement,” “hereunder,” “hereof,” “herein” or words of like import, and each similar reference in the other documents entered into in connection with the Agreement, shall mean and be a reference to the Agreement, as amended by this Ninth Amendment. Except as specifically amended above, the Agreement shall remain in full force and effect in accordance with its terms and is hereby ratified and confirmed.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0" w:name="page161"/>
    <w:bookmarkEnd w:id="160"/>
    <w:p>
      <w:pPr>
        <w:jc w:val="both"/>
        <w:ind w:left="200" w:right="219" w:firstLine="657"/>
        <w:spacing w:after="0" w:line="238" w:lineRule="auto"/>
        <w:tabs>
          <w:tab w:leader="none" w:pos="1496"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This Ninth Amendment shall be governed by and construed in accordance with the laws of the State of New York, without reference to its conflict of laws principles, and shall not be governed by the United Nations Convention of International Contracts on the Sale of Goods (the Vienna Convention).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1" w:name="page162"/>
    <w:bookmarkEnd w:id="161"/>
    <w:p>
      <w:pPr>
        <w:ind w:left="200" w:right="219" w:firstLine="648"/>
        <w:spacing w:after="0" w:line="264" w:lineRule="auto"/>
        <w:rPr>
          <w:sz w:val="20"/>
          <w:szCs w:val="20"/>
          <w:color w:val="auto"/>
        </w:rPr>
      </w:pPr>
      <w:r>
        <w:rPr>
          <w:rFonts w:ascii="Arial" w:cs="Arial" w:eastAsia="Arial" w:hAnsi="Arial"/>
          <w:sz w:val="20"/>
          <w:szCs w:val="20"/>
          <w:color w:val="auto"/>
        </w:rPr>
        <w:t>IN WITNESS WHEREOF, the Parties have caused this Ninth Amendment to be executed by their respective duly authorized representatives as of the Ninth Amendment Effective Date.</w:t>
      </w:r>
    </w:p>
    <w:p>
      <w:pPr>
        <w:spacing w:after="0" w:line="200" w:lineRule="exact"/>
        <w:rPr>
          <w:sz w:val="20"/>
          <w:szCs w:val="20"/>
          <w:color w:val="auto"/>
        </w:rPr>
      </w:pPr>
    </w:p>
    <w:p>
      <w:pPr>
        <w:spacing w:after="0" w:line="371" w:lineRule="exact"/>
        <w:rPr>
          <w:sz w:val="20"/>
          <w:szCs w:val="20"/>
          <w:color w:val="auto"/>
        </w:rPr>
      </w:pPr>
    </w:p>
    <w:tbl>
      <w:tblPr>
        <w:tblLayout w:type="fixed"/>
        <w:tblInd w:w="220" w:type="dxa"/>
        <w:tblCellMar>
          <w:top w:w="0" w:type="dxa"/>
          <w:left w:w="0" w:type="dxa"/>
          <w:bottom w:w="0" w:type="dxa"/>
          <w:right w:w="0" w:type="dxa"/>
        </w:tblCellMar>
      </w:tblPr>
      <w:tr>
        <w:trPr>
          <w:trHeight w:val="281"/>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b w:val="1"/>
                <w:bCs w:val="1"/>
                <w:color w:val="auto"/>
              </w:rPr>
              <w:t>Blueprint Medicines Corporation</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87"/>
        </w:trPr>
        <w:tc>
          <w:tcPr>
            <w:tcW w:w="80" w:type="dxa"/>
            <w:vAlign w:val="bottom"/>
          </w:tcPr>
          <w:p>
            <w:pPr>
              <w:spacing w:after="0"/>
              <w:rPr>
                <w:sz w:val="24"/>
                <w:szCs w:val="24"/>
                <w:color w:val="auto"/>
              </w:rPr>
            </w:pPr>
          </w:p>
        </w:tc>
        <w:tc>
          <w:tcPr>
            <w:tcW w:w="388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auto"/>
              </w:rPr>
              <w:t>/s/ Jeffrey W. Albers</w:t>
            </w:r>
          </w:p>
        </w:tc>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3"/>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color w:val="auto"/>
              </w:rPr>
              <w:t>Name: Jeffrey W. Albers</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color w:val="auto"/>
              </w:rPr>
              <w:t>Title:  President &amp; Chief Executive Officer</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66"/>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b w:val="1"/>
                <w:bCs w:val="1"/>
                <w:color w:val="auto"/>
              </w:rPr>
              <w:t>F. Hoffmann-La Roche Ltd</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87"/>
        </w:trPr>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w:t>
            </w:r>
          </w:p>
        </w:tc>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Markus Keller</w:t>
            </w:r>
          </w:p>
        </w:tc>
        <w:tc>
          <w:tcPr>
            <w:tcW w:w="42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Stefan Arnold</w:t>
            </w:r>
          </w:p>
        </w:tc>
        <w:tc>
          <w:tcPr>
            <w:tcW w:w="240" w:type="dxa"/>
            <w:vAlign w:val="bottom"/>
          </w:tcPr>
          <w:p>
            <w:pPr>
              <w:spacing w:after="0"/>
              <w:rPr>
                <w:sz w:val="24"/>
                <w:szCs w:val="24"/>
                <w:color w:val="auto"/>
              </w:rPr>
            </w:pPr>
          </w:p>
        </w:tc>
      </w:tr>
      <w:tr>
        <w:trPr>
          <w:trHeight w:val="463"/>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color w:val="auto"/>
              </w:rPr>
              <w:t>Name: Markus Keller</w:t>
            </w:r>
          </w:p>
        </w:tc>
        <w:tc>
          <w:tcPr>
            <w:tcW w:w="4200" w:type="dxa"/>
            <w:vAlign w:val="bottom"/>
            <w:gridSpan w:val="2"/>
          </w:tcPr>
          <w:p>
            <w:pPr>
              <w:spacing w:after="0"/>
              <w:rPr>
                <w:sz w:val="20"/>
                <w:szCs w:val="20"/>
                <w:color w:val="auto"/>
              </w:rPr>
            </w:pPr>
            <w:r>
              <w:rPr>
                <w:rFonts w:ascii="Arial" w:cs="Arial" w:eastAsia="Arial" w:hAnsi="Arial"/>
                <w:sz w:val="20"/>
                <w:szCs w:val="20"/>
                <w:color w:val="auto"/>
              </w:rPr>
              <w:t>Name: Stefan Arnold</w:t>
            </w:r>
          </w:p>
        </w:tc>
      </w:tr>
      <w:tr>
        <w:trPr>
          <w:trHeight w:val="271"/>
        </w:trPr>
        <w:tc>
          <w:tcPr>
            <w:tcW w:w="80" w:type="dxa"/>
            <w:vAlign w:val="bottom"/>
          </w:tcPr>
          <w:p>
            <w:pPr>
              <w:spacing w:after="0"/>
              <w:rPr>
                <w:sz w:val="23"/>
                <w:szCs w:val="23"/>
                <w:color w:val="auto"/>
              </w:rPr>
            </w:pPr>
          </w:p>
        </w:tc>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3860" w:type="dxa"/>
            <w:vAlign w:val="bottom"/>
            <w:gridSpan w:val="3"/>
          </w:tcPr>
          <w:p>
            <w:pPr>
              <w:ind w:left="220"/>
              <w:spacing w:after="0"/>
              <w:rPr>
                <w:sz w:val="20"/>
                <w:szCs w:val="20"/>
                <w:color w:val="auto"/>
              </w:rPr>
            </w:pPr>
            <w:r>
              <w:rPr>
                <w:rFonts w:ascii="Arial" w:cs="Arial" w:eastAsia="Arial" w:hAnsi="Arial"/>
                <w:sz w:val="20"/>
                <w:szCs w:val="20"/>
                <w:color w:val="auto"/>
              </w:rPr>
              <w:t>Global Alliance &amp; Asset Management</w:t>
            </w:r>
          </w:p>
        </w:tc>
        <w:tc>
          <w:tcPr>
            <w:tcW w:w="4200" w:type="dxa"/>
            <w:vAlign w:val="bottom"/>
            <w:gridSpan w:val="2"/>
          </w:tcPr>
          <w:p>
            <w:pPr>
              <w:spacing w:after="0"/>
              <w:rPr>
                <w:sz w:val="20"/>
                <w:szCs w:val="20"/>
                <w:color w:val="auto"/>
              </w:rPr>
            </w:pPr>
            <w:r>
              <w:rPr>
                <w:rFonts w:ascii="Arial" w:cs="Arial" w:eastAsia="Arial" w:hAnsi="Arial"/>
                <w:sz w:val="20"/>
                <w:szCs w:val="20"/>
                <w:color w:val="auto"/>
              </w:rPr>
              <w:t>Title:   Head Legal Pharma</w:t>
            </w:r>
          </w:p>
        </w:tc>
      </w:tr>
      <w:tr>
        <w:trPr>
          <w:trHeight w:val="269"/>
        </w:trPr>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860" w:type="dxa"/>
            <w:vAlign w:val="bottom"/>
            <w:gridSpan w:val="3"/>
          </w:tcPr>
          <w:p>
            <w:pPr>
              <w:ind w:left="220"/>
              <w:spacing w:after="0"/>
              <w:rPr>
                <w:sz w:val="20"/>
                <w:szCs w:val="20"/>
                <w:color w:val="auto"/>
              </w:rPr>
            </w:pPr>
            <w:r>
              <w:rPr>
                <w:rFonts w:ascii="Arial" w:cs="Arial" w:eastAsia="Arial" w:hAnsi="Arial"/>
                <w:sz w:val="20"/>
                <w:szCs w:val="20"/>
                <w:color w:val="auto"/>
              </w:rPr>
              <w:t>Director</w:t>
            </w:r>
          </w:p>
        </w:tc>
        <w:tc>
          <w:tcPr>
            <w:tcW w:w="39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766"/>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b w:val="1"/>
                <w:bCs w:val="1"/>
                <w:color w:val="auto"/>
              </w:rPr>
              <w:t>Hoffmann-La Roche Inc.</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587"/>
        </w:trPr>
        <w:tc>
          <w:tcPr>
            <w:tcW w:w="80" w:type="dxa"/>
            <w:vAlign w:val="bottom"/>
          </w:tcPr>
          <w:p>
            <w:pPr>
              <w:spacing w:after="0"/>
              <w:rPr>
                <w:sz w:val="24"/>
                <w:szCs w:val="24"/>
                <w:color w:val="auto"/>
              </w:rPr>
            </w:pPr>
          </w:p>
        </w:tc>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John P. Parise</w:t>
            </w:r>
          </w:p>
        </w:tc>
        <w:tc>
          <w:tcPr>
            <w:tcW w:w="440" w:type="dxa"/>
            <w:vAlign w:val="bottom"/>
            <w:gridSpan w:val="2"/>
          </w:tcPr>
          <w:p>
            <w:pPr>
              <w:spacing w:after="0"/>
              <w:rPr>
                <w:sz w:val="24"/>
                <w:szCs w:val="24"/>
                <w:color w:val="auto"/>
              </w:rPr>
            </w:pP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463"/>
        </w:trPr>
        <w:tc>
          <w:tcPr>
            <w:tcW w:w="80" w:type="dxa"/>
            <w:vAlign w:val="bottom"/>
          </w:tcPr>
          <w:p>
            <w:pPr>
              <w:spacing w:after="0"/>
              <w:rPr>
                <w:sz w:val="24"/>
                <w:szCs w:val="24"/>
                <w:color w:val="auto"/>
              </w:rPr>
            </w:pPr>
          </w:p>
        </w:tc>
        <w:tc>
          <w:tcPr>
            <w:tcW w:w="4300" w:type="dxa"/>
            <w:vAlign w:val="bottom"/>
            <w:gridSpan w:val="4"/>
          </w:tcPr>
          <w:p>
            <w:pPr>
              <w:spacing w:after="0"/>
              <w:rPr>
                <w:sz w:val="20"/>
                <w:szCs w:val="20"/>
                <w:color w:val="auto"/>
              </w:rPr>
            </w:pPr>
            <w:r>
              <w:rPr>
                <w:rFonts w:ascii="Arial" w:cs="Arial" w:eastAsia="Arial" w:hAnsi="Arial"/>
                <w:sz w:val="20"/>
                <w:szCs w:val="20"/>
                <w:color w:val="auto"/>
              </w:rPr>
              <w:t>Name: John P. Parise</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24"/>
        </w:trPr>
        <w:tc>
          <w:tcPr>
            <w:tcW w:w="8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0"/>
                <w:szCs w:val="20"/>
                <w:color w:val="auto"/>
                <w:w w:val="96"/>
              </w:rPr>
              <w:t>Title:</w:t>
            </w:r>
          </w:p>
        </w:tc>
        <w:tc>
          <w:tcPr>
            <w:tcW w:w="3860" w:type="dxa"/>
            <w:vAlign w:val="bottom"/>
            <w:gridSpan w:val="3"/>
          </w:tcPr>
          <w:p>
            <w:pPr>
              <w:ind w:left="220"/>
              <w:spacing w:after="0"/>
              <w:rPr>
                <w:sz w:val="20"/>
                <w:szCs w:val="20"/>
                <w:color w:val="auto"/>
              </w:rPr>
            </w:pPr>
            <w:r>
              <w:rPr>
                <w:rFonts w:ascii="Arial" w:cs="Arial" w:eastAsia="Arial" w:hAnsi="Arial"/>
                <w:sz w:val="20"/>
                <w:szCs w:val="20"/>
                <w:color w:val="auto"/>
              </w:rPr>
              <w:t>Authorized Signatory</w:t>
            </w:r>
          </w:p>
        </w:tc>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293"/>
        </w:trPr>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 w:right="1440" w:bottom="1440" w:gutter="0" w:footer="0" w:header="0"/>
        </w:sectPr>
      </w:pPr>
    </w:p>
    <w:bookmarkStart w:id="162" w:name="page163"/>
    <w:bookmarkEnd w:id="162"/>
    <w:p>
      <w:pPr>
        <w:jc w:val="right"/>
        <w:ind w:right="219"/>
        <w:spacing w:after="0"/>
        <w:rPr>
          <w:sz w:val="20"/>
          <w:szCs w:val="20"/>
          <w:color w:val="auto"/>
        </w:rPr>
      </w:pPr>
      <w:r>
        <w:rPr>
          <w:rFonts w:ascii="Arial" w:cs="Arial" w:eastAsia="Arial" w:hAnsi="Arial"/>
          <w:sz w:val="20"/>
          <w:szCs w:val="20"/>
          <w:u w:val="single" w:color="auto"/>
          <w:color w:val="auto"/>
        </w:rPr>
        <w:t>Schedule 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63" w:name="page164"/>
    <w:bookmarkEnd w:id="163"/>
    <w:p>
      <w:pPr>
        <w:jc w:val="right"/>
        <w:ind w:right="219"/>
        <w:spacing w:after="0"/>
        <w:rPr>
          <w:sz w:val="20"/>
          <w:szCs w:val="20"/>
          <w:color w:val="auto"/>
        </w:rPr>
      </w:pPr>
      <w:r>
        <w:rPr>
          <w:rFonts w:ascii="Arial" w:cs="Arial" w:eastAsia="Arial" w:hAnsi="Arial"/>
          <w:sz w:val="20"/>
          <w:szCs w:val="20"/>
          <w:u w:val="single" w:color="auto"/>
          <w:color w:val="auto"/>
        </w:rPr>
        <w:t>Schedule B</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497205</wp:posOffset>
            </wp:positionV>
            <wp:extent cx="5452110"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326" w:right="1440" w:bottom="1440" w:gutter="0" w:footer="0" w:header="0"/>
        </w:sectPr>
      </w:pPr>
    </w:p>
    <w:bookmarkStart w:id="164" w:name="page165"/>
    <w:bookmarkEnd w:id="164"/>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pacing w:after="0" w:line="229"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33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Entity</w:t>
            </w:r>
          </w:p>
        </w:tc>
        <w:tc>
          <w:tcPr>
            <w:tcW w:w="200" w:type="dxa"/>
            <w:vAlign w:val="bottom"/>
          </w:tcPr>
          <w:p>
            <w:pPr>
              <w:spacing w:after="0"/>
              <w:rPr>
                <w:sz w:val="19"/>
                <w:szCs w:val="19"/>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State/Jurisdiction of Incorporation or Organization</w:t>
            </w:r>
          </w:p>
        </w:tc>
        <w:tc>
          <w:tcPr>
            <w:tcW w:w="580" w:type="dxa"/>
            <w:vAlign w:val="bottom"/>
          </w:tcPr>
          <w:p>
            <w:pPr>
              <w:spacing w:after="0"/>
              <w:rPr>
                <w:sz w:val="19"/>
                <w:szCs w:val="19"/>
                <w:color w:val="auto"/>
              </w:rPr>
            </w:pPr>
          </w:p>
        </w:tc>
      </w:tr>
      <w:tr>
        <w:trPr>
          <w:trHeight w:val="318"/>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Security Corporation</w:t>
            </w:r>
          </w:p>
        </w:tc>
        <w:tc>
          <w:tcPr>
            <w:tcW w:w="45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9"/>
              </w:rPr>
              <w:t>Massachusetts</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(Switzerland) GmbH</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9"/>
              </w:rPr>
              <w:t>Switzerland</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(Netherlands) B.V.</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Netherlands</w:t>
            </w:r>
          </w:p>
        </w:tc>
      </w:tr>
      <w:tr>
        <w:trPr>
          <w:trHeight w:val="310"/>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(UK) Ltd.</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(Germany) GmbH</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Germany</w:t>
            </w:r>
          </w:p>
        </w:tc>
      </w:tr>
      <w:tr>
        <w:trPr>
          <w:trHeight w:val="310"/>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Spain, S.L.</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Spain</w:t>
            </w:r>
          </w:p>
        </w:tc>
      </w:tr>
      <w:tr>
        <w:trPr>
          <w:trHeight w:val="311"/>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(France) SAS</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France</w:t>
            </w:r>
          </w:p>
        </w:tc>
      </w:tr>
      <w:tr>
        <w:trPr>
          <w:trHeight w:val="310"/>
        </w:trPr>
        <w:tc>
          <w:tcPr>
            <w:tcW w:w="580" w:type="dxa"/>
            <w:vAlign w:val="bottom"/>
          </w:tcPr>
          <w:p>
            <w:pPr>
              <w:spacing w:after="0"/>
              <w:rPr>
                <w:sz w:val="24"/>
                <w:szCs w:val="24"/>
                <w:color w:val="auto"/>
              </w:rPr>
            </w:pPr>
          </w:p>
        </w:tc>
        <w:tc>
          <w:tcPr>
            <w:tcW w:w="3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Blueprint Medicines (Italy) S.r.L.</w:t>
            </w:r>
          </w:p>
        </w:tc>
        <w:tc>
          <w:tcPr>
            <w:tcW w:w="45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Italy</w:t>
            </w:r>
          </w:p>
        </w:tc>
      </w:tr>
      <w:tr>
        <w:trPr>
          <w:trHeight w:val="1681"/>
        </w:trPr>
        <w:tc>
          <w:tcPr>
            <w:tcW w:w="5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165" w:name="page166"/>
    <w:bookmarkEnd w:id="165"/>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860" w:hanging="327"/>
        <w:spacing w:after="0"/>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S-3ASR No. 333-236424) of Blueprint Medicines Corporation,</w:t>
      </w:r>
    </w:p>
    <w:p>
      <w:pPr>
        <w:spacing w:after="0" w:line="36" w:lineRule="exact"/>
        <w:rPr>
          <w:rFonts w:ascii="Times New Roman" w:cs="Times New Roman" w:eastAsia="Times New Roman" w:hAnsi="Times New Roman"/>
          <w:sz w:val="18"/>
          <w:szCs w:val="18"/>
          <w:color w:val="auto"/>
        </w:rPr>
      </w:pPr>
    </w:p>
    <w:p>
      <w:pPr>
        <w:jc w:val="both"/>
        <w:ind w:left="860" w:right="239" w:hanging="327"/>
        <w:spacing w:after="0" w:line="281" w:lineRule="auto"/>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333-203749) pertaining to the 2011 Stock Option and Grant Plan, 2015 Stock Option and Incentive Plan, and 2015 Employee Stock Purchase Plan of Blueprint Medicines Corporation,</w:t>
      </w:r>
    </w:p>
    <w:p>
      <w:pPr>
        <w:spacing w:after="0" w:line="1" w:lineRule="exact"/>
        <w:rPr>
          <w:rFonts w:ascii="Times New Roman" w:cs="Times New Roman" w:eastAsia="Times New Roman" w:hAnsi="Times New Roman"/>
          <w:sz w:val="18"/>
          <w:szCs w:val="18"/>
          <w:color w:val="auto"/>
        </w:rPr>
      </w:pPr>
    </w:p>
    <w:p>
      <w:pPr>
        <w:jc w:val="both"/>
        <w:ind w:left="860" w:right="219" w:hanging="327"/>
        <w:spacing w:after="0" w:line="281" w:lineRule="auto"/>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Nos. 333-210125, 333-216575, 333-223131, 333-229885 and 333-236421) pertaining to the 2015 Stock Option and Incentive Plan and 2015 Employee Stock Purchase Plan of Blueprint Medicines Corporation, and</w:t>
      </w:r>
    </w:p>
    <w:p>
      <w:pPr>
        <w:spacing w:after="0" w:line="1" w:lineRule="exact"/>
        <w:rPr>
          <w:rFonts w:ascii="Times New Roman" w:cs="Times New Roman" w:eastAsia="Times New Roman" w:hAnsi="Times New Roman"/>
          <w:sz w:val="18"/>
          <w:szCs w:val="18"/>
          <w:color w:val="auto"/>
        </w:rPr>
      </w:pPr>
    </w:p>
    <w:p>
      <w:pPr>
        <w:ind w:left="860" w:right="239" w:hanging="327"/>
        <w:spacing w:after="0" w:line="313" w:lineRule="auto"/>
        <w:tabs>
          <w:tab w:leader="none" w:pos="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333-238039) pertaining to the 2020 Inducement Plan of Blueprint Medicines Corporation;</w:t>
      </w:r>
    </w:p>
    <w:p>
      <w:pPr>
        <w:spacing w:after="0" w:line="149" w:lineRule="exact"/>
        <w:rPr>
          <w:sz w:val="20"/>
          <w:szCs w:val="20"/>
          <w:color w:val="auto"/>
        </w:rPr>
      </w:pPr>
    </w:p>
    <w:p>
      <w:pPr>
        <w:jc w:val="both"/>
        <w:ind w:left="200" w:right="219"/>
        <w:spacing w:after="0" w:line="261" w:lineRule="auto"/>
        <w:rPr>
          <w:sz w:val="20"/>
          <w:szCs w:val="20"/>
          <w:color w:val="auto"/>
        </w:rPr>
      </w:pPr>
      <w:r>
        <w:rPr>
          <w:rFonts w:ascii="Times New Roman" w:cs="Times New Roman" w:eastAsia="Times New Roman" w:hAnsi="Times New Roman"/>
          <w:sz w:val="18"/>
          <w:szCs w:val="18"/>
          <w:color w:val="auto"/>
        </w:rPr>
        <w:t>of our reports dated February 17, 2021,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2020.</w:t>
      </w:r>
    </w:p>
    <w:p>
      <w:pPr>
        <w:spacing w:after="0" w:line="180"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February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6" w:name="page167"/>
    <w:bookmarkEnd w:id="166"/>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Jeffrey W. Albers, certify that:</w:t>
      </w:r>
    </w:p>
    <w:p>
      <w:pPr>
        <w:spacing w:after="0" w:line="212" w:lineRule="exact"/>
        <w:rPr>
          <w:sz w:val="20"/>
          <w:szCs w:val="20"/>
          <w:color w:val="auto"/>
        </w:rPr>
      </w:pPr>
    </w:p>
    <w:p>
      <w:pPr>
        <w:ind w:left="1500" w:hanging="643"/>
        <w:spacing w:after="0"/>
        <w:tabs>
          <w:tab w:leader="none" w:pos="15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11" w:lineRule="exact"/>
        <w:rPr>
          <w:rFonts w:ascii="Times New Roman" w:cs="Times New Roman" w:eastAsia="Times New Roman" w:hAnsi="Times New Roman"/>
          <w:sz w:val="18"/>
          <w:szCs w:val="18"/>
          <w:color w:val="auto"/>
        </w:rPr>
      </w:pPr>
    </w:p>
    <w:p>
      <w:pPr>
        <w:ind w:left="200" w:right="299" w:firstLine="657"/>
        <w:spacing w:after="0" w:line="250" w:lineRule="auto"/>
        <w:tabs>
          <w:tab w:leader="none" w:pos="14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60" w:right="279" w:firstLine="645"/>
        <w:spacing w:after="0" w:line="245" w:lineRule="auto"/>
        <w:tabs>
          <w:tab w:leader="none" w:pos="2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860" w:right="259" w:firstLine="645"/>
        <w:spacing w:after="0" w:line="245" w:lineRule="auto"/>
        <w:tabs>
          <w:tab w:leader="none" w:pos="2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860" w:right="399" w:firstLine="645"/>
        <w:spacing w:after="0" w:line="250" w:lineRule="auto"/>
        <w:tabs>
          <w:tab w:leader="none" w:pos="2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60" w:right="379" w:firstLine="645"/>
        <w:spacing w:after="0" w:line="245" w:lineRule="auto"/>
        <w:tabs>
          <w:tab w:leader="none" w:pos="2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200" w:right="259" w:firstLine="657"/>
        <w:spacing w:after="0" w:line="250" w:lineRule="auto"/>
        <w:tabs>
          <w:tab w:leader="none" w:pos="14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60" w:right="439" w:firstLine="645"/>
        <w:spacing w:after="0" w:line="250" w:lineRule="auto"/>
        <w:tabs>
          <w:tab w:leader="none" w:pos="2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60" w:right="599" w:firstLine="645"/>
        <w:spacing w:after="0" w:line="266" w:lineRule="auto"/>
        <w:tabs>
          <w:tab w:leader="none" w:pos="2156"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2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8890</wp:posOffset>
            </wp:positionV>
            <wp:extent cx="25628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Jeffrey W. Albers</w:t>
      </w:r>
    </w:p>
    <w:p>
      <w:pPr>
        <w:ind w:left="4760"/>
        <w:spacing w:after="0" w:line="23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7" w:name="page168"/>
    <w:bookmarkEnd w:id="16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Blueprint Medicines Corporation;</w:t>
      </w:r>
    </w:p>
    <w:p>
      <w:pPr>
        <w:spacing w:after="0" w:line="211" w:lineRule="exact"/>
        <w:rPr>
          <w:rFonts w:ascii="Times New Roman" w:cs="Times New Roman" w:eastAsia="Times New Roman" w:hAnsi="Times New Roman"/>
          <w:sz w:val="18"/>
          <w:szCs w:val="18"/>
          <w:color w:val="auto"/>
        </w:rPr>
      </w:pPr>
    </w:p>
    <w:p>
      <w:pPr>
        <w:ind w:left="200" w:right="299" w:firstLine="657"/>
        <w:spacing w:after="0" w:line="250" w:lineRule="auto"/>
        <w:tabs>
          <w:tab w:leader="none" w:pos="14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ind w:left="200" w:right="459" w:firstLine="657"/>
        <w:spacing w:after="0" w:line="250" w:lineRule="auto"/>
        <w:tabs>
          <w:tab w:leader="none" w:pos="14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860" w:right="279" w:firstLine="645"/>
        <w:spacing w:after="0" w:line="245" w:lineRule="auto"/>
        <w:tabs>
          <w:tab w:leader="none" w:pos="2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0" w:lineRule="exact"/>
        <w:rPr>
          <w:rFonts w:ascii="Times New Roman" w:cs="Times New Roman" w:eastAsia="Times New Roman" w:hAnsi="Times New Roman"/>
          <w:sz w:val="18"/>
          <w:szCs w:val="18"/>
          <w:color w:val="auto"/>
        </w:rPr>
      </w:pPr>
    </w:p>
    <w:p>
      <w:pPr>
        <w:ind w:left="860" w:right="259" w:firstLine="645"/>
        <w:spacing w:after="0" w:line="245" w:lineRule="auto"/>
        <w:tabs>
          <w:tab w:leader="none" w:pos="2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Times New Roman" w:cs="Times New Roman" w:eastAsia="Times New Roman" w:hAnsi="Times New Roman"/>
          <w:sz w:val="18"/>
          <w:szCs w:val="18"/>
          <w:color w:val="auto"/>
        </w:rPr>
      </w:pPr>
    </w:p>
    <w:p>
      <w:pPr>
        <w:ind w:left="860" w:right="399" w:firstLine="645"/>
        <w:spacing w:after="0" w:line="250" w:lineRule="auto"/>
        <w:tabs>
          <w:tab w:leader="none" w:pos="2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860" w:right="379" w:firstLine="645"/>
        <w:spacing w:after="0" w:line="245" w:lineRule="auto"/>
        <w:tabs>
          <w:tab w:leader="none" w:pos="2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Times New Roman" w:cs="Times New Roman" w:eastAsia="Times New Roman" w:hAnsi="Times New Roman"/>
          <w:sz w:val="18"/>
          <w:szCs w:val="18"/>
          <w:color w:val="auto"/>
        </w:rPr>
      </w:pPr>
    </w:p>
    <w:p>
      <w:pPr>
        <w:jc w:val="both"/>
        <w:ind w:left="200" w:right="259" w:firstLine="657"/>
        <w:spacing w:after="0" w:line="250" w:lineRule="auto"/>
        <w:tabs>
          <w:tab w:leader="none" w:pos="149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Times New Roman" w:cs="Times New Roman" w:eastAsia="Times New Roman" w:hAnsi="Times New Roman"/>
          <w:sz w:val="18"/>
          <w:szCs w:val="18"/>
          <w:color w:val="auto"/>
        </w:rPr>
      </w:pPr>
    </w:p>
    <w:p>
      <w:pPr>
        <w:ind w:left="860" w:right="439" w:firstLine="645"/>
        <w:spacing w:after="0" w:line="250" w:lineRule="auto"/>
        <w:tabs>
          <w:tab w:leader="none" w:pos="2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860" w:right="599" w:firstLine="645"/>
        <w:spacing w:after="0" w:line="266" w:lineRule="auto"/>
        <w:tabs>
          <w:tab w:leader="none" w:pos="2156"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220"/>
        <w:spacing w:after="0"/>
        <w:tabs>
          <w:tab w:leader="none" w:pos="448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8890</wp:posOffset>
            </wp:positionV>
            <wp:extent cx="2562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Michael Landsittel</w:t>
      </w:r>
    </w:p>
    <w:p>
      <w:pPr>
        <w:ind w:left="476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68" w:name="page169"/>
    <w:bookmarkEnd w:id="168"/>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2"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76" w:lineRule="exact"/>
        <w:rPr>
          <w:sz w:val="20"/>
          <w:szCs w:val="20"/>
          <w:color w:val="auto"/>
        </w:rPr>
      </w:pPr>
    </w:p>
    <w:p>
      <w:pPr>
        <w:jc w:val="both"/>
        <w:ind w:left="200" w:right="339"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the Annual Report on Form 10-K of Blueprint Medicines Corporation (the “Company”) for the year ended December 31, 2020 as filed with the Securities and Exchange Commission on the date hereof (the “Report”), each of the undersigned officers of the Company hereby certifies, pursuant to 18 U.S.C. Section 1350, that to his knowledge:</w:t>
      </w:r>
    </w:p>
    <w:p>
      <w:pPr>
        <w:spacing w:after="0" w:line="181" w:lineRule="exact"/>
        <w:rPr>
          <w:sz w:val="20"/>
          <w:szCs w:val="20"/>
          <w:color w:val="auto"/>
        </w:rPr>
      </w:pPr>
    </w:p>
    <w:p>
      <w:pPr>
        <w:ind w:left="1500" w:right="259" w:hanging="562"/>
        <w:spacing w:after="0" w:line="266" w:lineRule="auto"/>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2" w:lineRule="exact"/>
        <w:rPr>
          <w:rFonts w:ascii="Times New Roman" w:cs="Times New Roman" w:eastAsia="Times New Roman" w:hAnsi="Times New Roman"/>
          <w:sz w:val="18"/>
          <w:szCs w:val="18"/>
          <w:color w:val="auto"/>
        </w:rPr>
      </w:pPr>
    </w:p>
    <w:p>
      <w:pPr>
        <w:ind w:left="1500" w:right="899" w:hanging="562"/>
        <w:spacing w:after="0" w:line="266" w:lineRule="auto"/>
        <w:tabs>
          <w:tab w:leader="none" w:pos="15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5"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8890</wp:posOffset>
            </wp:positionV>
            <wp:extent cx="247713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8">
                      <a:extLst>
                        <a:ext uri="{28A0092B-C50C-407E-A947-70E740481C1C}"/>
                      </a:extLst>
                    </a:blip>
                    <a:srcRect/>
                    <a:stretch>
                      <a:fillRect/>
                    </a:stretch>
                  </pic:blipFill>
                  <pic:spPr bwMode="auto">
                    <a:xfrm>
                      <a:off x="0" y="0"/>
                      <a:ext cx="2477135" cy="8890"/>
                    </a:xfrm>
                    <a:prstGeom prst="rect">
                      <a:avLst/>
                    </a:prstGeom>
                    <a:noFill/>
                  </pic:spPr>
                </pic:pic>
              </a:graphicData>
            </a:graphic>
          </wp:anchor>
        </w:drawing>
      </w:r>
    </w:p>
    <w:p>
      <w:pPr>
        <w:spacing w:after="0" w:line="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Jeffrey W. Albers</w:t>
      </w:r>
    </w:p>
    <w:p>
      <w:pPr>
        <w:ind w:left="4900"/>
        <w:spacing w:after="0" w:line="234" w:lineRule="auto"/>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78" w:lineRule="exact"/>
        <w:rPr>
          <w:sz w:val="20"/>
          <w:szCs w:val="20"/>
          <w:color w:val="auto"/>
        </w:rPr>
      </w:pPr>
    </w:p>
    <w:p>
      <w:pPr>
        <w:ind w:left="220"/>
        <w:spacing w:after="0"/>
        <w:tabs>
          <w:tab w:leader="none" w:pos="4560" w:val="left"/>
        </w:tabs>
        <w:rPr>
          <w:sz w:val="20"/>
          <w:szCs w:val="20"/>
          <w:color w:val="auto"/>
        </w:rPr>
      </w:pPr>
      <w:r>
        <w:rPr>
          <w:rFonts w:ascii="Times New Roman" w:cs="Times New Roman" w:eastAsia="Times New Roman" w:hAnsi="Times New Roman"/>
          <w:sz w:val="18"/>
          <w:szCs w:val="18"/>
          <w:color w:val="auto"/>
        </w:rPr>
        <w:t>Date: February 17, 2021</w:t>
      </w:r>
      <w:r>
        <w:rPr>
          <w:sz w:val="20"/>
          <w:szCs w:val="20"/>
          <w:color w:val="auto"/>
        </w:rPr>
        <w:tab/>
      </w:r>
      <w:r>
        <w:rPr>
          <w:rFonts w:ascii="Times New Roman" w:cs="Times New Roman" w:eastAsia="Times New Roman" w:hAnsi="Times New Roman"/>
          <w:sz w:val="18"/>
          <w:szCs w:val="18"/>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8890</wp:posOffset>
            </wp:positionV>
            <wp:extent cx="24771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9">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Michael Landsittel</w:t>
      </w:r>
    </w:p>
    <w:p>
      <w:pPr>
        <w:ind w:left="4900"/>
        <w:spacing w:after="0" w:line="234" w:lineRule="auto"/>
        <w:rPr>
          <w:sz w:val="20"/>
          <w:szCs w:val="20"/>
          <w:color w:val="auto"/>
        </w:rPr>
      </w:pPr>
      <w:r>
        <w:rPr>
          <w:rFonts w:ascii="Times New Roman" w:cs="Times New Roman" w:eastAsia="Times New Roman" w:hAnsi="Times New Roman"/>
          <w:sz w:val="18"/>
          <w:szCs w:val="18"/>
          <w:color w:val="auto"/>
        </w:rPr>
        <w:t>Chief Financial Officer</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wp:posOffset>
            </wp:positionV>
            <wp:extent cx="545211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5"/>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lvl w:ilvl="1">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amp;"/>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3"/>
    </w:lvl>
  </w:abstractNum>
  <w:abstractNum w:abstractNumId="58">
    <w:nsid w:val="98A3148"/>
    <w:multiLevelType w:val="hybridMultilevel"/>
    <w:lvl w:ilvl="0">
      <w:lvlJc w:val="left"/>
      <w:lvlText w:val="#"/>
      <w:numFmt w:val="bullet"/>
      <w:start w:val="1"/>
    </w:lvl>
    <w:lvl w:ilvl="1">
      <w:lvlJc w:val="left"/>
      <w:lvlText w:val="%2"/>
      <w:numFmt w:val="decimal"/>
      <w:start w:val="104"/>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
      <w:numFmt w:val="bullet"/>
      <w:start w:val="1"/>
    </w:lvl>
  </w:abstractNum>
  <w:abstractNum w:abstractNumId="63">
    <w:nsid w:val="1EBA5D23"/>
    <w:multiLevelType w:val="hybridMultilevel"/>
    <w:lvl w:ilvl="0">
      <w:lvlJc w:val="left"/>
      <w:lvlText w:val="(%1)"/>
      <w:numFmt w:val="decimal"/>
      <w:start w:val="1"/>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endash "/>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lowerRoman"/>
      <w:start w:val="1"/>
    </w:lvl>
  </w:abstractNum>
  <w:abstractNum w:abstractNumId="69">
    <w:nsid w:val="613EFDC5"/>
    <w:multiLevelType w:val="hybridMultilevel"/>
    <w:lvl w:ilvl="0">
      <w:lvlJc w:val="left"/>
      <w:lvlText w:val="(%1)"/>
      <w:numFmt w:val="decimal"/>
      <w:start w:val="3"/>
    </w:lvl>
  </w:abstractNum>
  <w:abstractNum w:abstractNumId="70">
    <w:nsid w:val="BF72B14"/>
    <w:multiLevelType w:val="hybridMultilevel"/>
    <w:lvl w:ilvl="0">
      <w:lvlJc w:val="left"/>
      <w:lvlText w:val="(%1)"/>
      <w:numFmt w:val="decimal"/>
      <w:start w:val="1"/>
    </w:lvl>
  </w:abstractNum>
  <w:abstractNum w:abstractNumId="71">
    <w:nsid w:val="11447B73"/>
    <w:multiLevelType w:val="hybridMultilevel"/>
    <w:lvl w:ilvl="0">
      <w:lvlJc w:val="left"/>
      <w:lvlText w:val="[***]"/>
      <w:numFmt w:val="bullet"/>
      <w:start w:val="1"/>
    </w:lvl>
    <w:lvl w:ilvl="1">
      <w:lvlJc w:val="left"/>
      <w:lvlText w:val="(%2)"/>
      <w:numFmt w:val="lowerRoman"/>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decimal"/>
      <w:start w:val="2"/>
    </w:lvl>
  </w:abstractNum>
  <w:abstractNum w:abstractNumId="74">
    <w:nsid w:val="8F2B15E"/>
    <w:multiLevelType w:val="hybridMultilevel"/>
    <w:lvl w:ilvl="0">
      <w:lvlJc w:val="left"/>
      <w:lvlText w:val="(%1)"/>
      <w:numFmt w:val="lowerRoman"/>
      <w:start w:val="1"/>
    </w:lvl>
    <w:lvl w:ilvl="1">
      <w:lvlJc w:val="left"/>
      <w:lvlText w:val="%2."/>
      <w:numFmt w:val="decimal"/>
      <w:start w:val="3"/>
    </w:lvl>
  </w:abstractNum>
  <w:abstractNum w:abstractNumId="75">
    <w:nsid w:val="1A32234B"/>
    <w:multiLevelType w:val="hybridMultilevel"/>
    <w:lvl w:ilvl="0">
      <w:lvlJc w:val="left"/>
      <w:lvlText w:val="[***]"/>
      <w:numFmt w:val="bullet"/>
      <w:start w:val="1"/>
    </w:lvl>
    <w:lvl w:ilvl="1">
      <w:lvlJc w:val="left"/>
      <w:lvlText w:val="%2."/>
      <w:numFmt w:val="decimal"/>
      <w:start w:val="4"/>
    </w:lvl>
  </w:abstractNum>
  <w:abstractNum w:abstractNumId="76">
    <w:nsid w:val="3B0FD379"/>
    <w:multiLevelType w:val="hybridMultilevel"/>
    <w:lvl w:ilvl="0">
      <w:lvlJc w:val="left"/>
      <w:lvlText w:val="[***]"/>
      <w:numFmt w:val="bullet"/>
      <w:start w:val="1"/>
    </w:lvl>
    <w:lvl w:ilvl="1">
      <w:lvlJc w:val="left"/>
      <w:lvlText w:val="%2."/>
      <w:numFmt w:val="decimal"/>
      <w:start w:val="5"/>
    </w:lvl>
  </w:abstractNum>
  <w:abstractNum w:abstractNumId="77">
    <w:nsid w:val="68EB2F63"/>
    <w:multiLevelType w:val="hybridMultilevel"/>
    <w:lvl w:ilvl="0">
      <w:lvlJc w:val="left"/>
      <w:lvlText w:val="%1."/>
      <w:numFmt w:val="decimal"/>
      <w:start w:val="7"/>
    </w:lvl>
  </w:abstractNum>
  <w:abstractNum w:abstractNumId="78">
    <w:nsid w:val="4962813B"/>
    <w:multiLevelType w:val="hybridMultilevel"/>
    <w:lvl w:ilvl="0">
      <w:lvlJc w:val="left"/>
      <w:lvlText w:val="(%1)"/>
      <w:numFmt w:val="decimal"/>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200" Type="http://schemas.openxmlformats.org/officeDocument/2006/relationships/image" Target="media/image150.png"/><Relationship Id="rId201" Type="http://schemas.openxmlformats.org/officeDocument/2006/relationships/image" Target="media/image151.png"/><Relationship Id="rId202" Type="http://schemas.openxmlformats.org/officeDocument/2006/relationships/image" Target="media/image152.png"/><Relationship Id="rId203" Type="http://schemas.openxmlformats.org/officeDocument/2006/relationships/image" Target="media/image153.png"/><Relationship Id="rId204" Type="http://schemas.openxmlformats.org/officeDocument/2006/relationships/image" Target="media/image154.png"/><Relationship Id="rId205" Type="http://schemas.openxmlformats.org/officeDocument/2006/relationships/image" Target="media/image155.png"/><Relationship Id="rId206" Type="http://schemas.openxmlformats.org/officeDocument/2006/relationships/image" Target="media/image156.png"/><Relationship Id="rId207" Type="http://schemas.openxmlformats.org/officeDocument/2006/relationships/image" Target="media/image157.png"/><Relationship Id="rId208" Type="http://schemas.openxmlformats.org/officeDocument/2006/relationships/image" Target="media/image158.png"/><Relationship Id="rId209" Type="http://schemas.openxmlformats.org/officeDocument/2006/relationships/image" Target="media/image159.png"/><Relationship Id="rId210" Type="http://schemas.openxmlformats.org/officeDocument/2006/relationships/image" Target="media/image160.png"/><Relationship Id="rId211" Type="http://schemas.openxmlformats.org/officeDocument/2006/relationships/image" Target="media/image161.png"/><Relationship Id="rId212" Type="http://schemas.openxmlformats.org/officeDocument/2006/relationships/image" Target="media/image162.png"/><Relationship Id="rId213" Type="http://schemas.openxmlformats.org/officeDocument/2006/relationships/image" Target="media/image163.png"/><Relationship Id="rId214" Type="http://schemas.openxmlformats.org/officeDocument/2006/relationships/image" Target="media/image164.png"/><Relationship Id="rId215" Type="http://schemas.openxmlformats.org/officeDocument/2006/relationships/image" Target="media/image165.png"/><Relationship Id="rId216" Type="http://schemas.openxmlformats.org/officeDocument/2006/relationships/image" Target="media/image166.png"/><Relationship Id="rId217" Type="http://schemas.openxmlformats.org/officeDocument/2006/relationships/image" Target="media/image167.png"/><Relationship Id="rId218" Type="http://schemas.openxmlformats.org/officeDocument/2006/relationships/image" Target="media/image168.png"/><Relationship Id="rId219" Type="http://schemas.openxmlformats.org/officeDocument/2006/relationships/image" Target="media/image169.png"/><Relationship Id="rId220" Type="http://schemas.openxmlformats.org/officeDocument/2006/relationships/image" Target="media/image170.png"/><Relationship Id="rId221" Type="http://schemas.openxmlformats.org/officeDocument/2006/relationships/image" Target="media/image171.png"/><Relationship Id="rId222" Type="http://schemas.openxmlformats.org/officeDocument/2006/relationships/image" Target="media/image172.png"/><Relationship Id="rId223" Type="http://schemas.openxmlformats.org/officeDocument/2006/relationships/image" Target="media/image173.png"/><Relationship Id="rId224" Type="http://schemas.openxmlformats.org/officeDocument/2006/relationships/image" Target="media/image174.png"/><Relationship Id="rId225" Type="http://schemas.openxmlformats.org/officeDocument/2006/relationships/image" Target="media/image175.png"/><Relationship Id="rId226" Type="http://schemas.openxmlformats.org/officeDocument/2006/relationships/image" Target="media/image176.png"/><Relationship Id="rId227" Type="http://schemas.openxmlformats.org/officeDocument/2006/relationships/image" Target="media/image177.png"/><Relationship Id="rId228" Type="http://schemas.openxmlformats.org/officeDocument/2006/relationships/image" Target="media/image178.png"/><Relationship Id="rId229" Type="http://schemas.openxmlformats.org/officeDocument/2006/relationships/image" Target="media/image179.png"/><Relationship Id="rId230" Type="http://schemas.openxmlformats.org/officeDocument/2006/relationships/image" Target="media/image180.png"/><Relationship Id="rId231" Type="http://schemas.openxmlformats.org/officeDocument/2006/relationships/image" Target="media/image181.png"/><Relationship Id="rId232" Type="http://schemas.openxmlformats.org/officeDocument/2006/relationships/image" Target="media/image182.png"/><Relationship Id="rId233" Type="http://schemas.openxmlformats.org/officeDocument/2006/relationships/image" Target="media/image183.png"/><Relationship Id="rId234" Type="http://schemas.openxmlformats.org/officeDocument/2006/relationships/image" Target="media/image184.png"/><Relationship Id="rId235" Type="http://schemas.openxmlformats.org/officeDocument/2006/relationships/image" Target="media/image185.png"/><Relationship Id="rId236" Type="http://schemas.openxmlformats.org/officeDocument/2006/relationships/image" Target="media/image186.png"/><Relationship Id="rId237" Type="http://schemas.openxmlformats.org/officeDocument/2006/relationships/image" Target="media/image187.png"/><Relationship Id="rId238" Type="http://schemas.openxmlformats.org/officeDocument/2006/relationships/image" Target="media/image188.png"/><Relationship Id="rId239" Type="http://schemas.openxmlformats.org/officeDocument/2006/relationships/image" Target="media/image189.png"/><Relationship Id="rId240" Type="http://schemas.openxmlformats.org/officeDocument/2006/relationships/image" Target="media/image190.png"/><Relationship Id="rId241" Type="http://schemas.openxmlformats.org/officeDocument/2006/relationships/image" Target="media/image191.png"/><Relationship Id="rId242" Type="http://schemas.openxmlformats.org/officeDocument/2006/relationships/image" Target="media/image192.png"/><Relationship Id="rId243" Type="http://schemas.openxmlformats.org/officeDocument/2006/relationships/image" Target="media/image193.png"/><Relationship Id="rId244" Type="http://schemas.openxmlformats.org/officeDocument/2006/relationships/image" Target="media/image194.png"/><Relationship Id="rId245" Type="http://schemas.openxmlformats.org/officeDocument/2006/relationships/image" Target="media/image195.png"/><Relationship Id="rId246" Type="http://schemas.openxmlformats.org/officeDocument/2006/relationships/image" Target="media/image196.png"/><Relationship Id="rId247" Type="http://schemas.openxmlformats.org/officeDocument/2006/relationships/image" Target="media/image197.png"/><Relationship Id="rId248" Type="http://schemas.openxmlformats.org/officeDocument/2006/relationships/image" Target="media/image198.png"/><Relationship Id="rId249" Type="http://schemas.openxmlformats.org/officeDocument/2006/relationships/image" Target="media/image199.png"/><Relationship Id="rId250" Type="http://schemas.openxmlformats.org/officeDocument/2006/relationships/image" Target="media/image200.png"/><Relationship Id="rId251" Type="http://schemas.openxmlformats.org/officeDocument/2006/relationships/image" Target="media/image201.png"/><Relationship Id="rId252" Type="http://schemas.openxmlformats.org/officeDocument/2006/relationships/image" Target="media/image202.png"/><Relationship Id="rId253" Type="http://schemas.openxmlformats.org/officeDocument/2006/relationships/image" Target="media/image203.png"/><Relationship Id="rId254" Type="http://schemas.openxmlformats.org/officeDocument/2006/relationships/image" Target="media/image204.png"/><Relationship Id="rId255" Type="http://schemas.openxmlformats.org/officeDocument/2006/relationships/image" Target="media/image205.png"/><Relationship Id="rId256" Type="http://schemas.openxmlformats.org/officeDocument/2006/relationships/image" Target="media/image206.png"/><Relationship Id="rId257" Type="http://schemas.openxmlformats.org/officeDocument/2006/relationships/image" Target="media/image207.png"/><Relationship Id="rId258" Type="http://schemas.openxmlformats.org/officeDocument/2006/relationships/image" Target="media/image208.png"/><Relationship Id="rId259" Type="http://schemas.openxmlformats.org/officeDocument/2006/relationships/image" Target="media/image209.png"/><Relationship Id="rId260" Type="http://schemas.openxmlformats.org/officeDocument/2006/relationships/image" Target="media/image210.png"/><Relationship Id="rId157" Type="http://schemas.openxmlformats.org/officeDocument/2006/relationships/hyperlink" Target="https://www.sec.gov/Archives/edgar/data/1597264/000155837020008810/bpmc-20200630ex116f54387.htm" TargetMode="External"/><Relationship Id="rId158" Type="http://schemas.openxmlformats.org/officeDocument/2006/relationships/hyperlink" Target="http://www.sec.gov/Archives/edgar/data/1597264/000155837015002529/bpmc-20150930ex3100367a3.htm" TargetMode="External"/><Relationship Id="rId159" Type="http://schemas.openxmlformats.org/officeDocument/2006/relationships/hyperlink" Target="https://www.sec.gov/Archives/edgar/data/1597264/000155837020005307/bpmc-20200331xex3d1.htm" TargetMode="External"/><Relationship Id="rId160" Type="http://schemas.openxmlformats.org/officeDocument/2006/relationships/hyperlink" Target="http://www.sec.gov/Archives/edgar/data/1597264/000104746915003668/a2224211zex-4_1.htm" TargetMode="External"/><Relationship Id="rId161" Type="http://schemas.openxmlformats.org/officeDocument/2006/relationships/hyperlink" Target="http://www.sec.gov/Archives/edgar/data/1597264/000104746915002608/a2223883zex-4_4.htm" TargetMode="External"/><Relationship Id="rId162" Type="http://schemas.openxmlformats.org/officeDocument/2006/relationships/hyperlink" Target="https://www.sec.gov/Archives/edgar/data/1597264/000155837020000784/ex-4d3.htm" TargetMode="External"/><Relationship Id="rId163" Type="http://schemas.openxmlformats.org/officeDocument/2006/relationships/hyperlink" Target="http://www.sec.gov/Archives/edgar/data/1597264/000104746915002608/a2223883zex-10_1.htm" TargetMode="External"/><Relationship Id="rId164" Type="http://schemas.openxmlformats.org/officeDocument/2006/relationships/hyperlink" Target="https://www.sec.gov/Archives/edgar/data/1597264/000155837020000784/ex-10d2.htm" TargetMode="External"/><Relationship Id="rId165" Type="http://schemas.openxmlformats.org/officeDocument/2006/relationships/hyperlink" Target="https://www.sec.gov/Archives/edgar/data/1597264/000155837020000784/ex-10d3.htm" TargetMode="External"/><Relationship Id="rId166" Type="http://schemas.openxmlformats.org/officeDocument/2006/relationships/hyperlink" Target="https://www.sec.gov/Archives/edgar/data/1597264/000155837020005420/tmb-20200506xex99d1.htm" TargetMode="External"/><Relationship Id="rId167" Type="http://schemas.openxmlformats.org/officeDocument/2006/relationships/hyperlink" Target="http://www.sec.gov/Archives/edgar/data/1597264/000104746915002608/a2223883zex-10_4.htm" TargetMode="External"/><Relationship Id="rId168" Type="http://schemas.openxmlformats.org/officeDocument/2006/relationships/hyperlink" Target="http://www.sec.gov/Archives/edgar/data/1597264/000155837018000862/bpmc-20171231ex105e4bc60.htm" TargetMode="External"/><Relationship Id="rId169" Type="http://schemas.openxmlformats.org/officeDocument/2006/relationships/hyperlink" Target="http://www.sec.gov/Archives/edgar/data/1597264/000155837017003397/bpmc-20170331ex1015d322c.htm" TargetMode="External"/><Relationship Id="rId170" Type="http://schemas.openxmlformats.org/officeDocument/2006/relationships/hyperlink" Target="http://www.sec.gov/Archives/edgar/data/1597264/000155837018007557/ex-10d1.htm" TargetMode="External"/><Relationship Id="rId171" Type="http://schemas.openxmlformats.org/officeDocument/2006/relationships/hyperlink" Target="http://www.sec.gov/Archives/edgar/data/1597264/000155837015002529/bpmc-20150930ex10257b824.htm" TargetMode="External"/><Relationship Id="rId172" Type="http://schemas.openxmlformats.org/officeDocument/2006/relationships/hyperlink" Target="http://www.sec.gov/Archives/edgar/data/1597264/000155837015002529/bpmc-20150930ex1044ce742.htm" TargetMode="External"/><Relationship Id="rId173" Type="http://schemas.openxmlformats.org/officeDocument/2006/relationships/hyperlink" Target="https://www.sec.gov/Archives/edgar/data/1597264/000155837021000147/bpmc-20210108xex10d1.htm" TargetMode="External"/><Relationship Id="rId174" Type="http://schemas.openxmlformats.org/officeDocument/2006/relationships/hyperlink" Target="http://www.sec.gov/Archives/edgar/data/1597264/000155837016004066/bpmc-20151231ex109ea407e.htm" TargetMode="External"/><Relationship Id="rId175" Type="http://schemas.openxmlformats.org/officeDocument/2006/relationships/hyperlink" Target="http://www.sec.gov/Archives/edgar/data/1597264/000155837019000364/ex-10d2.htm" TargetMode="External"/><Relationship Id="rId176" Type="http://schemas.openxmlformats.org/officeDocument/2006/relationships/hyperlink" Target="http://www.sec.gov/Archives/edgar/data/1597264/000155837016009951/bpmc-20160930ex1035083d6.htm" TargetMode="External"/><Relationship Id="rId177" Type="http://schemas.openxmlformats.org/officeDocument/2006/relationships/hyperlink" Target="http://www.sec.gov/Archives/edgar/data/1597264/000155837016010074/bpmc_ex101marion-employmen.htm" TargetMode="External"/><Relationship Id="rId178" Type="http://schemas.openxmlformats.org/officeDocument/2006/relationships/hyperlink" Target="http://www.sec.gov/Archives/edgar/data/1597264/000155837017007829/bpmc-20170930ex101a9a4c6.htm" TargetMode="External"/><Relationship Id="rId179" Type="http://schemas.openxmlformats.org/officeDocument/2006/relationships/hyperlink" Target="http://www.sec.gov/Archives/edgar/data/1597264/000155837017009050/ex-10d1.htm" TargetMode="External"/><Relationship Id="rId180" Type="http://schemas.openxmlformats.org/officeDocument/2006/relationships/hyperlink" Target="http://www.sec.gov/Archives/edgar/data/1597264/000155837019000364/ex-10d1.htm" TargetMode="External"/><Relationship Id="rId181" Type="http://schemas.openxmlformats.org/officeDocument/2006/relationships/hyperlink" Target="http://www.sec.gov/Archives/edgar/data/1597264/000155837018007980/ex-10d1.htm" TargetMode="External"/><Relationship Id="rId182" Type="http://schemas.openxmlformats.org/officeDocument/2006/relationships/hyperlink" Target="http://www.sec.gov/Archives/edgar/data/1597264/000155837019001726/ex-10d1.htm" TargetMode="External"/><Relationship Id="rId183" Type="http://schemas.openxmlformats.org/officeDocument/2006/relationships/hyperlink" Target="https://www.sec.gov/Archives/edgar/data/1597264/000155837020000784/ex-10d19.htm" TargetMode="External"/><Relationship Id="rId184" Type="http://schemas.openxmlformats.org/officeDocument/2006/relationships/hyperlink" Target="https://www.sec.gov/Archives/edgar/data/1597264/000155837020010927/bpmc-20200901xex10d1.htm" TargetMode="External"/><Relationship Id="rId185" Type="http://schemas.openxmlformats.org/officeDocument/2006/relationships/hyperlink" Target="https://www.sec.gov/Archives/edgar/data/1597264/000155837021000147/bpmc-20210108xex10d2.htm" TargetMode="External"/><Relationship Id="rId186" Type="http://schemas.openxmlformats.org/officeDocument/2006/relationships/hyperlink" Target="http://www.sec.gov/Archives/edgar/data/1597264/000155837016006732/bpmc-20160331ex1025287b1.htm" TargetMode="External"/><Relationship Id="rId187" Type="http://schemas.openxmlformats.org/officeDocument/2006/relationships/hyperlink" Target="http://www.sec.gov/Archives/edgar/data/1597264/000155837016007817/bpmc-20160630ex10190ad0c.htm" TargetMode="External"/><Relationship Id="rId188" Type="http://schemas.openxmlformats.org/officeDocument/2006/relationships/hyperlink" Target="http://www.sec.gov/Archives/edgar/data/1597264/000155837016009951/bpmc-20160930ex101983993.htm" TargetMode="External"/><Relationship Id="rId189" Type="http://schemas.openxmlformats.org/officeDocument/2006/relationships/hyperlink" Target="http://www.sec.gov/Archives/edgar/data/1597264/000155837019001094/bpmc-20181231ex1026a2f80.htm" TargetMode="External"/><Relationship Id="rId190" Type="http://schemas.openxmlformats.org/officeDocument/2006/relationships/hyperlink" Target="http://www.sec.gov/Archives/edgar/data/1597264/000155837019006016/ex-10d1.htm" TargetMode="External"/><Relationship Id="rId191" Type="http://schemas.openxmlformats.org/officeDocument/2006/relationships/hyperlink" Target="http://www.sec.gov/Archives/edgar/data/1597264/000155837019009888/ex-10d2.htm" TargetMode="External"/><Relationship Id="rId192" Type="http://schemas.openxmlformats.org/officeDocument/2006/relationships/hyperlink" Target="http://www.sec.gov/Archives/edgar/data/1597264/000155837019011670/ex-10d1.htm" TargetMode="External"/><Relationship Id="rId193" Type="http://schemas.openxmlformats.org/officeDocument/2006/relationships/hyperlink" Target="https://www.sec.gov/Archives/edgar/data/1597264/000155837020005307/bpmc-20200331xex10d1.htm" TargetMode="External"/><Relationship Id="rId194" Type="http://schemas.openxmlformats.org/officeDocument/2006/relationships/hyperlink" Target="https://www.sec.gov/Archives/edgar/data/1597264/000155837020008810/bpmc-20200630ex1011ade78.htm" TargetMode="External"/><Relationship Id="rId195" Type="http://schemas.openxmlformats.org/officeDocument/2006/relationships/hyperlink" Target="http://www.sec.gov/Archives/edgar/data/1597264/000155837018006090/bpmc-20180630ex101d33531.htm" TargetMode="External"/><Relationship Id="rId196" Type="http://schemas.openxmlformats.org/officeDocument/2006/relationships/hyperlink" Target="http://www.sec.gov/Archives/edgar/data/1597264/000155837019009888/ex-10d1.htm" TargetMode="External"/><Relationship Id="rId197" Type="http://schemas.openxmlformats.org/officeDocument/2006/relationships/hyperlink" Target="http://www.sec.gov/Archives/edgar/data/1597264/000104746915002608/a2223883zex-10_11.htm" TargetMode="External"/><Relationship Id="rId198" Type="http://schemas.openxmlformats.org/officeDocument/2006/relationships/hyperlink" Target="http://www.sec.gov/Archives/edgar/data/1597264/000104746915002608/a2223883zex-10_12.htm" TargetMode="External"/><Relationship Id="rId199" Type="http://schemas.openxmlformats.org/officeDocument/2006/relationships/hyperlink" Target="http://www.sec.gov/Archives/edgar/data/1597264/000155837016004066/bpmc-20151231ex101559e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2021-02-17T15:41:32Z</dcterms:created>
  <dcterms:modified xsi:type="dcterms:W3CDTF">2021-02-17T15:41:32Z</dcterms:modified>
</cp:coreProperties>
</file>