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Hurley Ariel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3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Principal Accounting Officer</w:t>
      </w:r>
    </w:p>
    <w:p>
      <w:pPr>
        <w:spacing w:after="0" w:line="4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06/02/2020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66.03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9,984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9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Effected pursuant to a trading plan adopted on March 17, 2020 pursuant to Rule 10b5-1 under the Securities Exchange Act of 1934, as amended.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2. Consists of 235 shares that were acquired under the Issuer's employee stock purchase plan on May 31, 2020.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Christopher Frankenfield,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06/04/2020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-4001770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9740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2020-06-04T15:38:53Z</dcterms:created>
  <dcterms:modified xsi:type="dcterms:W3CDTF">2020-06-04T15:38:53Z</dcterms:modified>
</cp:coreProperties>
</file>