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Demetri George</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03/19/2018</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45 SIDNEY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03/19/2018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1,700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100.88</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10,231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03/19/2018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2,592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100.04</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7,639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03/19/2018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1,200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99.06</w:t>
            </w:r>
            <w:r>
              <w:rPr>
                <w:rFonts w:ascii="Arial" w:cs="Arial" w:eastAsia="Arial" w:hAnsi="Arial"/>
                <w:sz w:val="22"/>
                <w:szCs w:val="22"/>
                <w:color w:val="008000"/>
                <w:w w:val="84"/>
                <w:vertAlign w:val="superscript"/>
              </w:rPr>
              <w:t>(4)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6,439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4"/>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on December 18, 2017 pursuant to Rule 10b5-1 under the Securities Exchange Act of 1934, as amended.</w:t>
      </w:r>
    </w:p>
    <w:p>
      <w:pPr>
        <w:spacing w:after="0" w:line="64" w:lineRule="exact"/>
        <w:rPr>
          <w:rFonts w:ascii="Arial" w:cs="Arial" w:eastAsia="Arial" w:hAnsi="Arial"/>
          <w:sz w:val="12"/>
          <w:szCs w:val="12"/>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$100.58 to $101.27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$99.47 to $100.42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$98.35 to $99.34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03/21/2018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147"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2019-12-08T09:59:21Z</dcterms:created>
  <dcterms:modified xsi:type="dcterms:W3CDTF">2019-12-08T09:59:21Z</dcterms:modified>
</cp:coreProperties>
</file>