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259080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251460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2"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2" w:right="979" w:bottom="1440" w:gutter="0" w:footer="0" w:header="0"/>
          <w:type w:val="continuous"/>
        </w:sectPr>
      </w:pPr>
    </w:p>
    <w:p>
      <w:pPr>
        <w:spacing w:after="0" w:line="12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2" w:right="979" w:bottom="1440" w:gutter="0" w:footer="0" w:header="0"/>
          <w:type w:val="continuous"/>
        </w:sectPr>
      </w:pP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102870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8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4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2"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8.01 Other Events.</w:t>
      </w:r>
    </w:p>
    <w:p>
      <w:pPr>
        <w:spacing w:after="0" w:line="22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As previously disclosed on June 30, 2022, Blueprint Medicines Corporation (the “Company”) entered into a Financing Agreement (as amended, restated, supplemented or otherwise modified from time to time, the “Financing Agreement”), for up to $660.0 million, among the Company, certain subsidiaries of the Company, the other lenders from time to time party thereto (the “Lenders” and each a “Lender”) and Tao Talents, LLC, as the administrative agent for the Lenders. Tao Talents, LLC is an affiliate of Sixth Street.</w:t>
      </w:r>
    </w:p>
    <w:p>
      <w:pPr>
        <w:spacing w:after="0" w:line="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On May 22, 2024, after exceeding the milestone from sales of AYVAKIT, at the Company’s request, the Lenders funded the Tranche B Delayed Draw Term Loan in the aggregate principal amount of $150.0 million.</w:t>
      </w:r>
    </w:p>
    <w:p>
      <w:pPr>
        <w:spacing w:after="0" w:line="54" w:lineRule="exact"/>
        <w:rPr>
          <w:sz w:val="20"/>
          <w:szCs w:val="20"/>
          <w:color w:val="auto"/>
        </w:rPr>
      </w:pPr>
    </w:p>
    <w:p>
      <w:pPr>
        <w:ind w:firstLine="648"/>
        <w:spacing w:after="0" w:line="261" w:lineRule="auto"/>
        <w:rPr>
          <w:rFonts w:ascii="Times New Roman" w:cs="Times New Roman" w:eastAsia="Times New Roman" w:hAnsi="Times New Roman"/>
          <w:sz w:val="18"/>
          <w:szCs w:val="18"/>
          <w:color w:val="000000"/>
        </w:rPr>
      </w:pPr>
      <w:hyperlink r:id="rId13">
        <w:r>
          <w:rPr>
            <w:rFonts w:ascii="Times New Roman" w:cs="Times New Roman" w:eastAsia="Times New Roman" w:hAnsi="Times New Roman"/>
            <w:sz w:val="18"/>
            <w:szCs w:val="18"/>
            <w:color w:val="auto"/>
          </w:rPr>
          <w:t xml:space="preserve">The material terms and conditions of the Financing Agreement are summarized in the </w:t>
        </w:r>
        <w:r>
          <w:rPr>
            <w:rFonts w:ascii="Times New Roman" w:cs="Times New Roman" w:eastAsia="Times New Roman" w:hAnsi="Times New Roman"/>
            <w:sz w:val="18"/>
            <w:szCs w:val="18"/>
            <w:u w:val="single" w:color="auto"/>
            <w:color w:val="0000EE"/>
          </w:rPr>
          <w:t>Current Report on Form 8-K filed by the</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EE"/>
          </w:rPr>
          <w:t>Company with the Securities and Exchange Commission on June 30, 2022</w:t>
        </w:r>
        <w:r>
          <w:rPr>
            <w:rFonts w:ascii="Times New Roman" w:cs="Times New Roman" w:eastAsia="Times New Roman" w:hAnsi="Times New Roman"/>
            <w:sz w:val="18"/>
            <w:szCs w:val="18"/>
            <w:color w:val="000000"/>
          </w:rPr>
          <w:t>, and is incorporated into this Item 8.01 by reference. Such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summary of the Financing Agreement is qualified in its entirety by reference to the complete text of the Financing Agreement, a copy of which was filed as </w:t>
      </w:r>
      <w:hyperlink r:id="rId14">
        <w:r>
          <w:rPr>
            <w:rFonts w:ascii="Times New Roman" w:cs="Times New Roman" w:eastAsia="Times New Roman" w:hAnsi="Times New Roman"/>
            <w:sz w:val="18"/>
            <w:szCs w:val="18"/>
            <w:u w:val="single" w:color="auto"/>
            <w:color w:val="0000EE"/>
          </w:rPr>
          <w:t>Exhibit 10.3</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to its Quarterly Report on Form 10-Q for the quarter ended June 30, 2022.</w:t>
      </w:r>
    </w:p>
    <w:p>
      <w:pPr>
        <w:spacing w:after="0" w:line="315" w:lineRule="exact"/>
        <w:rPr>
          <w:rFonts w:ascii="Times New Roman" w:cs="Times New Roman" w:eastAsia="Times New Roman" w:hAnsi="Times New Roman"/>
          <w:sz w:val="18"/>
          <w:szCs w:val="18"/>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711" w:right="109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18"/>
          <w:szCs w:val="18"/>
          <w:color w:val="auto"/>
        </w:rPr>
        <w:t>Date: May 24, 2024</w:t>
      </w:r>
      <w:r>
        <w:rPr>
          <w:sz w:val="20"/>
          <w:szCs w:val="20"/>
          <w:color w:val="auto"/>
        </w:rPr>
        <w:tab/>
      </w:r>
      <w:r>
        <w:rPr>
          <w:rFonts w:ascii="Times New Roman" w:cs="Times New Roman" w:eastAsia="Times New Roman" w:hAnsi="Times New Roman"/>
          <w:sz w:val="18"/>
          <w:szCs w:val="18"/>
          <w:color w:val="auto"/>
        </w:rPr>
        <w:t>By: /s/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17145</wp:posOffset>
            </wp:positionV>
            <wp:extent cx="2459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740"/>
      </w:cols>
      <w:pgMar w:left="980" w:top="117"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s://www.sec.gov/ix?doc=/Archives/edgar/data/0001597264/000110465922076292/tm2220123d1_8k.htm" TargetMode="External"/><Relationship Id="rId14" Type="http://schemas.openxmlformats.org/officeDocument/2006/relationships/hyperlink" Target="https://www.sec.gov/Archives/edgar/data/1597264/000155837022011648/bpmc-20220630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2024-05-24T07:05:57Z</dcterms:created>
  <dcterms:modified xsi:type="dcterms:W3CDTF">2024-05-24T07:05:57Z</dcterms:modified>
</cp:coreProperties>
</file>