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5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Cambridge, Massachusetts 02139</w:t>
      </w:r>
    </w:p>
    <w:p>
      <w:pPr>
        <w:spacing w:after="0" w:line="21"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5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320"/>
        <w:spacing w:after="0"/>
        <w:rPr>
          <w:sz w:val="20"/>
          <w:szCs w:val="20"/>
          <w:color w:val="auto"/>
        </w:rPr>
      </w:pPr>
      <w:r>
        <w:rPr>
          <w:rFonts w:ascii="Arial" w:cs="Arial" w:eastAsia="Arial" w:hAnsi="Arial"/>
          <w:sz w:val="16"/>
          <w:szCs w:val="16"/>
          <w:color w:val="auto"/>
        </w:rPr>
        <w:t>Emerging growth company o</w:t>
      </w:r>
    </w:p>
    <w:p>
      <w:pPr>
        <w:spacing w:after="0" w:line="248"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On March 28, 2019, Blueprint Medicines Corporation (the “Company”) entered into an underwriting agreement (the “Underwriting Agreement”) with Goldman Sachs &amp; Co. LLC and Cowen and Company, LLC, as representatives of the underwriters named therein (collectively, the “Underwriters”), relating to an underwritten public offering (the “Offering”) of 4,054,054 shares of the Company’s common stock, $0.001 par value per share (the “Common Stock”), at a price to the public of $74.00 per share (the “Offering Price”). The Company has also granted the Underwriters a 30-day option to purchase up to an additional 608,108 shares of Common Stock at the Offering Price. After deducting the underwriting discounts and commissions and estimated offering expenses, the Company expects to receive net proceeds from the Offering of approximately $284.5 million (or approximately $327.2 million if the underwriters exercise in full their option to purchase additional shares).</w:t>
      </w:r>
    </w:p>
    <w:p>
      <w:pPr>
        <w:spacing w:after="0" w:line="178"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The Offering was made pursuant to the Company’s effective automatic shelf registration statement on Form S-3ASR (File No. 333-216573), as supplemented by a prospectus supplement dated March 28, 2019, filed on March 29, 2019. The Offering is expected to close on or about April 2, 2019, subject to the satisfaction of customary closing conditions.</w:t>
      </w:r>
    </w:p>
    <w:p>
      <w:pPr>
        <w:spacing w:after="0" w:line="181"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A copy of the Underwriting Agreement is attached as Exhibit 1.1 to this Current Report on Form 8-K and is incorporated herein by reference. The foregoing description of the Underwriting Agreement does not purport to be complete and is qualified in its entirety by reference to such exhibit.</w:t>
      </w:r>
    </w:p>
    <w:p>
      <w:pPr>
        <w:spacing w:after="0" w:line="14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 copy of the legal opinion of Goodwin Procter LLP relating to the legality of the issuance and sale of the shares in the Offering is attached as Exhibit 5.1 to this Current Report on Form 8-K.</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On March 28, 2019, the Company issued a press release announcing the pricing of the Offering. A copy of this press release is attached to this Current Report on Form 8-K as Exhibit 99.1 and is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8"/>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80" w:type="dxa"/>
            <w:vAlign w:val="bottom"/>
            <w:gridSpan w:val="4"/>
          </w:tcPr>
          <w:p>
            <w:pPr>
              <w:ind w:left="3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1.1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auto"/>
            </w:tcBorders>
            <w:gridSpan w:val="6"/>
          </w:tcPr>
          <w:p>
            <w:pPr>
              <w:spacing w:after="0" w:line="170"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Underwriting Agreement, dated as of March 28, 2019, among Blueprint Medicines Corporation and Goldman Sachs &amp; Co. LLC and</w:t>
              </w:r>
            </w:hyperlink>
          </w:p>
        </w:tc>
        <w:tc>
          <w:tcPr>
            <w:tcW w:w="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Cowen and Company, LLC, as representatives of the underwriters named therein</w:t>
              </w:r>
            </w:hyperlink>
          </w:p>
        </w:tc>
        <w:tc>
          <w:tcPr>
            <w:tcW w:w="37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5.1</w:t>
            </w:r>
          </w:p>
        </w:tc>
        <w:tc>
          <w:tcPr>
            <w:tcW w:w="34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Opinion of Goodwin Procter LLP</w:t>
              </w:r>
            </w:hyperlink>
          </w:p>
        </w:tc>
        <w:tc>
          <w:tcPr>
            <w:tcW w:w="40" w:type="dxa"/>
            <w:vAlign w:val="bottom"/>
          </w:tcPr>
          <w:p>
            <w:pPr>
              <w:spacing w:after="0"/>
              <w:rPr>
                <w:sz w:val="24"/>
                <w:szCs w:val="24"/>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340" w:type="dxa"/>
            <w:vAlign w:val="bottom"/>
          </w:tcPr>
          <w:p>
            <w:pPr>
              <w:spacing w:after="0"/>
              <w:rPr>
                <w:sz w:val="24"/>
                <w:szCs w:val="24"/>
                <w:color w:val="auto"/>
              </w:rPr>
            </w:pPr>
          </w:p>
        </w:tc>
        <w:tc>
          <w:tcPr>
            <w:tcW w:w="42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Consent of Goodwin Procter LLP (included in Exhibit 5.1)</w:t>
              </w:r>
            </w:hyperlink>
          </w:p>
        </w:tc>
        <w:tc>
          <w:tcPr>
            <w:tcW w:w="568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99.1</w:t>
            </w:r>
          </w:p>
        </w:tc>
        <w:tc>
          <w:tcPr>
            <w:tcW w:w="34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Press release issued by Blueprint Medicines Corporation on March 28, 2019</w:t>
              </w:r>
            </w:hyperlink>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5460" w:type="dxa"/>
            <w:vAlign w:val="bottom"/>
            <w:tcBorders>
              <w:top w:val="single" w:sz="8" w:color="0000EE"/>
            </w:tcBorders>
            <w:gridSpan w:val="3"/>
          </w:tcPr>
          <w:p>
            <w:pPr>
              <w:jc w:val="right"/>
              <w:ind w:right="1148"/>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7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BLUEPRINT MEDICINES CORPORATION</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29, 2019</w:t>
            </w: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By:  /s/ Jeffrey W. Albers</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56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5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Blueprint Medicines Corporation, a Delaware corporation (the “Company”), proposes, subject to the terms and conditions stated herein, to issue and sell to the Underwriters named in Schedule I hereto (the “Underwriters”), for whom you are acting as representatives (the “Representatives”), an aggregate of 4,054,054 shares (the “Firm Shares”) and, at the election of the Underwriters, up to 608,108 additional shares (the “Optional Shares”) of Common Stock, par value $0.001 per share (“Stock”), of the Company (the Firm Shares and the Optional Shares that the Underwriters elect to purchase pursuant to Section 2 hereof being collectively called the “Shares”).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Company represents and warrants to, and agrees with, each of the Underwriters that:</w:t>
      </w:r>
    </w:p>
    <w:p>
      <w:pPr>
        <w:spacing w:after="0" w:line="225" w:lineRule="exact"/>
        <w:rPr>
          <w:sz w:val="20"/>
          <w:szCs w:val="20"/>
          <w:color w:val="auto"/>
        </w:rPr>
      </w:pPr>
    </w:p>
    <w:p>
      <w:pPr>
        <w:ind w:right="40" w:firstLine="656"/>
        <w:spacing w:after="0" w:line="259" w:lineRule="auto"/>
        <w:tabs>
          <w:tab w:leader="none" w:pos="1163"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“automatic shelf registration statement” (as defined in Rule 405 under the Securities Act of 1933, as amended (the “Act”)) on Form S-3ASR (File No. 333-216573) (the “Automatic Registration Statement”), in respect of the Shares has been filed with the Securities and Exchange Commission (the “Commission”) not earlier than three years prior to the date hereof; the Automatic Registration Statement and any post-effective amendment thereto became effective upon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84" w:lineRule="auto"/>
        <w:rPr>
          <w:sz w:val="20"/>
          <w:szCs w:val="20"/>
          <w:color w:val="auto"/>
        </w:rPr>
      </w:pPr>
      <w:r>
        <w:rPr>
          <w:rFonts w:ascii="Arial" w:cs="Arial" w:eastAsia="Arial" w:hAnsi="Arial"/>
          <w:sz w:val="16"/>
          <w:szCs w:val="16"/>
          <w:color w:val="auto"/>
        </w:rPr>
        <w:t>no other document with respect to the Automatic Registration Statement or any document incorporated by reference therein has heretofore been filed, or transmitted for filing, with the Commission (other than (i) prospectuses filed pursuant to Rule 424(b) of the rules and regulations of the Commission under the Act, each such prospectus relating to the Shares in the form heretofore delivered to the Representatives, and (ii) reports and proxy or information statements required to be filed by the Company with the Commission pursuant to the Securities Exchange Act of 1934, as amended (the “Exchange Act”)); and no stop order suspending the effectiveness of the Automatic Registration Statement or any part thereof or any post-effective amendment thereto, has been issued and no proceeding for that purpose has been initiated or threatened by the Commission, and no notice of objection of the Commission to the use of the Automatic Registration Statement or any post-effective amendment thereto pursuant to Rule 401(g)(2) under the Act has been received by the Company (the base prospectus filed as part of the Automatic Registration Statement, in the form in which it has most recently been filed with the Commission on or prior to the date of this Agreement, is hereinafter called the “Basic Prospectus”; any preliminary prospectus (including any preliminary prospectus supplement) relating to the Shares filed with the Commission pursuant to Rule 424(b) under the Act is hereinafter called a “Preliminary Prospectus”; the various parts of the Automatic Registration Statement, including all exhibits thereto and including any prospectus supplement relating to the Shares that is filed with the Commission and deemed by virtue of Rule 430B under the Act to be part of the Automatic Registration Statement, each as amended at the time such part of the Automatic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Shares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and any “issuer free writing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prospectus” as defined in Rule 433 under the Act relating to the Shares is hereinafter called an “Issuer Free Writing Prospectus”;</w:t>
      </w:r>
    </w:p>
    <w:p>
      <w:pPr>
        <w:spacing w:after="0" w:line="225" w:lineRule="exact"/>
        <w:rPr>
          <w:sz w:val="20"/>
          <w:szCs w:val="20"/>
          <w:color w:val="auto"/>
        </w:rPr>
      </w:pPr>
    </w:p>
    <w:p>
      <w:pPr>
        <w:ind w:firstLine="656"/>
        <w:spacing w:after="0" w:line="273" w:lineRule="auto"/>
        <w:tabs>
          <w:tab w:leader="none" w:pos="1173"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 information furnished in writing to the Company by an Underwriter through a Representative expressly for use therein;</w:t>
      </w:r>
    </w:p>
    <w:p>
      <w:pPr>
        <w:spacing w:after="0" w:line="178" w:lineRule="exact"/>
        <w:rPr>
          <w:rFonts w:ascii="Arial" w:cs="Arial" w:eastAsia="Arial" w:hAnsi="Arial"/>
          <w:sz w:val="17"/>
          <w:szCs w:val="17"/>
          <w:color w:val="auto"/>
        </w:rPr>
      </w:pPr>
    </w:p>
    <w:p>
      <w:pPr>
        <w:ind w:firstLine="656"/>
        <w:spacing w:after="0" w:line="288" w:lineRule="auto"/>
        <w:tabs>
          <w:tab w:leader="none" w:pos="1163"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For the purposes of this Agreement, the “Applicable Time” is 5:45 pm (Eastern time) on the date of this Agreement. The Pricing Prospectus, as supplemented by those Issuer Free Writing Prospectuses and other documents and information listed on Schedule II(b)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II(a) hereto does not conflict with the information contained in the Registration Statement, the Pricing Prospectus or the Prospectus and each such Issuer Free Writing Prospectus,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this representation and warranty shall not apply to statements or omissions made in the Pricing Disclosure Package or any Issuer Free Writing Prospectus in reliance upon and in conformity with information furnished in writing to the Company by an Underwriter through a Representative expressly for use therein;</w:t>
      </w:r>
    </w:p>
    <w:p>
      <w:pPr>
        <w:spacing w:after="0" w:line="169" w:lineRule="exact"/>
        <w:rPr>
          <w:rFonts w:ascii="Arial" w:cs="Arial" w:eastAsia="Arial" w:hAnsi="Arial"/>
          <w:sz w:val="16"/>
          <w:szCs w:val="16"/>
          <w:color w:val="auto"/>
        </w:rPr>
      </w:pPr>
    </w:p>
    <w:p>
      <w:pPr>
        <w:ind w:right="120" w:firstLine="656"/>
        <w:spacing w:after="0" w:line="293" w:lineRule="auto"/>
        <w:tabs>
          <w:tab w:leader="none" w:pos="117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documents incorporated by reference in the Pricing Prospectus and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80"/>
        <w:spacing w:after="0" w:line="276" w:lineRule="auto"/>
        <w:rPr>
          <w:sz w:val="20"/>
          <w:szCs w:val="20"/>
          <w:color w:val="auto"/>
        </w:rPr>
      </w:pPr>
      <w:r>
        <w:rPr>
          <w:rFonts w:ascii="Arial" w:cs="Arial" w:eastAsia="Arial" w:hAnsi="Arial"/>
          <w:sz w:val="17"/>
          <w:szCs w:val="17"/>
          <w:color w:val="auto"/>
        </w:rPr>
        <w:t xml:space="preserve">and regulations of the Commission thereunder and will not contain an untrue statement of a material fact or omit to state a material fact required to be stated therein or necessary to make the statements therein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 information furnished in writing to the Company by an Underwriter through a Representative expressly for use therein; and no such documents were filed with the Commission since the Commission’s close of business on the business day immediately prior to the date of this Agreement and prior to the execution of this Agreement, except as set forth on Schedule II(c) hereto;</w:t>
      </w:r>
    </w:p>
    <w:p>
      <w:pPr>
        <w:spacing w:after="0" w:line="173" w:lineRule="exact"/>
        <w:rPr>
          <w:sz w:val="20"/>
          <w:szCs w:val="20"/>
          <w:color w:val="auto"/>
        </w:rPr>
      </w:pPr>
    </w:p>
    <w:p>
      <w:pPr>
        <w:ind w:left="1180" w:hanging="52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00" w:firstLine="656"/>
        <w:spacing w:after="0" w:line="293" w:lineRule="auto"/>
        <w:tabs>
          <w:tab w:leader="none" w:pos="1188"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contain an untrue statement of a material fact or omit to state a material fact required to be stated therein or necessary to make the statements therein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representation and warranty shall not apply to any statements or omissions made in reliance upon and in conformity with information furnished in writing to the Company by an Underwriter through a Representative expressly for use therein;</w:t>
      </w:r>
    </w:p>
    <w:p>
      <w:pPr>
        <w:spacing w:after="0" w:line="164" w:lineRule="exact"/>
        <w:rPr>
          <w:rFonts w:ascii="Arial" w:cs="Arial" w:eastAsia="Arial" w:hAnsi="Arial"/>
          <w:sz w:val="16"/>
          <w:szCs w:val="16"/>
          <w:color w:val="auto"/>
        </w:rPr>
      </w:pPr>
    </w:p>
    <w:p>
      <w:pPr>
        <w:ind w:firstLine="656"/>
        <w:spacing w:after="0" w:line="253" w:lineRule="auto"/>
        <w:tabs>
          <w:tab w:leader="none" w:pos="1173" w:val="left"/>
        </w:tabs>
        <w:numPr>
          <w:ilvl w:val="0"/>
          <w:numId w:val="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sustained since the date of the latest audited financial statements included or incorporated by reference in the Pricing Prospectus any material loss or material interference with its business from fire, explosion, flood or other calamity, whether or not covered by insurance, or from any labor dispute or court or governmental action, order or decree, otherwise than as set forth or contemplated in the Registration Statement and the Pricing Prospectus; and, since the respective dates as of which information is given in the Registration Statement and the Pricing Prospectus, (i) there has not been any change in the capital stock (other than as a result of the exercise of stock options or the award of stock options or restricted stock in the ordinary course of business pursuant to the Company’s equity plans that are described or incorporated by reference in the Pricing Prospectus) or long-term debt of the Company or any of its subsidiaries, (ii) neither the Company nor any of its subsidiaries has incurred any liability or obligation, direct or contingent, other than liabilities and obligations which were incurred in the ordinary course of business, (iii) neither the Company nor any of its subsidiaries has declared or paid any dividends on its capital stock, and (iv) there has not been any material adverse change, or any development involving a prospective material adverse change, in or affecting the general affairs, management, financial position, stockholders’ equity, results of operations 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prospects of the Company and its subsidiaries, otherwise than as set forth or contemplated in the Pricing Prospectus;</w:t>
      </w:r>
    </w:p>
    <w:p>
      <w:pPr>
        <w:spacing w:after="0" w:line="225" w:lineRule="exact"/>
        <w:rPr>
          <w:sz w:val="20"/>
          <w:szCs w:val="20"/>
          <w:color w:val="auto"/>
        </w:rPr>
      </w:pPr>
    </w:p>
    <w:p>
      <w:pPr>
        <w:ind w:right="40" w:firstLine="656"/>
        <w:spacing w:after="0" w:line="289" w:lineRule="auto"/>
        <w:tabs>
          <w:tab w:leader="none" w:pos="1173" w:val="left"/>
        </w:tabs>
        <w:numPr>
          <w:ilvl w:val="0"/>
          <w:numId w:val="5"/>
        </w:numPr>
        <w:rPr>
          <w:rFonts w:ascii="Arial" w:cs="Arial" w:eastAsia="Arial" w:hAnsi="Arial"/>
          <w:sz w:val="16"/>
          <w:szCs w:val="16"/>
          <w:color w:val="auto"/>
        </w:rPr>
      </w:pPr>
      <w:r>
        <w:rPr>
          <w:rFonts w:ascii="Arial" w:cs="Arial" w:eastAsia="Arial" w:hAnsi="Arial"/>
          <w:sz w:val="16"/>
          <w:szCs w:val="16"/>
          <w:color w:val="auto"/>
        </w:rPr>
        <w:t>Neither the Company nor any of its subsidiaries owns any real property. The Company and its subsidiaries have good and marketable title to all personal property owned by them,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to the Company’s knowledge, under valid, subsisting and enforceable leases (subject to the effects of (i) bankruptcy, insolvency, fraudulent conveyance, fraudulent transfer, reorganization, moratorium or other similar laws relating to or affecting the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 with such exceptions as are not material and do not interfere with the use made and proposed to be made of such property and buildings by the Company and its subsidiaries;</w:t>
      </w:r>
    </w:p>
    <w:p>
      <w:pPr>
        <w:spacing w:after="0" w:line="166" w:lineRule="exact"/>
        <w:rPr>
          <w:rFonts w:ascii="Arial" w:cs="Arial" w:eastAsia="Arial" w:hAnsi="Arial"/>
          <w:sz w:val="16"/>
          <w:szCs w:val="16"/>
          <w:color w:val="auto"/>
        </w:rPr>
      </w:pPr>
    </w:p>
    <w:p>
      <w:pPr>
        <w:ind w:firstLine="656"/>
        <w:spacing w:after="0" w:line="272" w:lineRule="auto"/>
        <w:tabs>
          <w:tab w:leader="none" w:pos="117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as a corporation in good standing under the laws of the State of Delaware, with power and authority (corporate and other) to own its properties and conduct its business as described in the Pricing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or be in good standing in such jurisdictions would not, individually or in the aggregate, have a material adverse effect on the current or future financial position, stockholders’ equity, results of operations or prospects of the Company (a “Material Adverse Effect”); and each subsidiary of the Company has been duly incorporated and is validly existing as a corporation in good standing under the laws of its jurisdiction of incorporation;</w:t>
      </w:r>
    </w:p>
    <w:p>
      <w:pPr>
        <w:spacing w:after="0" w:line="177" w:lineRule="exact"/>
        <w:rPr>
          <w:rFonts w:ascii="Arial" w:cs="Arial" w:eastAsia="Arial" w:hAnsi="Arial"/>
          <w:sz w:val="17"/>
          <w:szCs w:val="17"/>
          <w:color w:val="auto"/>
        </w:rPr>
      </w:pPr>
    </w:p>
    <w:p>
      <w:pPr>
        <w:ind w:right="40" w:firstLine="656"/>
        <w:spacing w:after="0" w:line="302" w:lineRule="auto"/>
        <w:tabs>
          <w:tab w:leader="none" w:pos="117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an authorized, issued and outstanding capitalization as set forth in the Pricing Prospectus and all of the issued shares of capital stock of the Company have been duly authorized and validly issued and are fully paid and non-assessable and conform to the description of the Stock contained in the Pricing Prospectus and Prospectus; and all of the issued shares of capital stock of each subsidiary of the Company have been duly authorized and validly issued and are fully paid and non-assessable and are owned directly by the Company, free and clear of all liens, encumbrances, equities or claims;</w:t>
      </w:r>
    </w:p>
    <w:p>
      <w:pPr>
        <w:spacing w:after="0" w:line="154" w:lineRule="exact"/>
        <w:rPr>
          <w:rFonts w:ascii="Arial" w:cs="Arial" w:eastAsia="Arial" w:hAnsi="Arial"/>
          <w:sz w:val="16"/>
          <w:szCs w:val="16"/>
          <w:color w:val="auto"/>
        </w:rPr>
      </w:pPr>
    </w:p>
    <w:p>
      <w:pPr>
        <w:ind w:left="1180" w:hanging="524"/>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Shares to be issued and sold by the Company to the Underwriters hereunder have been duly and validly authorized and, when issued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delivered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right="80"/>
        <w:spacing w:after="0" w:line="279" w:lineRule="auto"/>
        <w:rPr>
          <w:sz w:val="20"/>
          <w:szCs w:val="20"/>
          <w:color w:val="auto"/>
        </w:rPr>
      </w:pPr>
      <w:r>
        <w:rPr>
          <w:rFonts w:ascii="Arial" w:cs="Arial" w:eastAsia="Arial" w:hAnsi="Arial"/>
          <w:sz w:val="17"/>
          <w:szCs w:val="17"/>
          <w:color w:val="auto"/>
        </w:rPr>
        <w:t>against payment therefor as provided herein, will be duly and validly issued and fully paid and non-assessable and will conform to the description of the Stock contained in the Prospectus and the issuance of the Shares is not subject to any preemptive rights, rights of first refusal or similar rights pursuant to the General Corporation Law of the State of Delaware or the Company’s Certificate of Incorporation or Bylaws or any agreement or other instrument to which the Company is a party, except for such rights that have been complied with or effectively waived prior to the date hereof;</w:t>
      </w:r>
    </w:p>
    <w:p>
      <w:pPr>
        <w:spacing w:after="0" w:line="171" w:lineRule="exact"/>
        <w:rPr>
          <w:sz w:val="20"/>
          <w:szCs w:val="20"/>
          <w:color w:val="auto"/>
        </w:rPr>
      </w:pPr>
    </w:p>
    <w:p>
      <w:pPr>
        <w:jc w:val="both"/>
        <w:ind w:right="360" w:firstLine="656"/>
        <w:spacing w:after="0" w:line="291" w:lineRule="auto"/>
        <w:tabs>
          <w:tab w:leader="none" w:pos="1178"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issue and sale of the Shares and the compliance by the Company with this Agreement and the consummation by the Company of the transactions herein contemplated will not conflict with or result in a breach or violation of any of the terms or provisions of, or constitute a default under,</w:t>
      </w:r>
    </w:p>
    <w:p>
      <w:pPr>
        <w:ind w:firstLine="8"/>
        <w:spacing w:after="0" w:line="268" w:lineRule="auto"/>
        <w:tabs>
          <w:tab w:leader="none" w:pos="215"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indenture, mortgage, lease,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the Company’s Certificate of Incorporation or Bylaws or (iii) any statute or any order, rule or regulation of any court or governmental agency or body having jurisdiction over the Company or any of its subsidiaries or any of their properties, except in the case of (i) and (iii) for such violations or defaults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the registration under the Act of the Shares, the approval by the Financial Industry Regulatory Authority (“FINRA”) of the underwriting terms, if applicable, the approval of the listing of the Shares on the NASDAQ Global Select Market, and such consents, approvals, authorizations, registrations, orders or qualifications as may be required under state securities or Blue Sky laws in connection with the purchase and distribution of the Shares by the Underwriters;</w:t>
      </w:r>
    </w:p>
    <w:p>
      <w:pPr>
        <w:spacing w:after="0" w:line="179" w:lineRule="exact"/>
        <w:rPr>
          <w:rFonts w:ascii="Arial" w:cs="Arial" w:eastAsia="Arial" w:hAnsi="Arial"/>
          <w:sz w:val="17"/>
          <w:szCs w:val="17"/>
          <w:color w:val="auto"/>
        </w:rPr>
      </w:pPr>
    </w:p>
    <w:p>
      <w:pPr>
        <w:ind w:right="40" w:firstLine="656"/>
        <w:spacing w:after="0" w:line="255" w:lineRule="auto"/>
        <w:tabs>
          <w:tab w:leader="none" w:pos="1178" w:val="left"/>
        </w:tabs>
        <w:numPr>
          <w:ilvl w:val="1"/>
          <w:numId w:val="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respective Certificate of Incorporation or Bylaws, (ii)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or (iii) in violation of any law or statute or any judgment, order, rule or regulation of any court or arbitrator or governmental or regulatory authority (collectively, the “Regulatory Authorities”), except in the case of (ii) and (iii) for such violations or defaults as would not, individually or in the aggregate, reasonably be expected to have a Material Adverse Effect;</w:t>
      </w:r>
    </w:p>
    <w:p>
      <w:pPr>
        <w:spacing w:after="0" w:line="193" w:lineRule="exact"/>
        <w:rPr>
          <w:rFonts w:ascii="Arial" w:cs="Arial" w:eastAsia="Arial" w:hAnsi="Arial"/>
          <w:sz w:val="18"/>
          <w:szCs w:val="18"/>
          <w:color w:val="auto"/>
        </w:rPr>
      </w:pPr>
    </w:p>
    <w:p>
      <w:pPr>
        <w:ind w:right="40" w:firstLine="656"/>
        <w:spacing w:after="0" w:line="277" w:lineRule="auto"/>
        <w:tabs>
          <w:tab w:leader="none" w:pos="117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“Description of Capital Stock” insofar as they purport to constitute a summary of the terms of the Stock and under the caption “Underwriting” insofar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ind w:right="40"/>
        <w:spacing w:after="0" w:line="286" w:lineRule="auto"/>
        <w:rPr>
          <w:sz w:val="20"/>
          <w:szCs w:val="20"/>
          <w:color w:val="auto"/>
        </w:rPr>
      </w:pPr>
      <w:r>
        <w:rPr>
          <w:rFonts w:ascii="Arial" w:cs="Arial" w:eastAsia="Arial" w:hAnsi="Arial"/>
          <w:sz w:val="17"/>
          <w:szCs w:val="17"/>
          <w:color w:val="auto"/>
        </w:rPr>
        <w:t>as they purport to describe the provisions of the laws and documents referred to therein are accurate, materially complete and fair, and the statements set forth in the Pricing Prospectus and the Prospectus under the caption “Material U.S. Federal Income Tax Considerations for Non-U.S. Holders” insofar as they purport to describe the provisions of the laws and documents referred to therein are accurate in all material respects;</w:t>
      </w:r>
    </w:p>
    <w:p>
      <w:pPr>
        <w:spacing w:after="0" w:line="166" w:lineRule="exact"/>
        <w:rPr>
          <w:sz w:val="20"/>
          <w:szCs w:val="20"/>
          <w:color w:val="auto"/>
        </w:rPr>
      </w:pPr>
    </w:p>
    <w:p>
      <w:pPr>
        <w:ind w:right="20" w:firstLine="656"/>
        <w:spacing w:after="0" w:line="279" w:lineRule="auto"/>
        <w:tabs>
          <w:tab w:leader="none" w:pos="1173"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than as set forth in the Pricing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reasonably be expected to have a Material Adverse Effect; and, to the best of the Company’s knowledge, no such proceedings are threatened or contemplated by Regulatory Authorities or threatened by others;</w:t>
      </w:r>
    </w:p>
    <w:p>
      <w:pPr>
        <w:spacing w:after="0" w:line="171" w:lineRule="exact"/>
        <w:rPr>
          <w:rFonts w:ascii="Arial" w:cs="Arial" w:eastAsia="Arial" w:hAnsi="Arial"/>
          <w:sz w:val="17"/>
          <w:szCs w:val="17"/>
          <w:color w:val="auto"/>
        </w:rPr>
      </w:pPr>
    </w:p>
    <w:p>
      <w:pPr>
        <w:ind w:right="180" w:firstLine="656"/>
        <w:spacing w:after="0" w:line="264" w:lineRule="auto"/>
        <w:tabs>
          <w:tab w:leader="none" w:pos="117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Pricing Disclosure Package, will not be an “investment company”, as such term is defined in the Investment Company Act of 1940, as amended (the “Investment Company Act”);</w:t>
      </w:r>
    </w:p>
    <w:p>
      <w:pPr>
        <w:spacing w:after="0" w:line="181" w:lineRule="exact"/>
        <w:rPr>
          <w:rFonts w:ascii="Arial" w:cs="Arial" w:eastAsia="Arial" w:hAnsi="Arial"/>
          <w:sz w:val="18"/>
          <w:szCs w:val="18"/>
          <w:color w:val="auto"/>
        </w:rPr>
      </w:pPr>
    </w:p>
    <w:p>
      <w:pPr>
        <w:ind w:right="160" w:firstLine="656"/>
        <w:spacing w:after="0" w:line="272" w:lineRule="auto"/>
        <w:tabs>
          <w:tab w:leader="none" w:pos="1173" w:val="left"/>
        </w:tabs>
        <w:numPr>
          <w:ilvl w:val="0"/>
          <w:numId w:val="8"/>
        </w:numPr>
        <w:rPr>
          <w:rFonts w:ascii="Arial" w:cs="Arial" w:eastAsia="Arial" w:hAnsi="Arial"/>
          <w:sz w:val="17"/>
          <w:szCs w:val="17"/>
          <w:color w:val="auto"/>
        </w:rPr>
      </w:pPr>
      <w:r>
        <w:rPr>
          <w:rFonts w:ascii="Arial" w:cs="Arial" w:eastAsia="Arial" w:hAnsi="Arial"/>
          <w:sz w:val="17"/>
          <w:szCs w:val="17"/>
          <w:color w:val="auto"/>
        </w:rPr>
        <w:t>(A)(i) At the time of filing the Automatic Registration Statement, (ii) at the time of the most recent amendment thereto for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the Company was a “well-known seasoned issuer” as defined in Rule 405 under the Act; and (B) at the earliest time after the filing of the Automatic Registration Statement that the Company or another offering participant made a bona fide offer (within the meaning of Rule 164(h)(2) under the Act) of the Shares, the Company was not and, as of the date hereof is not an “ineligible issuer,” as defined under Rule 405 under the Act;</w:t>
      </w:r>
    </w:p>
    <w:p>
      <w:pPr>
        <w:spacing w:after="0" w:line="177" w:lineRule="exact"/>
        <w:rPr>
          <w:rFonts w:ascii="Arial" w:cs="Arial" w:eastAsia="Arial" w:hAnsi="Arial"/>
          <w:sz w:val="17"/>
          <w:szCs w:val="17"/>
          <w:color w:val="auto"/>
        </w:rPr>
      </w:pPr>
    </w:p>
    <w:p>
      <w:pPr>
        <w:ind w:right="540" w:firstLine="656"/>
        <w:spacing w:after="0" w:line="277" w:lineRule="auto"/>
        <w:tabs>
          <w:tab w:leader="none" w:pos="1188" w:val="left"/>
        </w:tabs>
        <w:numPr>
          <w:ilvl w:val="0"/>
          <w:numId w:val="8"/>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is an independent registered public accountant as required by the Act and the rules and regulations of the Commission thereunder;</w:t>
      </w:r>
    </w:p>
    <w:p>
      <w:pPr>
        <w:spacing w:after="0" w:line="170" w:lineRule="exact"/>
        <w:rPr>
          <w:rFonts w:ascii="Arial" w:cs="Arial" w:eastAsia="Arial" w:hAnsi="Arial"/>
          <w:sz w:val="18"/>
          <w:szCs w:val="18"/>
          <w:color w:val="auto"/>
        </w:rPr>
      </w:pPr>
    </w:p>
    <w:p>
      <w:pPr>
        <w:ind w:firstLine="656"/>
        <w:spacing w:after="0" w:line="257" w:lineRule="auto"/>
        <w:tabs>
          <w:tab w:leader="none" w:pos="11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such term is defined in Rule 13a-15(f) under the Exchange Act) that complies with the requirements of the Exchange Act applicable to the Company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The Company’s internal accounting controls have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ind w:right="60"/>
        <w:spacing w:after="0" w:line="255" w:lineRule="auto"/>
        <w:rPr>
          <w:sz w:val="20"/>
          <w:szCs w:val="20"/>
          <w:color w:val="auto"/>
        </w:rPr>
      </w:pPr>
      <w:r>
        <w:rPr>
          <w:rFonts w:ascii="Arial" w:cs="Arial" w:eastAsia="Arial" w:hAnsi="Arial"/>
          <w:sz w:val="18"/>
          <w:szCs w:val="18"/>
          <w:color w:val="auto"/>
        </w:rPr>
        <w:t>been designed to provide reasonable assurance regarding the reliability of financial reporting and the preparation of financial statements for external purposes in accordance with GAAP. The Company’s internal accounting controls are sufficient to provide reasonable assurance that (i) transactions are executed in accordance with the general or specific authorizations of the Company’s management; (ii) transactions are recorded as necessary to permit preparation of financial statements in conformity with GAAP and to maintain asset accountability; (iii) access to assets is permitted only in accordance with the general or specific authorization of the Company’s management; and (iv) the recorded accountability for assets is compared with the existing assets at reasonable intervals and appropriate action is taken with respect to any differences. The Company is not aware of any material weaknesses in its internal control over financial reporting;</w:t>
      </w:r>
    </w:p>
    <w:p>
      <w:pPr>
        <w:spacing w:after="0" w:line="189" w:lineRule="exact"/>
        <w:rPr>
          <w:sz w:val="20"/>
          <w:szCs w:val="20"/>
          <w:color w:val="auto"/>
        </w:rPr>
      </w:pPr>
    </w:p>
    <w:p>
      <w:pPr>
        <w:jc w:val="both"/>
        <w:ind w:right="200" w:firstLine="656"/>
        <w:spacing w:after="0" w:line="264" w:lineRule="auto"/>
        <w:tabs>
          <w:tab w:leader="none" w:pos="1142" w:val="left"/>
        </w:tabs>
        <w:numPr>
          <w:ilvl w:val="0"/>
          <w:numId w:val="9"/>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81" w:lineRule="exact"/>
        <w:rPr>
          <w:rFonts w:ascii="Arial" w:cs="Arial" w:eastAsia="Arial" w:hAnsi="Arial"/>
          <w:sz w:val="18"/>
          <w:szCs w:val="18"/>
          <w:color w:val="auto"/>
        </w:rPr>
      </w:pPr>
    </w:p>
    <w:p>
      <w:pPr>
        <w:ind w:right="80" w:firstLine="656"/>
        <w:spacing w:after="0" w:line="259" w:lineRule="auto"/>
        <w:tabs>
          <w:tab w:leader="none" w:pos="114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are designed to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186" w:lineRule="exact"/>
        <w:rPr>
          <w:rFonts w:ascii="Arial" w:cs="Arial" w:eastAsia="Arial" w:hAnsi="Arial"/>
          <w:sz w:val="18"/>
          <w:szCs w:val="18"/>
          <w:color w:val="auto"/>
        </w:rPr>
      </w:pPr>
    </w:p>
    <w:p>
      <w:pPr>
        <w:ind w:firstLine="656"/>
        <w:spacing w:after="0" w:line="264" w:lineRule="auto"/>
        <w:tabs>
          <w:tab w:leader="none" w:pos="114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81" w:lineRule="exact"/>
        <w:rPr>
          <w:rFonts w:ascii="Arial" w:cs="Arial" w:eastAsia="Arial" w:hAnsi="Arial"/>
          <w:sz w:val="18"/>
          <w:szCs w:val="18"/>
          <w:color w:val="auto"/>
        </w:rPr>
      </w:pPr>
    </w:p>
    <w:p>
      <w:pPr>
        <w:ind w:right="60" w:firstLine="656"/>
        <w:spacing w:after="0" w:line="255" w:lineRule="auto"/>
        <w:tabs>
          <w:tab w:leader="none" w:pos="11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disclosed in the Pricing Prospectus, the Company owns or has valid, binding and enforceable licenses or other rights under the patents and patent applications, copyrights, trademarks, trademark registrations, service marks, service mark registrations, trade names, service names, know-how (including trade secrets and other unpatented and/or unpatentable proprietary or confidential information, systems or procedures) and other intellectual property (collectively, “Intellectual Property”) that is necessary for, or used in the conduct of, or the proposed conduct of, the business of the Company in the manner described in the Pricing Prospectus (collectively, the “Company Intellectual Property”). To the Company’s knowledge, none of the patents and patent applications contained in the Company Intellectual Property, are invalid or unenforceable, in whole or in part, and the Company is unaware of any facts that would form a reasonable basis for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line="286" w:lineRule="auto"/>
        <w:rPr>
          <w:sz w:val="20"/>
          <w:szCs w:val="20"/>
          <w:color w:val="auto"/>
        </w:rPr>
      </w:pPr>
      <w:r>
        <w:rPr>
          <w:rFonts w:ascii="Arial" w:cs="Arial" w:eastAsia="Arial" w:hAnsi="Arial"/>
          <w:sz w:val="16"/>
          <w:szCs w:val="16"/>
          <w:color w:val="auto"/>
        </w:rPr>
        <w:t>such a determination. None of the rights within the Company Intellectual Property, other than patents and patent applications, are invalid or unenforceable, in whole or in part, and the Company is unaware of any facts that would form a reasonable basis for such a determination. Except as disclosed in the Pricing Prospectus, the Company is not obligated to pay a material royalty, grant a license or provide other material consideration to any third party in connection with the Company Intellectual Property. There is no pending or, to the Company’s knowledge, threatened action, suit, proceeding or claim by a third party</w:t>
      </w:r>
    </w:p>
    <w:p>
      <w:pPr>
        <w:spacing w:after="0" w:line="2" w:lineRule="exact"/>
        <w:rPr>
          <w:sz w:val="20"/>
          <w:szCs w:val="20"/>
          <w:color w:val="auto"/>
        </w:rPr>
      </w:pPr>
    </w:p>
    <w:p>
      <w:pPr>
        <w:ind w:right="20" w:firstLine="8"/>
        <w:spacing w:after="0" w:line="284" w:lineRule="auto"/>
        <w:tabs>
          <w:tab w:leader="none" w:pos="2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challenging the Company’s rights in or to any Company Intellectual Property, including with respect to ownership and inventorship; (ii) challenging the validity, enforceability or scope of any Company Intellectual Property; or (iii) asserting that the Company has infringed, misappropriated or otherwise violated, or would, upon the commercialization of any products described in the Pricing Prospectus as under development, infringe, misappropriate or otherwise violate, any Intellectual Property rights of others; and, in each of the foregoing cases, the Company (a) is unaware of any facts that would form a reasonable basis for any such action, suit, proceeding or claim and (b) has not received any written notice alleging any such claim or conflict. To the knowledge of the Company, (1) neither the commercial development nor the sale of any of the products, proposed products or processes of the Company, as described in the Pricing Prospectus, infringes, misappropriates or otherwise violates, or would, upon the commercialization of such products or proposed products, infringe, misappropriate or otherwise violate, any Intellectual Property rights of any third party; (2) the Company believes it can acquire, on reasonable terms, any licenses under third-party Intellectual Property that may be necessary for or used in its business, as currently conducted or as proposed to be conducted, as described in the Pricing Prospectus; (3) no third party has any ownership right in or to any Company Intellectual Property that is owned by the Company, other than any co-owner of a patent or patent application within the Company Intellectual Property who is listed on the records of the U.S. Patent and Trademark Office (the “USPTO”) as co-owner of such patent or named in such patent application; (4) no third party has any ownership right in or to any Company Intellectual Property, in any field of use, other than the respective licensor to the Company of such Company Intellectual Property; (5) no employee of the Company is in or has ever been in violation, in any material respect, of any term of any employment contract, patent disclosure agreement, invention assignment agreement, non-competition agreement, non-solicitation agreement, nondisclosure agreement or other restrictive covenant to or with a former employer where the basis of such violation relates to such employee’s employment, or to actions undertaken by the employee while employed, with the Company; and (6) each current and former employee and consultant of the Company (A) has executed an inventions assignment and confidentiality agreement with the Company, on or about the respective date of hire, in substantially the form made available to the Underwriter and its counsel; and (B) has assigned or agreed to assign to the Company any and all Intellectual Property rights he or she may possess or may have possessed that are related to</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Company’s business, as currently conducted and as proposed to be conducted, as described in the Pricing Prospectus;</w:t>
      </w:r>
    </w:p>
    <w:p>
      <w:pPr>
        <w:spacing w:after="0" w:line="225" w:lineRule="exact"/>
        <w:rPr>
          <w:sz w:val="20"/>
          <w:szCs w:val="20"/>
          <w:color w:val="auto"/>
        </w:rPr>
      </w:pPr>
    </w:p>
    <w:p>
      <w:pPr>
        <w:ind w:right="60" w:firstLine="656"/>
        <w:spacing w:after="0" w:line="276" w:lineRule="auto"/>
        <w:tabs>
          <w:tab w:leader="none" w:pos="1142"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patents and patent applications owned by or licensed to the Company or under which the Company has rights have, to the knowledge of the Company, been duly and properly filed and maintained; to the knowledge of the Company, the parties prosecuting such applications have complied with their duty of candor and disclosure to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172" w:lineRule="exact"/>
        <w:rPr>
          <w:rFonts w:ascii="Arial" w:cs="Arial" w:eastAsia="Arial" w:hAnsi="Arial"/>
          <w:sz w:val="17"/>
          <w:szCs w:val="17"/>
          <w:color w:val="auto"/>
        </w:rPr>
      </w:pPr>
    </w:p>
    <w:p>
      <w:pPr>
        <w:ind w:firstLine="656"/>
        <w:spacing w:after="0" w:line="269" w:lineRule="auto"/>
        <w:tabs>
          <w:tab w:leader="none" w:pos="114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preclinical studies and clinical trials conducted by, on behalf of or sponsored by the Company were and, if still pending are being, conducted in all material respects in accordance with the experimental protocols or clinical trial protocols established for each study or trial and with all applicable local, state and federal laws, rules and regulations, including, without limitation, the Federal Food, Drug, and Cosmetic Act and its applicable implementing regulations at 21 C.F.R. Parts 50, 54, 56, 58, 312, and 812 or the exercise by the U.S. Food and Drug Administration (“FDA”) of enforcement discretion thereto, as applicable, except where the failure to so conduct would not, individually or in the aggregate, reasonably be expected to have a Material Adverse Effect; the descriptions of the results of such studies and trials contained in any Pricing Prospectus or Prospectus did not include any untrue statement of a material fact or omit to state any material fact necessary in order to make the statements therein, in the light of the circumstances under which they were made, not misleading; except to the extent disclosed in the Pricing Prospectus or Prospectus, the Company is not aware of any studies or trials, the results of which are inconsistent with or otherwise call into question the study or trial results described or referred to in the Pricing Prospectus or Prospectus; and neither the FDA nor any applicable foreign Regulatory Agency has commenced, or, to the knowledge of the Company, threatened to initiate, any action to place a hold order on, or otherwise terminate, delay or suspend, any proposed or ongoing preclinical study or clinical investigation conducted or proposed to be conducted by or on behalf of the Company;</w:t>
      </w:r>
    </w:p>
    <w:p>
      <w:pPr>
        <w:spacing w:after="0" w:line="179" w:lineRule="exact"/>
        <w:rPr>
          <w:rFonts w:ascii="Arial" w:cs="Arial" w:eastAsia="Arial" w:hAnsi="Arial"/>
          <w:sz w:val="17"/>
          <w:szCs w:val="17"/>
          <w:color w:val="auto"/>
        </w:rPr>
      </w:pPr>
    </w:p>
    <w:p>
      <w:pPr>
        <w:ind w:left="1160" w:hanging="50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operated and currently is in compliance in all respects with all applicable Health Care Laws (as defined in this</w:t>
      </w:r>
    </w:p>
    <w:p>
      <w:pPr>
        <w:spacing w:after="0" w:line="23" w:lineRule="exact"/>
        <w:rPr>
          <w:sz w:val="20"/>
          <w:szCs w:val="20"/>
          <w:color w:val="auto"/>
        </w:rPr>
      </w:pPr>
    </w:p>
    <w:p>
      <w:pPr>
        <w:ind w:right="360"/>
        <w:spacing w:after="0" w:line="295" w:lineRule="auto"/>
        <w:rPr>
          <w:sz w:val="20"/>
          <w:szCs w:val="20"/>
          <w:color w:val="auto"/>
        </w:rPr>
      </w:pPr>
      <w:r>
        <w:rPr>
          <w:rFonts w:ascii="Arial" w:cs="Arial" w:eastAsia="Arial" w:hAnsi="Arial"/>
          <w:sz w:val="16"/>
          <w:szCs w:val="16"/>
          <w:color w:val="auto"/>
        </w:rPr>
        <w:t>Section 1(z)), including, without limitation, the rules and regulations of the FDA, the U.S. Department of Health and Human Services Office of Inspector General, the Centers for Medicare &amp; Medicaid Services, the Office for Civil Rights, the Department of Justice or any other Regulatory Authority having jurisdiction over the Company or any of its properties, and has not engaged in activities which are, as applicable, cause for false claims liability, civil penalties, or mandatory or permissive exclusion from Medicare, Medicaid, or any other state or federal health care program. For purposes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40"/>
        <w:spacing w:after="0" w:line="285" w:lineRule="auto"/>
        <w:rPr>
          <w:sz w:val="20"/>
          <w:szCs w:val="20"/>
          <w:color w:val="auto"/>
        </w:rPr>
      </w:pPr>
      <w:r>
        <w:rPr>
          <w:rFonts w:ascii="Arial" w:cs="Arial" w:eastAsia="Arial" w:hAnsi="Arial"/>
          <w:sz w:val="16"/>
          <w:szCs w:val="16"/>
          <w:color w:val="auto"/>
        </w:rPr>
        <w:t>of this Agreement, “Health Care Laws”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(“HIPAA”), the exclusion laws (42 U.S.C. § 1320a-7), the civil monetary penalties law (42 U.S.C. § 1320a-7a), HIPAA, as amended by the Health Information Technology for Economic and Clinical Health Act (42 U.S.C.</w:t>
      </w:r>
    </w:p>
    <w:p>
      <w:pPr>
        <w:spacing w:after="0" w:line="2" w:lineRule="exact"/>
        <w:rPr>
          <w:sz w:val="20"/>
          <w:szCs w:val="20"/>
          <w:color w:val="auto"/>
        </w:rPr>
      </w:pPr>
    </w:p>
    <w:p>
      <w:pPr>
        <w:ind w:firstLine="8"/>
        <w:spacing w:after="0" w:line="268" w:lineRule="auto"/>
        <w:tabs>
          <w:tab w:leader="none" w:pos="225" w:val="left"/>
        </w:tabs>
        <w:numPr>
          <w:ilvl w:val="0"/>
          <w:numId w:val="12"/>
        </w:numPr>
        <w:rPr>
          <w:rFonts w:ascii="Arial" w:cs="Arial" w:eastAsia="Arial" w:hAnsi="Arial"/>
          <w:sz w:val="17"/>
          <w:szCs w:val="17"/>
          <w:color w:val="auto"/>
        </w:rPr>
      </w:pPr>
      <w:r>
        <w:rPr>
          <w:rFonts w:ascii="Arial" w:cs="Arial" w:eastAsia="Arial" w:hAnsi="Arial"/>
          <w:sz w:val="17"/>
          <w:szCs w:val="17"/>
          <w:color w:val="auto"/>
        </w:rPr>
        <w:t>17921 et seq.), Medicare (Title XVIII of the Social Security Act), Medicaid (Title XIX of the Social Security Act), the Federal Food, Drug, and Cosmetic Act (21 U.S.C. §§ 301 et seq.), the regulations promulgated pursuant to such laws, and any similar federal, state and local laws and regulations. The Company has not received any FDA Form 483, notice of adverse finding, warning letter, untitled letter or other correspondence or notice from the FDA or any other Regulatory Authority alleging or asserting noncompliance with any Health Care Laws applicable to the Company. Additionally, the Company is not a party to nor has any ongoing reporting obligations pursuant to any corporate integrity agreements, deferred prosecution agreements, monitoring agreements, consent decrees, settlement orders, plans of correction or similar agreements with or imposed by any Regulatory Authority. Neither the Company, nor, to the knowledge of the Company, any of its respective employees, officers or directors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spacing w:after="0" w:line="182" w:lineRule="exact"/>
        <w:rPr>
          <w:rFonts w:ascii="Arial" w:cs="Arial" w:eastAsia="Arial" w:hAnsi="Arial"/>
          <w:sz w:val="17"/>
          <w:szCs w:val="17"/>
          <w:color w:val="auto"/>
        </w:rPr>
      </w:pPr>
    </w:p>
    <w:p>
      <w:pPr>
        <w:ind w:right="40" w:firstLine="656"/>
        <w:spacing w:after="0" w:line="254" w:lineRule="auto"/>
        <w:tabs>
          <w:tab w:leader="none" w:pos="111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possesses all material permits, licenses, approvals, clearances, exemptions, registrations, consents and other authorizations (collectively, “Permits”) issued by the appropriate Regulatory Authorities, including without limitation, all such Permits required by the FDA or any component thereof, necessary to conduct the businesses now operated by it, except where the failure to possess such Permit would not, individually or in the aggregate, reasonably be expected to have a Material Adverse Effect; the Company is in compliance with the terms and conditions of all such Permits, except where the failure to comply would not, individually or in the aggregate, reasonably be expected to have a Material Adverse Effect, and all of the Permits are valid and in full force and effect; the Company has not received notice of proceedings relating to the revocation or material modification of any such Permits and to the knowledge of the Company, no Regulatory Authority granting any such Permit has taken any action to limit, suspend or revoke the same in any material respect;</w:t>
      </w:r>
    </w:p>
    <w:p>
      <w:pPr>
        <w:spacing w:after="0" w:line="192" w:lineRule="exact"/>
        <w:rPr>
          <w:rFonts w:ascii="Arial" w:cs="Arial" w:eastAsia="Arial" w:hAnsi="Arial"/>
          <w:sz w:val="18"/>
          <w:szCs w:val="18"/>
          <w:color w:val="auto"/>
        </w:rPr>
      </w:pPr>
    </w:p>
    <w:p>
      <w:pPr>
        <w:ind w:right="60" w:firstLine="656"/>
        <w:spacing w:after="0" w:line="277" w:lineRule="auto"/>
        <w:tabs>
          <w:tab w:leader="none" w:pos="1137"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Except as described in the Pricing Prospectus and the Prospectus, there are no contracts, agreements or understandings between the Company and any person granting such person the right to require the Company to file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registration statement under the Act with respect to any securities of the Company owned or to be owned by such person;</w:t>
      </w:r>
    </w:p>
    <w:p>
      <w:pPr>
        <w:spacing w:after="0" w:line="225" w:lineRule="exact"/>
        <w:rPr>
          <w:sz w:val="20"/>
          <w:szCs w:val="20"/>
          <w:color w:val="auto"/>
        </w:rPr>
      </w:pPr>
    </w:p>
    <w:p>
      <w:pPr>
        <w:ind w:right="100" w:firstLine="656"/>
        <w:spacing w:after="0" w:line="272" w:lineRule="auto"/>
        <w:tabs>
          <w:tab w:leader="none" w:pos="1144"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as described in the Pricing Prospectus and the Prospectus, the Company has timely filed all material federal, state, local and foreign income and franchise tax returns required to be filed through the date hereof, subject to permitted extensions, and has paid all material taxes due thereon and, if due and payable, any related or similar assessment, fine or penalty levied against the Company except as may be being contested in good faith and by appropriate proceedings. Except as described in the Pricing Disclosure Package, no material tax deficiency has been determined adversely to the Company, and the Company has not received written notice of any actual or proposed additional material tax assessment from a tax authority of any jurisdiction. The Company has made adequate charges, accruals and reserves in the applicable financial statements referred to in Section 1(ii) in respect of all federal, state, local and foreign taxes not yet due and payable in accordance with GAAP;</w:t>
      </w:r>
    </w:p>
    <w:p>
      <w:pPr>
        <w:spacing w:after="0" w:line="177" w:lineRule="exact"/>
        <w:rPr>
          <w:rFonts w:ascii="Arial" w:cs="Arial" w:eastAsia="Arial" w:hAnsi="Arial"/>
          <w:sz w:val="17"/>
          <w:szCs w:val="17"/>
          <w:color w:val="auto"/>
        </w:rPr>
      </w:pPr>
    </w:p>
    <w:p>
      <w:pPr>
        <w:ind w:firstLine="656"/>
        <w:spacing w:after="0" w:line="255" w:lineRule="auto"/>
        <w:tabs>
          <w:tab w:leader="none" w:pos="11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Company, any of its subsidiaries, nor, to the knowledge of the Company, any director, officer, agent, employee, affiliate or 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(iv) violated or is in violation of any provision of the Bribery Act 2010 of the United Kingdom; or (v) made any bribe, rebate, payoff, influence payment, kickback or other unlawful payment;</w:t>
      </w:r>
    </w:p>
    <w:p>
      <w:pPr>
        <w:spacing w:after="0" w:line="193" w:lineRule="exact"/>
        <w:rPr>
          <w:rFonts w:ascii="Arial" w:cs="Arial" w:eastAsia="Arial" w:hAnsi="Arial"/>
          <w:sz w:val="18"/>
          <w:szCs w:val="18"/>
          <w:color w:val="auto"/>
        </w:rPr>
      </w:pPr>
    </w:p>
    <w:p>
      <w:pPr>
        <w:ind w:right="40" w:firstLine="656"/>
        <w:spacing w:after="0" w:line="273" w:lineRule="auto"/>
        <w:tabs>
          <w:tab w:leader="none" w:pos="130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material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having jurisdiction over the Company and its subsidiaries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8" w:lineRule="exact"/>
        <w:rPr>
          <w:rFonts w:ascii="Arial" w:cs="Arial" w:eastAsia="Arial" w:hAnsi="Arial"/>
          <w:sz w:val="17"/>
          <w:szCs w:val="17"/>
          <w:color w:val="auto"/>
        </w:rPr>
      </w:pPr>
    </w:p>
    <w:p>
      <w:pPr>
        <w:ind w:right="40" w:firstLine="656"/>
        <w:spacing w:after="0" w:line="259" w:lineRule="auto"/>
        <w:tabs>
          <w:tab w:leader="none" w:pos="12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Company, its subsidiaries, nor, to the knowledge of the Company, any director, officer, agent, employee or affiliate of the Company or any of its subsidiaries is currently the subject or the target of any sanctions administered or enforced by the U.S. Government, including, without limitation, the Office of Foreign Assets Control of the U.S. Department of the Treasury (“OFAC”), or other relevant sanctions authority (collectively, “Sanctions”), and the Company will not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directly or indirectly use the proceeds of the offering of the Shares hereunder, or lend, contribute or otherwise make available such proceeds to any subsidiary, joint venture partner or other person or entity (i) to fund any activities of or business with any person, or in any country or territory, that, at the time of such funding, is the subject of Sanctions or (ii) in any other manner that will result in a violation by any person (including any person participating in the transaction, whether as underwriter, advisor, investor or otherwise) of Sanctions;</w:t>
      </w:r>
    </w:p>
    <w:p>
      <w:pPr>
        <w:spacing w:after="0" w:line="187" w:lineRule="exact"/>
        <w:rPr>
          <w:sz w:val="20"/>
          <w:szCs w:val="20"/>
          <w:color w:val="auto"/>
        </w:rPr>
      </w:pPr>
    </w:p>
    <w:p>
      <w:pPr>
        <w:ind w:right="220" w:firstLine="656"/>
        <w:spacing w:after="0" w:line="286" w:lineRule="auto"/>
        <w:tabs>
          <w:tab w:leader="none" w:pos="1164"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and its subsidiaries have insurance covering their properties, operations, personnel and businesses, including business interruption insurance, which insurance insures against such risks and is in such amounts as are, in the Company’s reasonable judgment, commercially reasonable for the conduct of its and its subsidiaries business; and neither the Company nor any of its subsidiaries has (i) received written notice from any insurer or agent of such insurer that capital improvements or other expenditures are required or necessary to be made in order to continue such insurance or</w:t>
      </w:r>
    </w:p>
    <w:p>
      <w:pPr>
        <w:spacing w:after="0" w:line="1" w:lineRule="exact"/>
        <w:rPr>
          <w:rFonts w:ascii="Arial" w:cs="Arial" w:eastAsia="Arial" w:hAnsi="Arial"/>
          <w:sz w:val="16"/>
          <w:szCs w:val="16"/>
          <w:color w:val="auto"/>
        </w:rPr>
      </w:pPr>
    </w:p>
    <w:p>
      <w:pPr>
        <w:ind w:right="380" w:firstLine="8"/>
        <w:spacing w:after="0" w:line="261"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reason to believe that it will not be able to renew its existing insurance coverage as and when such coverage expires or to obtain similar coverage from similar insurers as may be necessary to continue its business;</w:t>
      </w:r>
    </w:p>
    <w:p>
      <w:pPr>
        <w:spacing w:after="0" w:line="183" w:lineRule="exact"/>
        <w:rPr>
          <w:rFonts w:ascii="Arial" w:cs="Arial" w:eastAsia="Arial" w:hAnsi="Arial"/>
          <w:sz w:val="18"/>
          <w:szCs w:val="18"/>
          <w:color w:val="auto"/>
        </w:rPr>
      </w:pPr>
    </w:p>
    <w:p>
      <w:pPr>
        <w:ind w:firstLine="656"/>
        <w:spacing w:after="0" w:line="285" w:lineRule="auto"/>
        <w:tabs>
          <w:tab w:leader="none" w:pos="1137"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and its subsidiaries (i) are in compliance with all, and have not violated any, laws, regulations, ordinances, rules, orders, judgments, decrees, permits or other legal requirements of any Regulatory Authority, including without limitation any international, national, state, provincial, regional, or local authority, relating to the protection of human health or safety, the environment, or natural resources, or to hazardous or toxic substances or wastes, pollutants or contaminants (“Environmental Laws”) applicable to the Company or its subsidiaries, which compliance includes, without limitation, obtaining, maintaining and complying with all permits and authorizations and approvals required by Environmental Laws to conduct its business, and</w:t>
      </w:r>
    </w:p>
    <w:p>
      <w:pPr>
        <w:spacing w:after="0" w:line="2" w:lineRule="exact"/>
        <w:rPr>
          <w:rFonts w:ascii="Arial" w:cs="Arial" w:eastAsia="Arial" w:hAnsi="Arial"/>
          <w:sz w:val="16"/>
          <w:szCs w:val="16"/>
          <w:color w:val="auto"/>
        </w:rPr>
      </w:pPr>
    </w:p>
    <w:p>
      <w:pPr>
        <w:ind w:firstLine="8"/>
        <w:spacing w:after="0" w:line="270" w:lineRule="auto"/>
        <w:tabs>
          <w:tab w:leader="none" w:pos="2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have not received written notice of any actual or alleged violation of Environmental Laws, or of any potential liability for or other obligation concerning the presence, disposal or release of hazardous or toxic substances or wastes, pollutants or contaminants, except in the case of (i) and (ii) where the failure to comply or the potential liability or obligation would not, individually or in the aggregate, reasonably be expected to have a Material Adverse Effect. Except as described in the Pricing Disclosure Package and the Prospectus, (A) there are no proceedings that are pending against the Company under Environmental Laws in which a Regulatory Authority is also a party and (B) the Company is not aware of any non-compliance with Environmental Laws, or liabilities under Environmental Laws, which would reasonably be expected to have a Material Adverse Effect;</w:t>
      </w:r>
    </w:p>
    <w:p>
      <w:pPr>
        <w:spacing w:after="0" w:line="178" w:lineRule="exact"/>
        <w:rPr>
          <w:rFonts w:ascii="Arial" w:cs="Arial" w:eastAsia="Arial" w:hAnsi="Arial"/>
          <w:sz w:val="17"/>
          <w:szCs w:val="17"/>
          <w:color w:val="auto"/>
        </w:rPr>
      </w:pPr>
    </w:p>
    <w:p>
      <w:pPr>
        <w:ind w:firstLine="656"/>
        <w:spacing w:after="0" w:line="264" w:lineRule="auto"/>
        <w:tabs>
          <w:tab w:leader="none" w:pos="116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financial statements included or incorporated by reference in the Registration Statement, the Pricing Disclosure Package and the Prospectus, together with the related schedules and notes, present fairly in all material respects the financial position of the Company and its subsidiaries as of the dates indicated,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spacing w:after="0" w:line="271" w:lineRule="auto"/>
        <w:rPr>
          <w:sz w:val="20"/>
          <w:szCs w:val="20"/>
          <w:color w:val="auto"/>
        </w:rPr>
      </w:pPr>
      <w:r>
        <w:rPr>
          <w:rFonts w:ascii="Arial" w:cs="Arial" w:eastAsia="Arial" w:hAnsi="Arial"/>
          <w:sz w:val="17"/>
          <w:szCs w:val="17"/>
          <w:color w:val="auto"/>
        </w:rPr>
        <w:t>and for the periods indicated therein, subject in the case of unaudited financial statements to normal year-end audit adjustments; said financial statements have been prepared in conformity with GAAP applied on a consistent basis throughout the periods involved, except as otherwise stated in the Registration Statement, the Pricing Disclosure Package and the Prospectus. The supporting schedules, if any, present fairly in all material respects in accordance with GAAP the information required to be stated therein. The selected financial data and the summary financial information included in the Registration Statement, the Pricing Disclosure Package and the Prospectus present fairly in all material respects the information shown therein and have been compiled on a basis consistent with that of the financial statements included or incorporated by reference therein. Except as included therein, no historical or pro forma financial statements or supporting schedules are required to be included in the Registration Statement, the Pricing Disclosure Package or the Prospectus under the Act or the rules and regulations promulgated thereunder;</w:t>
      </w:r>
    </w:p>
    <w:p>
      <w:pPr>
        <w:spacing w:after="0" w:line="179" w:lineRule="exact"/>
        <w:rPr>
          <w:sz w:val="20"/>
          <w:szCs w:val="20"/>
          <w:color w:val="auto"/>
        </w:rPr>
      </w:pPr>
    </w:p>
    <w:p>
      <w:pPr>
        <w:ind w:right="220" w:firstLine="656"/>
        <w:spacing w:after="0" w:line="277"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There are no debt securities or preferred stock of, or guaranteed by, the Company that are rated by a “nationally recognized statistical rating organization,” as such term is defined in Section 3(a)(62) of the Exchange Act;</w:t>
      </w:r>
    </w:p>
    <w:p>
      <w:pPr>
        <w:spacing w:after="0" w:line="170" w:lineRule="exact"/>
        <w:rPr>
          <w:rFonts w:ascii="Arial" w:cs="Arial" w:eastAsia="Arial" w:hAnsi="Arial"/>
          <w:sz w:val="18"/>
          <w:szCs w:val="18"/>
          <w:color w:val="auto"/>
        </w:rPr>
      </w:pPr>
    </w:p>
    <w:p>
      <w:pPr>
        <w:ind w:firstLine="656"/>
        <w:spacing w:after="0" w:line="284" w:lineRule="auto"/>
        <w:tabs>
          <w:tab w:leader="none" w:pos="1299"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liability to the Company or any of its subsidiaries, (i) each “employee benefit plan” within the meaning of the Employee Retirement Income Security Act of 1974, as amended (“ERISA”), whether or not subject to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with its terms and with the requirements of all applicable statutes, rules and regulations including ERISA and the Code; (ii) neither the Company nor any member of its Controlled Group has incurred, or reasonably expects to incur, any liability under Title IV of ERISA in respect of a Plan (including a “multiemployer plan,” within the meaning of Section 4001(c)(3) of ERISA); (iii) each Plan that is intended to be qualified under Section 401(a) of the Code is so qualified and nothing has occurred, whether by action or by failure to act, which would cause the loss of such qualification;</w:t>
      </w:r>
    </w:p>
    <w:p>
      <w:pPr>
        <w:spacing w:after="0" w:line="1" w:lineRule="exact"/>
        <w:rPr>
          <w:rFonts w:ascii="Arial" w:cs="Arial" w:eastAsia="Arial" w:hAnsi="Arial"/>
          <w:sz w:val="16"/>
          <w:szCs w:val="16"/>
          <w:color w:val="auto"/>
        </w:rPr>
      </w:pPr>
    </w:p>
    <w:p>
      <w:pPr>
        <w:ind w:right="240" w:firstLine="8"/>
        <w:spacing w:after="0" w:line="295" w:lineRule="auto"/>
        <w:tabs>
          <w:tab w:leader="none" w:pos="3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there is no pending audit or investigation by the Internal Revenue Service, the U.S. Department of Labor, the Pension Benefit Guaranty Corporation or any other governmental agency with respect to any Plan that could reasonably be expected to result in material liability to the Company or any of its subsidiaries; and (iv) the Company and its subsidiaries have not incurred any liability for any prohibited transaction, the failure of any Plan to meet the minimum funding standards required by law, including by ERISA or the Code, or any complete or partial withdrawal liability with respect to any Plan;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left="-20" w:right="40" w:firstLine="656"/>
        <w:spacing w:after="0" w:line="264" w:lineRule="auto"/>
        <w:tabs>
          <w:tab w:leader="none" w:pos="13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no existing or, to the knowledge of the Company, threatened labor disputes with employees of the Company, and the Company is not aware of any existing or threatened labor disturbance by the employees of any of its principal suppliers, manufacturers, customers or contractors that, individually or in the aggregate, could reasonably be expected to result in a material liability to the Company;</w:t>
      </w:r>
    </w:p>
    <w:p>
      <w:pPr>
        <w:spacing w:after="0" w:line="181" w:lineRule="exact"/>
        <w:rPr>
          <w:rFonts w:ascii="Arial" w:cs="Arial" w:eastAsia="Arial" w:hAnsi="Arial"/>
          <w:sz w:val="18"/>
          <w:szCs w:val="18"/>
          <w:color w:val="auto"/>
        </w:rPr>
      </w:pPr>
    </w:p>
    <w:p>
      <w:pPr>
        <w:ind w:left="-20" w:right="140" w:firstLine="656"/>
        <w:spacing w:after="0" w:line="264" w:lineRule="auto"/>
        <w:tabs>
          <w:tab w:leader="none" w:pos="12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interactive data in the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jc w:val="both"/>
        <w:ind w:left="-20" w:firstLine="656"/>
        <w:spacing w:after="0" w:line="264" w:lineRule="auto"/>
        <w:tabs>
          <w:tab w:leader="none" w:pos="11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no relationships, direct or indirect, or related-party transactions involving the Company or any other person required to be described in the Registration Statement, Pricing Prospectus and the Prospectus which have not been described in such documents and the Pricing Disclosure Package as required; and</w:t>
      </w:r>
    </w:p>
    <w:p>
      <w:pPr>
        <w:spacing w:after="0" w:line="181" w:lineRule="exact"/>
        <w:rPr>
          <w:rFonts w:ascii="Arial" w:cs="Arial" w:eastAsia="Arial" w:hAnsi="Arial"/>
          <w:sz w:val="18"/>
          <w:szCs w:val="18"/>
          <w:color w:val="auto"/>
        </w:rPr>
      </w:pPr>
    </w:p>
    <w:p>
      <w:pPr>
        <w:ind w:left="-20" w:right="20" w:firstLine="656"/>
        <w:spacing w:after="0" w:line="289" w:lineRule="auto"/>
        <w:tabs>
          <w:tab w:leader="none" w:pos="973" w:val="left"/>
        </w:tabs>
        <w:numPr>
          <w:ilvl w:val="0"/>
          <w:numId w:val="19"/>
        </w:numPr>
        <w:rPr>
          <w:rFonts w:ascii="Arial" w:cs="Arial" w:eastAsia="Arial" w:hAnsi="Arial"/>
          <w:sz w:val="16"/>
          <w:szCs w:val="16"/>
          <w:color w:val="auto"/>
        </w:rPr>
      </w:pPr>
      <w:r>
        <w:rPr>
          <w:rFonts w:ascii="Arial" w:cs="Arial" w:eastAsia="Arial" w:hAnsi="Arial"/>
          <w:sz w:val="16"/>
          <w:szCs w:val="16"/>
          <w:color w:val="auto"/>
        </w:rPr>
        <w:t>(i)(x) To the Company’s knowledge, there has been no material security breach or other compromise of or relating to any of the Company’s or its subsidiaries’ information technology and computer systems, networks, hardware, software, data (including the data of their respective customers, employees, suppliers, vendors and any third party data maintained by or on behalf of them), equipment or technology (collectively, “IT Systems and Data”) and (y) the Company and its subsidiaries have not been notified of, and have no knowledge of any event or condition that would reasonably be expected to result in, any material security breach; (ii) the Company and its subsidiaries are presently in compliance with all applicable laws or statutes and all judgments, orders, rules and regulations of any court or arbitrator or governmental or regulatory authority, published privacy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 and (iii) the Company and its subsidiaries have implemented backup and disaster recovery technology consistent with industry standards and practices.</w:t>
      </w:r>
    </w:p>
    <w:p>
      <w:pPr>
        <w:spacing w:after="0" w:line="167" w:lineRule="exact"/>
        <w:rPr>
          <w:sz w:val="20"/>
          <w:szCs w:val="20"/>
          <w:color w:val="auto"/>
        </w:rPr>
      </w:pPr>
    </w:p>
    <w:p>
      <w:pPr>
        <w:ind w:left="-20" w:right="80" w:firstLine="656"/>
        <w:spacing w:after="0" w:line="279" w:lineRule="auto"/>
        <w:tabs>
          <w:tab w:leader="none" w:pos="11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issue and sell to each of the Underwriters, and each of the Underwriters agrees, severally and not jointly, to purchase from the Company, at a purchase price per share of $70.30,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18" w:name="page19"/>
    <w:bookmarkEnd w:id="18"/>
    <w:p>
      <w:pPr>
        <w:ind w:right="160"/>
        <w:spacing w:after="0" w:line="276" w:lineRule="auto"/>
        <w:rPr>
          <w:sz w:val="20"/>
          <w:szCs w:val="20"/>
          <w:color w:val="auto"/>
        </w:rPr>
      </w:pPr>
      <w:r>
        <w:rPr>
          <w:rFonts w:ascii="Arial" w:cs="Arial" w:eastAsia="Arial" w:hAnsi="Arial"/>
          <w:sz w:val="17"/>
          <w:szCs w:val="17"/>
          <w:color w:val="auto"/>
        </w:rPr>
        <w:t>and each of the Underwriters agrees, severally and not jointly, to purchase from the Company,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7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The Company hereby grants to the Underwriters the right to purchase at their election up to 608,108 Optional Shares, at the purchase price per share set forth in the paragraph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you and the Company otherwise agree in writing, earlier than two or later than ten business days after the date of such notice.</w:t>
      </w:r>
    </w:p>
    <w:p>
      <w:pPr>
        <w:spacing w:after="0" w:line="178" w:lineRule="exact"/>
        <w:rPr>
          <w:sz w:val="20"/>
          <w:szCs w:val="20"/>
          <w:color w:val="auto"/>
        </w:rPr>
      </w:pPr>
    </w:p>
    <w:p>
      <w:pPr>
        <w:ind w:right="200" w:firstLine="656"/>
        <w:spacing w:after="0" w:line="277" w:lineRule="auto"/>
        <w:tabs>
          <w:tab w:leader="none" w:pos="11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Shares, the several Underwriters propose to offer the Firm Shares for sale upon the terms and conditions set forth in the Prospectus.</w:t>
      </w:r>
    </w:p>
    <w:p>
      <w:pPr>
        <w:spacing w:after="0" w:line="170" w:lineRule="exact"/>
        <w:rPr>
          <w:rFonts w:ascii="Arial" w:cs="Arial" w:eastAsia="Arial" w:hAnsi="Arial"/>
          <w:sz w:val="18"/>
          <w:szCs w:val="18"/>
          <w:color w:val="auto"/>
        </w:rPr>
      </w:pPr>
    </w:p>
    <w:p>
      <w:pPr>
        <w:ind w:firstLine="656"/>
        <w:spacing w:after="0" w:line="289" w:lineRule="auto"/>
        <w:tabs>
          <w:tab w:leader="none" w:pos="113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The Shares to be purchased by each Underwriter hereunder, in electronic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time and date of such delivery and payment shall be, with respect to the Firm Shares, 9:30 a.m., New York City time, on April 2, 2019 or such other time and date as the Representatives and the Company may agree upon in writing, and, with respect to the Optional Shares, 9:30 a.m., New York City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not the First Time of Delivery, is herein called the “Second Time of Delivery”, and each such time and date for delivery is herein called a “Time of Delivery”.</w:t>
      </w:r>
    </w:p>
    <w:p>
      <w:pPr>
        <w:spacing w:after="0" w:line="248" w:lineRule="exact"/>
        <w:rPr>
          <w:sz w:val="20"/>
          <w:szCs w:val="20"/>
          <w:color w:val="auto"/>
        </w:rPr>
      </w:pPr>
    </w:p>
    <w:p>
      <w:pPr>
        <w:ind w:right="40" w:firstLine="656"/>
        <w:spacing w:after="0" w:line="254" w:lineRule="auto"/>
        <w:tabs>
          <w:tab w:leader="none" w:pos="11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 receipt for the Shares and any additional documents requested by the Underwriters pursuant to Section 8(k) hereof, will be delivered at the offices of Latham &amp; Watkins LLP, 200 Clarendon Street, Boston, MA 02116 (the “Closing Location”), and the Shares will be delivered at the office of DTC or its designated location, all at such Time of Delivery. A meeting will be held at the Closing Location or via teleconference at 4:00 p.m., New York City time, on the New York Business Day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92" w:lineRule="exact"/>
        <w:rPr>
          <w:sz w:val="20"/>
          <w:szCs w:val="20"/>
          <w:color w:val="auto"/>
        </w:rPr>
      </w:pPr>
    </w:p>
    <w:p>
      <w:pPr>
        <w:ind w:left="1140" w:hanging="484"/>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225" w:lineRule="exact"/>
        <w:rPr>
          <w:sz w:val="20"/>
          <w:szCs w:val="20"/>
          <w:color w:val="auto"/>
        </w:rPr>
      </w:pPr>
    </w:p>
    <w:p>
      <w:pPr>
        <w:ind w:firstLine="656"/>
        <w:spacing w:after="0" w:line="286" w:lineRule="auto"/>
        <w:tabs>
          <w:tab w:leader="none" w:pos="11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such earlier time as may be required under the Act;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within the time required for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you, promptly after it receives notice thereof, of the issuance by the Commission of any stop order or of any order preventing or suspending the use of any Preliminary Prospectus or other prospectus in respect of the Shares, of any notice of objection of the Commission to the use of the Registration Statement or any post-effective amendment thereto pursuant to Rule 401(g)(2) under the Act,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160"/>
        <w:spacing w:after="0" w:line="297" w:lineRule="auto"/>
        <w:rPr>
          <w:sz w:val="20"/>
          <w:szCs w:val="20"/>
          <w:color w:val="auto"/>
        </w:rPr>
      </w:pPr>
      <w:r>
        <w:rPr>
          <w:rFonts w:ascii="Arial" w:cs="Arial" w:eastAsia="Arial" w:hAnsi="Arial"/>
          <w:sz w:val="16"/>
          <w:szCs w:val="16"/>
          <w:color w:val="auto"/>
        </w:rPr>
        <w:t>event of the issuance of any stop order or of any order preventing or suspending the use of any Preliminary Prospectus or other prospectus relating to the Shares or suspending any such qualification, to promptly use its reasonable best efforts to obtain the withdrawal of such order; and in the event of any issuance of a notice of objection referred to above, promptly use its reasonable best efforts to take such steps including, without limitation, amending the Automatic Registration Statement or filing a new registration statement, at its own expense, as may be necessary to permit offers and sales of the Shares by the Underwriters (references herein to the Automatic Registration Statement shall include any such amendment or new registration statement);</w:t>
      </w:r>
    </w:p>
    <w:p>
      <w:pPr>
        <w:spacing w:after="0" w:line="158" w:lineRule="exact"/>
        <w:rPr>
          <w:sz w:val="20"/>
          <w:szCs w:val="20"/>
          <w:color w:val="auto"/>
        </w:rPr>
      </w:pPr>
    </w:p>
    <w:p>
      <w:pPr>
        <w:ind w:firstLine="656"/>
        <w:spacing w:after="0" w:line="264" w:lineRule="auto"/>
        <w:tabs>
          <w:tab w:leader="none" w:pos="11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required by Rule 430B(h) under the Act, to prepare a form of prospectus in a form approved by you and to file such form of prospectus pursuant to Rule 424(b) under the Act not later than may be required by Rule 424(b) under the Act; and to make no further amendment or supplement to such form of prospectus which shall be disapproved by you promptly after reasonable notice thereof;</w:t>
      </w:r>
    </w:p>
    <w:p>
      <w:pPr>
        <w:spacing w:after="0" w:line="181" w:lineRule="exact"/>
        <w:rPr>
          <w:rFonts w:ascii="Arial" w:cs="Arial" w:eastAsia="Arial" w:hAnsi="Arial"/>
          <w:sz w:val="18"/>
          <w:szCs w:val="18"/>
          <w:color w:val="auto"/>
        </w:rPr>
      </w:pPr>
    </w:p>
    <w:p>
      <w:pPr>
        <w:ind w:right="40" w:firstLine="656"/>
        <w:spacing w:after="0" w:line="271" w:lineRule="auto"/>
        <w:tabs>
          <w:tab w:leader="none" w:pos="114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by the third anniversary (the “Renewal Deadline”) of the initial effective date of the Automatic Registration Statement, any of the Shares remain unsold by the Underwriters, the Company will file, if it has not already done so and is eligible to do so, a new automatic shelf registration statement relating to the Shares, in a form satisfactory to you. If at the Renewal Deadline the Company is no longer eligible to file an automatic shelf registration statement, the Company will, if it has not already done so, file a new shelf registration statement relating to the Shares, in a form satisfactory to you,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 expired registration statement relating to the Shares. References herein to the Automatic Registration Statement shall include such new automatic shelf registration statement or such new shelf registration statement, as the case may be;</w:t>
      </w:r>
    </w:p>
    <w:p>
      <w:pPr>
        <w:spacing w:after="0" w:line="178" w:lineRule="exact"/>
        <w:rPr>
          <w:rFonts w:ascii="Arial" w:cs="Arial" w:eastAsia="Arial" w:hAnsi="Arial"/>
          <w:sz w:val="17"/>
          <w:szCs w:val="17"/>
          <w:color w:val="auto"/>
        </w:rPr>
      </w:pPr>
    </w:p>
    <w:p>
      <w:pPr>
        <w:ind w:right="240" w:firstLine="656"/>
        <w:spacing w:after="0" w:line="257" w:lineRule="auto"/>
        <w:tabs>
          <w:tab w:leader="none" w:pos="14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therewith the Company shall not be required to qualify as a foreign corporation or to file a general consent to service of process in any jurisdiction, or subject itself to taxation in any such jurisdiction in which it was not otherwise subject to taxation;</w:t>
      </w:r>
    </w:p>
    <w:p>
      <w:pPr>
        <w:spacing w:after="0" w:line="188" w:lineRule="exact"/>
        <w:rPr>
          <w:rFonts w:ascii="Arial" w:cs="Arial" w:eastAsia="Arial" w:hAnsi="Arial"/>
          <w:sz w:val="18"/>
          <w:szCs w:val="18"/>
          <w:color w:val="auto"/>
        </w:rPr>
      </w:pPr>
    </w:p>
    <w:p>
      <w:pPr>
        <w:ind w:right="80" w:firstLine="656"/>
        <w:spacing w:after="0" w:line="277" w:lineRule="auto"/>
        <w:tabs>
          <w:tab w:leader="none" w:pos="14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10:00 a.m., New York City time, on the New York Business Day next succeeding the date of this Agreement (or such other time as may be agreed to by the Representatives and the Company) and from time to time, to</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7"/>
          <w:szCs w:val="17"/>
          <w:color w:val="auto"/>
        </w:rPr>
        <w:t>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(whose name and address the Underwriters shall furnish to the Company)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185" w:lineRule="exact"/>
        <w:rPr>
          <w:sz w:val="20"/>
          <w:szCs w:val="20"/>
          <w:color w:val="auto"/>
        </w:rPr>
      </w:pPr>
    </w:p>
    <w:p>
      <w:pPr>
        <w:ind w:right="340" w:firstLine="656"/>
        <w:spacing w:after="0" w:line="302" w:lineRule="auto"/>
        <w:tabs>
          <w:tab w:leader="none" w:pos="1463"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make generally available to its security 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54" w:lineRule="exact"/>
        <w:rPr>
          <w:rFonts w:ascii="Arial" w:cs="Arial" w:eastAsia="Arial" w:hAnsi="Arial"/>
          <w:sz w:val="16"/>
          <w:szCs w:val="16"/>
          <w:color w:val="auto"/>
        </w:rPr>
      </w:pPr>
    </w:p>
    <w:p>
      <w:pPr>
        <w:ind w:right="40" w:firstLine="656"/>
        <w:spacing w:after="0" w:line="276" w:lineRule="auto"/>
        <w:tabs>
          <w:tab w:leader="none" w:pos="903"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the period beginning from the date hereof and continuing to and including the date 75 days after the date of the Prospectus (the “Lock-Up Period”), not to (i)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line="285" w:lineRule="auto"/>
        <w:rPr>
          <w:sz w:val="20"/>
          <w:szCs w:val="20"/>
          <w:color w:val="auto"/>
        </w:rPr>
      </w:pPr>
      <w:r>
        <w:rPr>
          <w:rFonts w:ascii="Arial" w:cs="Arial" w:eastAsia="Arial" w:hAnsi="Arial"/>
          <w:sz w:val="16"/>
          <w:szCs w:val="16"/>
          <w:color w:val="auto"/>
        </w:rPr>
        <w:t xml:space="preserve">any offer, sale, pledge, disposition or filing or (ii) enter into any swap or other agreement that transfers, in whole or in part, any of the economic consequences of ownership of Stock or any such other securities, whether any such transaction described in clause (i) or (ii) above is to be settled by delivery of Stock or such other securities, in cash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restrictions shall not apply to (A) the Shares to be sold hereunder, (B) the grant of any options and other awards pursuant to the Company’s equity plans disclosed in the Pricing Prospectus, (C) any shares of Stock issued by the Company upon the exercise or settlement of options or restricted stock units pursuant to the Company’s equity plans disclosed in the Pricing Prospectus,</w:t>
      </w:r>
    </w:p>
    <w:p>
      <w:pPr>
        <w:spacing w:after="0" w:line="2" w:lineRule="exact"/>
        <w:rPr>
          <w:sz w:val="20"/>
          <w:szCs w:val="20"/>
          <w:color w:val="auto"/>
        </w:rPr>
      </w:pPr>
    </w:p>
    <w:p>
      <w:pPr>
        <w:ind w:right="20" w:firstLine="8"/>
        <w:spacing w:after="0" w:line="286" w:lineRule="auto"/>
        <w:tabs>
          <w:tab w:leader="none" w:pos="2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issuances of securities under the Company’s employee stock purchase plan disclosed in the Pricing Prospectus, (E) the filing by the Company of any registration statement on Form S-8 or a successor form thereto relating to the shares of Stock granted pursuant to or reserved for issuance under the Company’s equity plans disclosed in the Pricing Prospectus or (F) the issuance by the Company of any shares of Stock or any security convertible into or exercisable for shares of Stock in connection with a transaction with an unaffiliated third party that includes a bona fide commercial relationship (including joint ventures, marketing or distribution arrangements, collaboration agreements or intellectual property license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 (F), the aggregate number of shares of Stock that the Company may sell or issue or agree to sell or issue pursuant to clause (F) shall not exceed 5% of the total number of shares of Stock issued and outstanding immediately following the completion of the transactions contemplated by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case of clause (F) the Company shall (i) cause each recipient of such securities to execute and deliver to you, on or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such securities, a lock-up agreement on substantially the same terms as the lock-up agreements referenced in Section 8(i) hereof for the remainder of the Company Lock-Up Period, and (ii) enter stop transfer instructions with the Company’s transfer agent and registrar on such securities, which the Company agrees it will not waive or amend without the prior written consent of each Representative;</w:t>
      </w:r>
    </w:p>
    <w:p>
      <w:pPr>
        <w:spacing w:after="0" w:line="166" w:lineRule="exact"/>
        <w:rPr>
          <w:rFonts w:ascii="Arial" w:cs="Arial" w:eastAsia="Arial" w:hAnsi="Arial"/>
          <w:sz w:val="16"/>
          <w:szCs w:val="16"/>
          <w:color w:val="auto"/>
        </w:rPr>
      </w:pPr>
    </w:p>
    <w:p>
      <w:pPr>
        <w:ind w:firstLine="656"/>
        <w:spacing w:after="0" w:line="255" w:lineRule="auto"/>
        <w:tabs>
          <w:tab w:leader="none" w:pos="1466"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for such quarter in reasonable detail;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reports, documents or other information needs to be furnished pursuant to this Section 5(h) to the extent they are available on EDGAR;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ind w:right="160" w:firstLine="656"/>
        <w:spacing w:after="0" w:line="302" w:lineRule="auto"/>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During a period of three years from the effective date of the Registration Statement, to furnish to you copies of all reports or other communications (financial or other) furnished to stockholders, and to deliver to you as soon as they are available, copies of any reports and financial statements furnished to or filed with the Commission or any national securities exchange on which any class of securities of the Company is listed;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reports, documents or other information needs to be furnished pursuant to this Section 5(i) to the extent they are available on EDGAR;</w:t>
      </w:r>
    </w:p>
    <w:p>
      <w:pPr>
        <w:spacing w:after="0" w:line="154" w:lineRule="exact"/>
        <w:rPr>
          <w:rFonts w:ascii="Arial" w:cs="Arial" w:eastAsia="Arial" w:hAnsi="Arial"/>
          <w:sz w:val="16"/>
          <w:szCs w:val="16"/>
          <w:color w:val="auto"/>
        </w:rPr>
      </w:pPr>
    </w:p>
    <w:p>
      <w:pPr>
        <w:ind w:right="520" w:firstLine="656"/>
        <w:spacing w:after="0" w:line="277" w:lineRule="auto"/>
        <w:tabs>
          <w:tab w:leader="none" w:pos="14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170" w:lineRule="exact"/>
        <w:rPr>
          <w:rFonts w:ascii="Arial" w:cs="Arial" w:eastAsia="Arial" w:hAnsi="Arial"/>
          <w:sz w:val="18"/>
          <w:szCs w:val="18"/>
          <w:color w:val="auto"/>
        </w:rPr>
      </w:pPr>
    </w:p>
    <w:p>
      <w:pPr>
        <w:ind w:left="1480" w:hanging="824"/>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use its best efforts to list, subject to notice of issuance, the Shares on The NASDAQ Global Select Market;</w:t>
      </w:r>
    </w:p>
    <w:p>
      <w:pPr>
        <w:spacing w:after="0" w:line="225" w:lineRule="exact"/>
        <w:rPr>
          <w:rFonts w:ascii="Arial" w:cs="Arial" w:eastAsia="Arial" w:hAnsi="Arial"/>
          <w:sz w:val="18"/>
          <w:szCs w:val="18"/>
          <w:color w:val="auto"/>
        </w:rPr>
      </w:pPr>
    </w:p>
    <w:p>
      <w:pPr>
        <w:ind w:right="40" w:firstLine="656"/>
        <w:spacing w:after="0" w:line="259"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License shall be used solely for the purpose described above, is granted without any fee and may not be assigned or transferred; and</w:t>
      </w:r>
    </w:p>
    <w:p>
      <w:pPr>
        <w:spacing w:after="0" w:line="186" w:lineRule="exact"/>
        <w:rPr>
          <w:rFonts w:ascii="Arial" w:cs="Arial" w:eastAsia="Arial" w:hAnsi="Arial"/>
          <w:sz w:val="18"/>
          <w:szCs w:val="18"/>
          <w:color w:val="auto"/>
        </w:rPr>
      </w:pPr>
    </w:p>
    <w:p>
      <w:pPr>
        <w:ind w:firstLine="656"/>
        <w:spacing w:after="0" w:line="277" w:lineRule="auto"/>
        <w:tabs>
          <w:tab w:leader="none" w:pos="14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pay the required Commission filing fees relating to the Shares within the time required by Rule 456(b)(1) under the Act without regard to the proviso therein and otherwise in accordance with Rules 456(b) and 457(r) under the Act.</w:t>
      </w:r>
    </w:p>
    <w:p>
      <w:pPr>
        <w:spacing w:after="0" w:line="170" w:lineRule="exact"/>
        <w:rPr>
          <w:sz w:val="20"/>
          <w:szCs w:val="20"/>
          <w:color w:val="auto"/>
        </w:rPr>
      </w:pPr>
    </w:p>
    <w:p>
      <w:pPr>
        <w:ind w:firstLine="656"/>
        <w:spacing w:after="0" w:line="257" w:lineRule="auto"/>
        <w:tabs>
          <w:tab w:leader="none" w:pos="14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any such free writing prospectus the use of which has been consented to by the Company and the Representatives is listed on Schedule II(a) or Schedule II(b) hereto;</w:t>
      </w:r>
    </w:p>
    <w:p>
      <w:pPr>
        <w:spacing w:after="0" w:line="188" w:lineRule="exact"/>
        <w:rPr>
          <w:sz w:val="20"/>
          <w:szCs w:val="20"/>
          <w:color w:val="auto"/>
        </w:rPr>
      </w:pPr>
    </w:p>
    <w:p>
      <w:pPr>
        <w:jc w:val="both"/>
        <w:ind w:right="440" w:firstLine="656"/>
        <w:spacing w:after="0" w:line="312" w:lineRule="auto"/>
        <w:tabs>
          <w:tab w:leader="none" w:pos="14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46" w:lineRule="exact"/>
        <w:rPr>
          <w:rFonts w:ascii="Arial" w:cs="Arial" w:eastAsia="Arial" w:hAnsi="Arial"/>
          <w:sz w:val="16"/>
          <w:szCs w:val="16"/>
          <w:color w:val="auto"/>
        </w:rPr>
      </w:pPr>
    </w:p>
    <w:p>
      <w:pPr>
        <w:ind w:left="1480" w:hanging="824"/>
        <w:spacing w:after="0"/>
        <w:tabs>
          <w:tab w:leader="none" w:pos="1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agrees that if at any time following issuance of an Issuer Free Writing Prospectus prepared or authorized by it any event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occurred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line="272" w:lineRule="auto"/>
        <w:rPr>
          <w:sz w:val="20"/>
          <w:szCs w:val="20"/>
          <w:color w:val="auto"/>
        </w:rPr>
      </w:pPr>
      <w:r>
        <w:rPr>
          <w:rFonts w:ascii="Arial" w:cs="Arial" w:eastAsia="Arial" w:hAnsi="Arial"/>
          <w:sz w:val="17"/>
          <w:szCs w:val="17"/>
          <w:color w:val="auto"/>
        </w:rPr>
        <w:t xml:space="preserve">occurs as a result of which such Issuer Free Writing Prospectus prepared or authorized by it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prepared or authorized by it or other document which will correct such conflict, statement or omission;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covenant shall not apply to any statements or omissions in an Issuer Free Writing Prospectus prepared or authorized by it made in reliance upon and in conformity with information furnished in writing to the Company by an Underwriter through the Representatives expressly for use therein.</w:t>
      </w:r>
    </w:p>
    <w:p>
      <w:pPr>
        <w:spacing w:after="0" w:line="178" w:lineRule="exact"/>
        <w:rPr>
          <w:sz w:val="20"/>
          <w:szCs w:val="20"/>
          <w:color w:val="auto"/>
        </w:rPr>
      </w:pPr>
    </w:p>
    <w:p>
      <w:pPr>
        <w:ind w:right="80" w:firstLine="656"/>
        <w:spacing w:after="0" w:line="285" w:lineRule="auto"/>
        <w:tabs>
          <w:tab w:leader="none" w:pos="9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the Basic Prospectus, any Preliminary Prospectus, any Issuer Free Writing Prospectus and the Prospectus and amendments and supplements thereto and the mailing and delivering of copies thereof to the Underwriters and dealers; (ii) the cost of printing or producing any Agreement among Underwriters, this Agreement, any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5(d) hereof, including the fees and disbursements of counsel for the Underwriters in connection with such qualification and in connection with the Blue Sky survey (iv) all fees and expenses in connection with listing the Shares on The NASDAQ Global Select Market; (v) the filing fees incident to, and the fees and disbursements of counsel for the Underwriters in connection with, any required review by FINRA of the terms of the sale of the Shares; (vi) the cost of preparing stock certificates; (vii) the cost and charges of any transfer agent or registrar; (viii) all costs and expenses of the Company related to investor presentations on any “road show” undertaken in connection with the marketing of the Shares,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(not including the Underwriters and their representatives)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Underwriters and the Company shall each pay 50% of the cost of any aircraft chartered in connection with any road show meetings); and (ix) all other costs and expenses incident to the performance of its obligations hereunder which are not otherwise specifically provided for in this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spacing w:after="0" w:line="279" w:lineRule="auto"/>
        <w:rPr>
          <w:sz w:val="20"/>
          <w:szCs w:val="20"/>
          <w:color w:val="auto"/>
        </w:rPr>
      </w:pPr>
      <w:r>
        <w:rPr>
          <w:rFonts w:ascii="Arial" w:cs="Arial" w:eastAsia="Arial" w:hAnsi="Arial"/>
          <w:sz w:val="17"/>
          <w:szCs w:val="17"/>
          <w:color w:val="auto"/>
        </w:rPr>
        <w:t xml:space="preserve">Section;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amount payable by the Company pursuant to subsections (iii) and (v) and for the fees and disbursements of counsel to the Underwriters described in subsections (iii) and (v) of this Section 7 shall not exceed $25,000 in the aggregate.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167" w:lineRule="exact"/>
        <w:rPr>
          <w:sz w:val="20"/>
          <w:szCs w:val="20"/>
          <w:color w:val="auto"/>
        </w:rPr>
      </w:pPr>
    </w:p>
    <w:p>
      <w:pPr>
        <w:jc w:val="both"/>
        <w:ind w:right="80" w:firstLine="656"/>
        <w:spacing w:after="0" w:line="314" w:lineRule="auto"/>
        <w:tabs>
          <w:tab w:leader="none" w:pos="97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obligations of the Underwriters hereunder</w:t>
      </w:r>
      <w:r>
        <w:rPr>
          <w:rFonts w:ascii="Arial" w:cs="Arial" w:eastAsia="Arial" w:hAnsi="Arial"/>
          <w:sz w:val="16"/>
          <w:szCs w:val="16"/>
          <w:b w:val="1"/>
          <w:bCs w:val="1"/>
          <w:color w:val="auto"/>
        </w:rPr>
        <w:t>,</w:t>
      </w:r>
      <w:r>
        <w:rPr>
          <w:rFonts w:ascii="Arial" w:cs="Arial" w:eastAsia="Arial" w:hAnsi="Arial"/>
          <w:sz w:val="16"/>
          <w:szCs w:val="16"/>
          <w:color w:val="auto"/>
        </w:rPr>
        <w:t xml:space="preserve"> as to the Shares to be delivered at each Time of Delivery, shall be subject, in their discretion, to the condition that all representations and warranties and other statements of the Company herein are, at and as of such Time of Delivery, true and correct, the condition that the Company shall have performed all of its obligations hereunder theretofore to be performed, and the following additional conditions:</w:t>
      </w:r>
    </w:p>
    <w:p>
      <w:pPr>
        <w:spacing w:after="0" w:line="146" w:lineRule="exact"/>
        <w:rPr>
          <w:rFonts w:ascii="Arial" w:cs="Arial" w:eastAsia="Arial" w:hAnsi="Arial"/>
          <w:sz w:val="16"/>
          <w:szCs w:val="16"/>
          <w:color w:val="auto"/>
        </w:rPr>
      </w:pPr>
    </w:p>
    <w:p>
      <w:pPr>
        <w:ind w:left="660" w:firstLine="401"/>
        <w:spacing w:after="0" w:line="290" w:lineRule="auto"/>
        <w:tabs>
          <w:tab w:leader="none" w:pos="1467"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166" w:lineRule="exact"/>
        <w:rPr>
          <w:rFonts w:ascii="Arial" w:cs="Arial" w:eastAsia="Arial" w:hAnsi="Arial"/>
          <w:sz w:val="16"/>
          <w:szCs w:val="16"/>
          <w:color w:val="auto"/>
        </w:rPr>
      </w:pPr>
    </w:p>
    <w:p>
      <w:pPr>
        <w:ind w:left="660" w:right="140" w:firstLine="401"/>
        <w:spacing w:after="0" w:line="264" w:lineRule="auto"/>
        <w:tabs>
          <w:tab w:leader="none" w:pos="1478" w:val="left"/>
        </w:tabs>
        <w:numPr>
          <w:ilvl w:val="1"/>
          <w:numId w:val="32"/>
        </w:numPr>
        <w:rPr>
          <w:rFonts w:ascii="Arial" w:cs="Arial" w:eastAsia="Arial" w:hAnsi="Arial"/>
          <w:sz w:val="18"/>
          <w:szCs w:val="18"/>
          <w:color w:val="auto"/>
        </w:rPr>
      </w:pPr>
      <w:r>
        <w:rPr>
          <w:rFonts w:ascii="Arial" w:cs="Arial" w:eastAsia="Arial" w:hAnsi="Arial"/>
          <w:sz w:val="18"/>
          <w:szCs w:val="18"/>
          <w:color w:val="auto"/>
        </w:rPr>
        <w:t>Latham &amp; Watkins LLP, counsel for the Underwriters, shall have furnished to you their written opinion, dated such Time of Delivery, in form and substance satisfactory to you, as well as such other related matters as you may reasonably request, and such counsel shall have received such papers and information as they may reasonably request to enable them to pass upon such matters;</w:t>
      </w:r>
    </w:p>
    <w:p>
      <w:pPr>
        <w:spacing w:after="0" w:line="181" w:lineRule="exact"/>
        <w:rPr>
          <w:rFonts w:ascii="Arial" w:cs="Arial" w:eastAsia="Arial" w:hAnsi="Arial"/>
          <w:sz w:val="18"/>
          <w:szCs w:val="18"/>
          <w:color w:val="auto"/>
        </w:rPr>
      </w:pPr>
    </w:p>
    <w:p>
      <w:pPr>
        <w:ind w:left="660" w:right="160" w:firstLine="401"/>
        <w:spacing w:after="0" w:line="277" w:lineRule="auto"/>
        <w:tabs>
          <w:tab w:leader="none" w:pos="1481" w:val="left"/>
        </w:tabs>
        <w:numPr>
          <w:ilvl w:val="1"/>
          <w:numId w:val="32"/>
        </w:numPr>
        <w:rPr>
          <w:rFonts w:ascii="Arial" w:cs="Arial" w:eastAsia="Arial" w:hAnsi="Arial"/>
          <w:sz w:val="18"/>
          <w:szCs w:val="18"/>
          <w:color w:val="auto"/>
        </w:rPr>
      </w:pPr>
      <w:r>
        <w:rPr>
          <w:rFonts w:ascii="Arial" w:cs="Arial" w:eastAsia="Arial" w:hAnsi="Arial"/>
          <w:sz w:val="18"/>
          <w:szCs w:val="18"/>
          <w:color w:val="auto"/>
        </w:rPr>
        <w:t>Goodwin Procter LLP, counsel for the Company, shall have furnished to you their written opinion and negative assurance letter, each in form and substance satisfactory to you, dated such Time of Delivery;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left="-401" w:right="440" w:firstLine="401"/>
        <w:spacing w:after="0" w:line="277" w:lineRule="auto"/>
        <w:tabs>
          <w:tab w:leader="none" w:pos="416"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Cooley LLP, special counsel for the Company with respect to intellectual property matters, shall have furnished to you their written opinion in form and substance satisfactory to you, dated such Time of Delivery;</w:t>
      </w:r>
    </w:p>
    <w:p>
      <w:pPr>
        <w:spacing w:after="0" w:line="170" w:lineRule="exact"/>
        <w:rPr>
          <w:rFonts w:ascii="Arial" w:cs="Arial" w:eastAsia="Arial" w:hAnsi="Arial"/>
          <w:sz w:val="18"/>
          <w:szCs w:val="18"/>
          <w:color w:val="auto"/>
        </w:rPr>
      </w:pPr>
    </w:p>
    <w:p>
      <w:pPr>
        <w:ind w:left="-401" w:firstLine="401"/>
        <w:spacing w:after="0" w:line="255"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the date of the Prospectus immediately following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 to the effect set forth in Annex I hereto (the executed copy of the letter is attached as Annex I(a) hereto and a draft of the form of letter to be delivered on the effective date of any post-effective amendment to the Registration Statement and as of each Time of Delivery is attached as Annex I(b) hereto);</w:t>
      </w:r>
    </w:p>
    <w:p>
      <w:pPr>
        <w:spacing w:after="0" w:line="193" w:lineRule="exact"/>
        <w:rPr>
          <w:rFonts w:ascii="Arial" w:cs="Arial" w:eastAsia="Arial" w:hAnsi="Arial"/>
          <w:sz w:val="18"/>
          <w:szCs w:val="18"/>
          <w:color w:val="auto"/>
        </w:rPr>
      </w:pPr>
    </w:p>
    <w:p>
      <w:pPr>
        <w:ind w:left="-401" w:firstLine="401"/>
        <w:spacing w:after="0" w:line="287" w:lineRule="auto"/>
        <w:tabs>
          <w:tab w:leader="none" w:pos="41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of its subsidiaries or any change, or any development involving a prospective change, in or affecting the general affairs, management, financial position, stockholders’ equity, results of operations or prospects of the Company and its subsidiaries, otherwise than as set forth or contemplated in the Pricing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72" w:lineRule="exact"/>
        <w:rPr>
          <w:rFonts w:ascii="Arial" w:cs="Arial" w:eastAsia="Arial" w:hAnsi="Arial"/>
          <w:sz w:val="16"/>
          <w:szCs w:val="16"/>
          <w:color w:val="auto"/>
        </w:rPr>
      </w:pPr>
    </w:p>
    <w:p>
      <w:pPr>
        <w:jc w:val="both"/>
        <w:ind w:left="-401" w:right="180" w:firstLine="401"/>
        <w:spacing w:after="0" w:line="259" w:lineRule="auto"/>
        <w:tabs>
          <w:tab w:leader="none" w:pos="4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or after the Applicable Time there shall not have occurred any of the following: (i) a suspension or material limitation in trading in securities generally on the New York Stock Exchange or The NASDAQ Global Select Market; (ii) a suspension or material limitation in trading in the Company’s securities on The NASDAQ Global Select Market or the New York Stock Exchange; (iii) a general moratorium on commercial banking activities declared by either Federal or New York or Massachusetts State authorities</w:t>
      </w:r>
    </w:p>
    <w:p>
      <w:pPr>
        <w:spacing w:after="0" w:line="187" w:lineRule="exact"/>
        <w:rPr>
          <w:sz w:val="20"/>
          <w:szCs w:val="20"/>
          <w:color w:val="auto"/>
        </w:rPr>
      </w:pPr>
    </w:p>
    <w:p>
      <w:pPr>
        <w:ind w:left="45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319"/>
          </w:cols>
          <w:pgMar w:left="1301" w:top="341" w:right="279" w:bottom="1440" w:gutter="0" w:footer="0" w:header="0"/>
        </w:sectPr>
      </w:pPr>
    </w:p>
    <w:bookmarkStart w:id="27" w:name="page28"/>
    <w:bookmarkEnd w:id="27"/>
    <w:p>
      <w:pPr>
        <w:ind w:left="640" w:right="40"/>
        <w:spacing w:after="0" w:line="297" w:lineRule="auto"/>
        <w:rPr>
          <w:sz w:val="20"/>
          <w:szCs w:val="20"/>
          <w:color w:val="auto"/>
        </w:rPr>
      </w:pPr>
      <w:r>
        <w:rPr>
          <w:rFonts w:ascii="Arial" w:cs="Arial" w:eastAsia="Arial" w:hAnsi="Arial"/>
          <w:sz w:val="16"/>
          <w:szCs w:val="16"/>
          <w:color w:val="auto"/>
        </w:rPr>
        <w:t>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58" w:lineRule="exact"/>
        <w:rPr>
          <w:sz w:val="20"/>
          <w:szCs w:val="20"/>
          <w:color w:val="auto"/>
        </w:rPr>
      </w:pPr>
    </w:p>
    <w:p>
      <w:pPr>
        <w:ind w:left="1460" w:hanging="419"/>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Shares to be sold at such Time of Delivery shall have been duly listed on The NASDAQ Global Select Market;</w:t>
      </w:r>
    </w:p>
    <w:p>
      <w:pPr>
        <w:spacing w:after="0" w:line="225" w:lineRule="exact"/>
        <w:rPr>
          <w:rFonts w:ascii="Arial" w:cs="Arial" w:eastAsia="Arial" w:hAnsi="Arial"/>
          <w:sz w:val="18"/>
          <w:szCs w:val="18"/>
          <w:color w:val="auto"/>
        </w:rPr>
      </w:pPr>
    </w:p>
    <w:p>
      <w:pPr>
        <w:ind w:left="640" w:right="220" w:firstLine="401"/>
        <w:spacing w:after="0" w:line="264" w:lineRule="auto"/>
        <w:tabs>
          <w:tab w:leader="none" w:pos="15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Underwriters executed copies of an agreement from the officers, directors, and such other holders of the Company’s securities as you may require, substantially to the effect set forth in Annex II hereof in form and substance satisfactory to you;</w:t>
      </w:r>
    </w:p>
    <w:p>
      <w:pPr>
        <w:spacing w:after="0" w:line="181" w:lineRule="exact"/>
        <w:rPr>
          <w:rFonts w:ascii="Arial" w:cs="Arial" w:eastAsia="Arial" w:hAnsi="Arial"/>
          <w:sz w:val="18"/>
          <w:szCs w:val="18"/>
          <w:color w:val="auto"/>
        </w:rPr>
      </w:pPr>
    </w:p>
    <w:p>
      <w:pPr>
        <w:ind w:left="640" w:firstLine="401"/>
        <w:spacing w:after="0" w:line="277" w:lineRule="auto"/>
        <w:tabs>
          <w:tab w:leader="none" w:pos="12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5(e) hereof with respect to the furnishing of prospectuses on the New York Business Day next succeeding the date of this Agreement;</w:t>
      </w:r>
    </w:p>
    <w:p>
      <w:pPr>
        <w:spacing w:after="0" w:line="170" w:lineRule="exact"/>
        <w:rPr>
          <w:rFonts w:ascii="Arial" w:cs="Arial" w:eastAsia="Arial" w:hAnsi="Arial"/>
          <w:sz w:val="18"/>
          <w:szCs w:val="18"/>
          <w:color w:val="auto"/>
        </w:rPr>
      </w:pPr>
    </w:p>
    <w:p>
      <w:pPr>
        <w:ind w:left="640" w:right="300" w:firstLine="401"/>
        <w:spacing w:after="0" w:line="279" w:lineRule="auto"/>
        <w:tabs>
          <w:tab w:leader="none" w:pos="145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you may reasonably request;</w:t>
      </w:r>
    </w:p>
    <w:p>
      <w:pPr>
        <w:spacing w:after="0" w:line="171" w:lineRule="exact"/>
        <w:rPr>
          <w:rFonts w:ascii="Arial" w:cs="Arial" w:eastAsia="Arial" w:hAnsi="Arial"/>
          <w:sz w:val="17"/>
          <w:szCs w:val="17"/>
          <w:color w:val="auto"/>
        </w:rPr>
      </w:pPr>
    </w:p>
    <w:p>
      <w:pPr>
        <w:ind w:left="640" w:right="220" w:firstLine="401"/>
        <w:spacing w:after="0" w:line="277" w:lineRule="auto"/>
        <w:tabs>
          <w:tab w:leader="none" w:pos="14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 filing has been made with FINRA, FINRA shall have confirmed that it has not raised any objection with respect to the fairness and reasonableness of the underwriting terms and arrangements relating to the offering of the Shares; and</w:t>
      </w:r>
    </w:p>
    <w:p>
      <w:pPr>
        <w:spacing w:after="0" w:line="170" w:lineRule="exact"/>
        <w:rPr>
          <w:rFonts w:ascii="Arial" w:cs="Arial" w:eastAsia="Arial" w:hAnsi="Arial"/>
          <w:sz w:val="18"/>
          <w:szCs w:val="18"/>
          <w:color w:val="auto"/>
        </w:rPr>
      </w:pPr>
    </w:p>
    <w:p>
      <w:pPr>
        <w:ind w:left="640" w:right="340" w:firstLine="401"/>
        <w:spacing w:after="0" w:line="286" w:lineRule="auto"/>
        <w:tabs>
          <w:tab w:leader="none" w:pos="1454"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or before the date of this Agreement, you shall have received a certificate satisfying the beneficial ownership due diligence requirements of the Financial Crimes Enforcement Network from the Company in form and substance reasonably satisfactory to you, along with such additional supporting documentation as you have requested in connection with the verification of the foregoing certificate.</w:t>
      </w:r>
    </w:p>
    <w:p>
      <w:pPr>
        <w:spacing w:after="0" w:line="166" w:lineRule="exact"/>
        <w:rPr>
          <w:sz w:val="20"/>
          <w:szCs w:val="20"/>
          <w:color w:val="auto"/>
        </w:rPr>
      </w:pPr>
    </w:p>
    <w:p>
      <w:pPr>
        <w:ind w:left="-20" w:right="400" w:firstLine="656"/>
        <w:spacing w:after="0" w:line="277" w:lineRule="auto"/>
        <w:tabs>
          <w:tab w:leader="none" w:pos="11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The Company will indemnify and hold harmless each Underwriter, its affiliates (as such term is defined in Rule 501(b) under the Act (each, an “Affiliate”)), its selling agents and each person, if any, who controls any Underwriter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28" w:name="page29"/>
    <w:bookmarkEnd w:id="28"/>
    <w:p>
      <w:pPr>
        <w:spacing w:after="0" w:line="287" w:lineRule="auto"/>
        <w:rPr>
          <w:sz w:val="20"/>
          <w:szCs w:val="20"/>
          <w:color w:val="auto"/>
        </w:rPr>
      </w:pPr>
      <w:r>
        <w:rPr>
          <w:rFonts w:ascii="Arial" w:cs="Arial" w:eastAsia="Arial" w:hAnsi="Arial"/>
          <w:sz w:val="16"/>
          <w:szCs w:val="16"/>
          <w:color w:val="auto"/>
        </w:rPr>
        <w:t xml:space="preserve">within the meaning of Section 15 of the Act or Section 20 of the Exchange Act (each an “Underwriter Indemnified Party”) against any losses, claims, damages or liabilities, joint or several, to which such Underwriter Indemnified Party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Indemnified Party for any legal or other expenses reasonably incurred by such Underwriter Indemnified Party in connection with investigating or defending any such action or claim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in reliance upon and in conformity with written information furnished to the Company by any Underwriter through the Representatives expressly for use therein.</w:t>
      </w:r>
    </w:p>
    <w:p>
      <w:pPr>
        <w:spacing w:after="0" w:line="169" w:lineRule="exact"/>
        <w:rPr>
          <w:sz w:val="20"/>
          <w:szCs w:val="20"/>
          <w:color w:val="auto"/>
        </w:rPr>
      </w:pPr>
    </w:p>
    <w:p>
      <w:pPr>
        <w:ind w:right="60" w:firstLine="656"/>
        <w:spacing w:after="0" w:line="269" w:lineRule="auto"/>
        <w:tabs>
          <w:tab w:leader="none" w:pos="1142"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Underwriter, severally and not jointly, will indemnify and hold harmless the Company its directors, officers and Affiliates and each person, if any, who controls the Company within the meaning of Section 15 of the Act or Section 20 of the Exchange Act (each a “Company Indemnified Party”) against any losses, claims, damages or liabilities to which such Company Indemnified Party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in reliance upon and in conformity with written information furnished to the Company by such Underwriter through the Representatives expressly for use therein; and will reimburse each Company Indemnified Party for any legal or other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right="140"/>
        <w:spacing w:after="0" w:line="277" w:lineRule="auto"/>
        <w:rPr>
          <w:sz w:val="20"/>
          <w:szCs w:val="20"/>
          <w:color w:val="auto"/>
        </w:rPr>
      </w:pPr>
      <w:r>
        <w:rPr>
          <w:rFonts w:ascii="Arial" w:cs="Arial" w:eastAsia="Arial" w:hAnsi="Arial"/>
          <w:sz w:val="18"/>
          <w:szCs w:val="18"/>
          <w:color w:val="auto"/>
        </w:rPr>
        <w:t>expenses reasonably incurred by such Company Indemnified Party in connection with investigating or defending any such action or claim as such expenses are incurred.</w:t>
      </w:r>
    </w:p>
    <w:p>
      <w:pPr>
        <w:spacing w:after="0" w:line="170" w:lineRule="exact"/>
        <w:rPr>
          <w:sz w:val="20"/>
          <w:szCs w:val="20"/>
          <w:color w:val="auto"/>
        </w:rPr>
      </w:pPr>
    </w:p>
    <w:p>
      <w:pPr>
        <w:ind w:firstLine="656"/>
        <w:spacing w:after="0" w:line="268" w:lineRule="auto"/>
        <w:tabs>
          <w:tab w:leader="none" w:pos="1145" w:val="left"/>
        </w:tabs>
        <w:numPr>
          <w:ilvl w:val="1"/>
          <w:numId w:val="37"/>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185" w:lineRule="exact"/>
        <w:rPr>
          <w:rFonts w:ascii="Arial" w:cs="Arial" w:eastAsia="Arial" w:hAnsi="Arial"/>
          <w:sz w:val="17"/>
          <w:szCs w:val="17"/>
          <w:color w:val="auto"/>
        </w:rPr>
      </w:pPr>
    </w:p>
    <w:p>
      <w:pPr>
        <w:ind w:left="1140" w:hanging="484"/>
        <w:spacing w:after="0"/>
        <w:tabs>
          <w:tab w:leader="none" w:pos="11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w:t>
      </w:r>
    </w:p>
    <w:p>
      <w:pPr>
        <w:spacing w:after="0" w:line="46" w:lineRule="exact"/>
        <w:rPr>
          <w:rFonts w:ascii="Arial" w:cs="Arial" w:eastAsia="Arial" w:hAnsi="Arial"/>
          <w:sz w:val="16"/>
          <w:szCs w:val="16"/>
          <w:color w:val="auto"/>
        </w:rPr>
      </w:pPr>
    </w:p>
    <w:p>
      <w:pPr>
        <w:ind w:firstLine="8"/>
        <w:spacing w:after="0" w:line="269" w:lineRule="auto"/>
        <w:tabs>
          <w:tab w:leader="none" w:pos="2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spacing w:after="0" w:line="267" w:lineRule="auto"/>
        <w:rPr>
          <w:sz w:val="20"/>
          <w:szCs w:val="20"/>
          <w:color w:val="auto"/>
        </w:rPr>
      </w:pPr>
      <w:r>
        <w:rPr>
          <w:rFonts w:ascii="Arial" w:cs="Arial" w:eastAsia="Arial" w:hAnsi="Arial"/>
          <w:sz w:val="17"/>
          <w:szCs w:val="17"/>
          <w:color w:val="auto"/>
        </w:rPr>
        <w:t xml:space="preserve">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93" w:lineRule="exact"/>
        <w:rPr>
          <w:sz w:val="20"/>
          <w:szCs w:val="20"/>
          <w:color w:val="auto"/>
        </w:rPr>
      </w:pPr>
    </w:p>
    <w:p>
      <w:pPr>
        <w:ind w:right="140" w:firstLine="656"/>
        <w:spacing w:after="0" w:line="255" w:lineRule="auto"/>
        <w:tabs>
          <w:tab w:leader="none" w:pos="11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 shall be in addition to any liability which the Company may otherwise have and shall extend, upon the same terms and conditions, to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9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(a) If any Underwriter shall default in its obligation to purchase the Shares which it has agreed to purchase hereunder at a Time of Delivery,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may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ind w:right="20"/>
        <w:spacing w:after="0" w:line="270" w:lineRule="auto"/>
        <w:rPr>
          <w:sz w:val="20"/>
          <w:szCs w:val="20"/>
          <w:color w:val="auto"/>
        </w:rPr>
      </w:pPr>
      <w:r>
        <w:rPr>
          <w:rFonts w:ascii="Arial" w:cs="Arial" w:eastAsia="Arial" w:hAnsi="Arial"/>
          <w:sz w:val="17"/>
          <w:szCs w:val="17"/>
          <w:color w:val="auto"/>
        </w:rPr>
        <w:t>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82" w:lineRule="exact"/>
        <w:rPr>
          <w:sz w:val="20"/>
          <w:szCs w:val="20"/>
          <w:color w:val="auto"/>
        </w:rPr>
      </w:pPr>
    </w:p>
    <w:p>
      <w:pPr>
        <w:ind w:firstLine="656"/>
        <w:spacing w:after="0" w:line="255" w:lineRule="auto"/>
        <w:tabs>
          <w:tab w:leader="none" w:pos="11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9" w:lineRule="exact"/>
        <w:rPr>
          <w:rFonts w:ascii="Arial" w:cs="Arial" w:eastAsia="Arial" w:hAnsi="Arial"/>
          <w:sz w:val="18"/>
          <w:szCs w:val="18"/>
          <w:color w:val="auto"/>
        </w:rPr>
      </w:pPr>
    </w:p>
    <w:p>
      <w:pPr>
        <w:ind w:right="20" w:firstLine="656"/>
        <w:spacing w:after="0" w:line="291" w:lineRule="auto"/>
        <w:tabs>
          <w:tab w:leader="none" w:pos="11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firstLine="656"/>
        <w:spacing w:after="0" w:line="302" w:lineRule="auto"/>
        <w:tabs>
          <w:tab w:leader="none" w:pos="112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54" w:lineRule="exact"/>
        <w:rPr>
          <w:rFonts w:ascii="Arial" w:cs="Arial" w:eastAsia="Arial" w:hAnsi="Arial"/>
          <w:sz w:val="16"/>
          <w:szCs w:val="16"/>
          <w:color w:val="auto"/>
        </w:rPr>
      </w:pPr>
    </w:p>
    <w:p>
      <w:pPr>
        <w:ind w:right="60" w:firstLine="656"/>
        <w:spacing w:after="0" w:line="276" w:lineRule="auto"/>
        <w:tabs>
          <w:tab w:leader="none" w:pos="113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72" w:lineRule="exact"/>
        <w:rPr>
          <w:rFonts w:ascii="Arial" w:cs="Arial" w:eastAsia="Arial" w:hAnsi="Arial"/>
          <w:sz w:val="17"/>
          <w:szCs w:val="17"/>
          <w:color w:val="auto"/>
        </w:rPr>
      </w:pPr>
    </w:p>
    <w:p>
      <w:pPr>
        <w:ind w:right="80" w:firstLine="656"/>
        <w:spacing w:after="0" w:line="277" w:lineRule="auto"/>
        <w:tabs>
          <w:tab w:leader="none" w:pos="11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you jointly or by the Representatives.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All statements, requests, notices and agreements hereunder shall be in writing, and if to the Underwriters shall be delivered or sent by mail, telex or facsimile transmission to you as the Representatives in care of Goldman Sachs &amp; Co. LLC, 200 West Street, New York, New York 10282-2198, Attention: Registration Department, and in care of Cowen and Company, LLC, 599 Lexington Avenue, New York, New York 10022, Attention: Head of Equity Capital Markets, Fax: 646-562-1249 with a copy to the General Counsel, Fax: 646-562-1124, and if to the Company shall be delivered or sent by mail, telex or facsimile transmission to the address of the Company set forth in the Registration Statement, Attention: Secretary;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notice to an Underwriter pursuant to Section 9(c) hereof shall be delivered or sent by mail, telex or facsimile transmission to such Underwriter, which such mailing address or telex or facsimile transmission number will be supplied to the Company by you upon request. Any such statements, requests, notices or agreements shall take effect upon receipt thereof.</w:t>
      </w:r>
    </w:p>
    <w:p>
      <w:pPr>
        <w:spacing w:after="0" w:line="19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3" w:name="page34"/>
    <w:bookmarkEnd w:id="33"/>
    <w:p>
      <w:pPr>
        <w:ind w:firstLine="656"/>
        <w:spacing w:after="0" w:line="279" w:lineRule="auto"/>
        <w:tabs>
          <w:tab w:leader="none" w:pos="113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71" w:lineRule="exact"/>
        <w:rPr>
          <w:rFonts w:ascii="Arial" w:cs="Arial" w:eastAsia="Arial" w:hAnsi="Arial"/>
          <w:sz w:val="17"/>
          <w:szCs w:val="17"/>
          <w:color w:val="auto"/>
        </w:rPr>
      </w:pPr>
    </w:p>
    <w:p>
      <w:pPr>
        <w:ind w:right="40" w:firstLine="656"/>
        <w:spacing w:after="0" w:line="277" w:lineRule="auto"/>
        <w:tabs>
          <w:tab w:leader="none" w:pos="11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right="40" w:firstLine="656"/>
        <w:spacing w:after="0" w:line="271" w:lineRule="auto"/>
        <w:tabs>
          <w:tab w:leader="none" w:pos="113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17.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7" w:lineRule="exact"/>
        <w:rPr>
          <w:sz w:val="20"/>
          <w:szCs w:val="20"/>
          <w:color w:val="auto"/>
        </w:rPr>
      </w:pPr>
    </w:p>
    <w:p>
      <w:pPr>
        <w:ind w:right="80" w:firstLine="656"/>
        <w:spacing w:after="0" w:line="259" w:lineRule="auto"/>
        <w:tabs>
          <w:tab w:leader="none" w:pos="11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left="1160" w:hanging="504"/>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purpose of this Section 17, (i) the term “BHC Act Affiliate” has the meaning assigned to the term “affiliate” in, and shall be interpreted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accordance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right="60"/>
        <w:spacing w:after="0" w:line="273" w:lineRule="auto"/>
        <w:rPr>
          <w:sz w:val="20"/>
          <w:szCs w:val="20"/>
          <w:color w:val="auto"/>
        </w:rPr>
      </w:pPr>
      <w:r>
        <w:rPr>
          <w:rFonts w:ascii="Arial" w:cs="Arial" w:eastAsia="Arial" w:hAnsi="Arial"/>
          <w:sz w:val="17"/>
          <w:szCs w:val="17"/>
          <w:color w:val="auto"/>
        </w:rPr>
        <w:t>with, 12 U.S.C. § 1841(k); (ii) the term “Covered Entity”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 (iii) the term “Default Rights” has the meaning assigned to that term in, and shall be interpreted in accordance with, 12 C.F.R. §§ 252.81, 47.2 or 382.1, as applicable; and (iv) the term “U.S. Special Resolution Regime” means each of (A) the Federal Deposit Insurance Act and the regulations promulgated thereunder and (B) Title II of the Dodd-Frank Wall Street Reform and Consumer Protection Act and the regulations promulgated thereunder.</w:t>
      </w:r>
    </w:p>
    <w:p>
      <w:pPr>
        <w:spacing w:after="0" w:line="178" w:lineRule="exact"/>
        <w:rPr>
          <w:sz w:val="20"/>
          <w:szCs w:val="20"/>
          <w:color w:val="auto"/>
        </w:rPr>
      </w:pPr>
    </w:p>
    <w:p>
      <w:pPr>
        <w:ind w:right="80" w:firstLine="656"/>
        <w:spacing w:after="0" w:line="277" w:lineRule="auto"/>
        <w:tabs>
          <w:tab w:leader="none" w:pos="11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66" w:lineRule="exact"/>
        <w:rPr>
          <w:rFonts w:ascii="Arial" w:cs="Arial" w:eastAsia="Arial" w:hAnsi="Arial"/>
          <w:sz w:val="18"/>
          <w:szCs w:val="18"/>
          <w:color w:val="auto"/>
        </w:rPr>
      </w:pPr>
    </w:p>
    <w:p>
      <w:pPr>
        <w:jc w:val="both"/>
        <w:ind w:right="40" w:firstLine="656"/>
        <w:spacing w:after="0" w:line="256" w:lineRule="auto"/>
        <w:tabs>
          <w:tab w:leader="none" w:pos="113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our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91" w:lineRule="exact"/>
        <w:rPr>
          <w:rFonts w:ascii="Arial" w:cs="Arial" w:eastAsia="Arial" w:hAnsi="Arial"/>
          <w:sz w:val="18"/>
          <w:szCs w:val="18"/>
          <w:color w:val="auto"/>
        </w:rPr>
      </w:pPr>
    </w:p>
    <w:p>
      <w:pPr>
        <w:ind w:right="200" w:firstLine="656"/>
        <w:spacing w:after="0" w:line="277" w:lineRule="auto"/>
        <w:tabs>
          <w:tab w:leader="none" w:pos="11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firstLine="656"/>
        <w:spacing w:after="0" w:line="277" w:lineRule="auto"/>
        <w:tabs>
          <w:tab w:leader="none" w:pos="11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0" w:lineRule="exact"/>
        <w:rPr>
          <w:rFonts w:ascii="Arial" w:cs="Arial" w:eastAsia="Arial" w:hAnsi="Arial"/>
          <w:sz w:val="18"/>
          <w:szCs w:val="18"/>
          <w:color w:val="auto"/>
        </w:rPr>
      </w:pPr>
    </w:p>
    <w:p>
      <w:pPr>
        <w:ind w:right="80" w:firstLine="656"/>
        <w:spacing w:after="0" w:line="276" w:lineRule="auto"/>
        <w:tabs>
          <w:tab w:leader="none" w:pos="113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5" w:name="page36"/>
    <w:bookmarkEnd w:id="35"/>
    <w:p>
      <w:pPr>
        <w:ind w:firstLine="648"/>
        <w:spacing w:after="0" w:line="257" w:lineRule="auto"/>
        <w:rPr>
          <w:sz w:val="20"/>
          <w:szCs w:val="20"/>
          <w:color w:val="auto"/>
        </w:rPr>
      </w:pPr>
      <w:r>
        <w:rPr>
          <w:rFonts w:ascii="Arial" w:cs="Arial" w:eastAsia="Arial" w:hAnsi="Arial"/>
          <w:sz w:val="18"/>
          <w:szCs w:val="18"/>
          <w:color w:val="auto"/>
        </w:rPr>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6" w:name="page37"/>
    <w:bookmarkEnd w:id="36"/>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Jeffrey W. Albers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President and 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Underwriting Agreement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Wood</w:t>
            </w:r>
          </w:p>
        </w:tc>
      </w:tr>
      <w:tr>
        <w:trPr>
          <w:trHeight w:val="426"/>
        </w:trPr>
        <w:tc>
          <w:tcPr>
            <w:tcW w:w="7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Elizabeth Wood</w:t>
            </w:r>
          </w:p>
        </w:tc>
      </w:tr>
      <w:tr>
        <w:trPr>
          <w:trHeight w:val="426"/>
        </w:trPr>
        <w:tc>
          <w:tcPr>
            <w:tcW w:w="7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628"/>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Cowen and Company, LLC</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Bill Follis</w:t>
            </w:r>
          </w:p>
        </w:tc>
      </w:tr>
      <w:tr>
        <w:trPr>
          <w:trHeight w:val="426"/>
        </w:trPr>
        <w:tc>
          <w:tcPr>
            <w:tcW w:w="7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Bill Follis</w:t>
            </w:r>
          </w:p>
        </w:tc>
      </w:tr>
      <w:tr>
        <w:trPr>
          <w:trHeight w:val="426"/>
        </w:trPr>
        <w:tc>
          <w:tcPr>
            <w:tcW w:w="7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225" w:lineRule="exact"/>
        <w:rPr>
          <w:sz w:val="20"/>
          <w:szCs w:val="20"/>
          <w:color w:val="auto"/>
        </w:rPr>
      </w:pPr>
    </w:p>
    <w:p>
      <w:pPr>
        <w:jc w:val="right"/>
        <w:ind w:right="2059"/>
        <w:spacing w:after="0"/>
        <w:rPr>
          <w:sz w:val="20"/>
          <w:szCs w:val="20"/>
          <w:color w:val="auto"/>
        </w:rPr>
      </w:pPr>
      <w:r>
        <w:rPr>
          <w:rFonts w:ascii="Arial" w:cs="Arial" w:eastAsia="Arial" w:hAnsi="Arial"/>
          <w:sz w:val="18"/>
          <w:szCs w:val="18"/>
          <w:i w:val="1"/>
          <w:iCs w:val="1"/>
          <w:color w:val="auto"/>
        </w:rPr>
        <w:t>[Signature Page to Underwriting Agreement (Blueprint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Optional</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Shares to</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be</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Purchased</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if</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Firm Shares</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Maximum</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gridSpan w:val="3"/>
            <w:vMerge w:val="restart"/>
          </w:tcPr>
          <w:p>
            <w:pPr>
              <w:ind w:left="1560"/>
              <w:spacing w:after="0"/>
              <w:rPr>
                <w:sz w:val="20"/>
                <w:szCs w:val="20"/>
                <w:color w:val="auto"/>
              </w:rPr>
            </w:pPr>
            <w:r>
              <w:rPr>
                <w:rFonts w:ascii="Arial" w:cs="Arial" w:eastAsia="Arial" w:hAnsi="Arial"/>
                <w:sz w:val="14"/>
                <w:szCs w:val="14"/>
                <w:b w:val="1"/>
                <w:bCs w:val="1"/>
                <w:color w:val="auto"/>
              </w:rPr>
              <w:t>Underwriter</w:t>
            </w: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 be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Option</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gridSpan w:val="3"/>
            <w:vMerge w:val="continue"/>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Purchased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Exercised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2,148,649</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322,298</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1360" w:type="dxa"/>
            <w:vAlign w:val="bottom"/>
          </w:tcPr>
          <w:p>
            <w:pPr>
              <w:jc w:val="right"/>
              <w:spacing w:after="0"/>
              <w:rPr>
                <w:sz w:val="20"/>
                <w:szCs w:val="20"/>
                <w:color w:val="auto"/>
              </w:rPr>
            </w:pPr>
            <w:r>
              <w:rPr>
                <w:rFonts w:ascii="Arial" w:cs="Arial" w:eastAsia="Arial" w:hAnsi="Arial"/>
                <w:sz w:val="18"/>
                <w:szCs w:val="18"/>
                <w:color w:val="auto"/>
              </w:rPr>
              <w:t>1,418,919</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212,838</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Guggenheim Securities, LLC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243,243</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36,486</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Wedbush Securities Inc.</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243,243</w:t>
            </w:r>
          </w:p>
        </w:tc>
        <w:tc>
          <w:tcPr>
            <w:tcW w:w="2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36,486</w:t>
            </w:r>
          </w:p>
        </w:tc>
        <w:tc>
          <w:tcPr>
            <w:tcW w:w="100" w:type="dxa"/>
            <w:vAlign w:val="bottom"/>
            <w:tcBorders>
              <w:bottom w:val="single" w:sz="8" w:color="CCEEFF"/>
            </w:tcBorders>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4,054,054</w:t>
            </w:r>
          </w:p>
        </w:tc>
        <w:tc>
          <w:tcPr>
            <w:tcW w:w="2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608,108</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5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9" w:name="page40"/>
    <w:bookmarkEnd w:id="39"/>
    <w:p>
      <w:pPr>
        <w:ind w:left="4788"/>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 Issuer Free Writing Prospectuses not included in the Pricing Disclosure Package:</w:t>
      </w:r>
    </w:p>
    <w:p>
      <w:pPr>
        <w:spacing w:after="0" w:line="229" w:lineRule="exact"/>
        <w:rPr>
          <w:sz w:val="20"/>
          <w:szCs w:val="20"/>
          <w:color w:val="auto"/>
        </w:rPr>
      </w:pPr>
    </w:p>
    <w:p>
      <w:pPr>
        <w:ind w:left="648"/>
        <w:spacing w:after="0"/>
        <w:rPr>
          <w:sz w:val="20"/>
          <w:szCs w:val="20"/>
          <w:color w:val="auto"/>
        </w:rPr>
      </w:pPr>
      <w:r>
        <w:rPr>
          <w:rFonts w:ascii="Arial" w:cs="Arial" w:eastAsia="Arial" w:hAnsi="Arial"/>
          <w:sz w:val="16"/>
          <w:szCs w:val="16"/>
          <w:color w:val="auto"/>
        </w:rPr>
        <w:t>The roadshow presentation available on www.roadshowaccess.com commencing on March 27, 2019.</w:t>
      </w:r>
    </w:p>
    <w:p>
      <w:pPr>
        <w:spacing w:after="0" w:line="244" w:lineRule="exact"/>
        <w:rPr>
          <w:sz w:val="20"/>
          <w:szCs w:val="20"/>
          <w:color w:val="auto"/>
        </w:rPr>
      </w:pPr>
    </w:p>
    <w:p>
      <w:pPr>
        <w:ind w:left="648" w:right="2599" w:hanging="648"/>
        <w:spacing w:after="0" w:line="503" w:lineRule="auto"/>
        <w:tabs>
          <w:tab w:leader="none" w:pos="341"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Materials other than the Pricing Prospectus that comprise the Pricing Disclosure Package: </w:t>
      </w:r>
      <w:r>
        <w:rPr>
          <w:rFonts w:ascii="Arial" w:cs="Arial" w:eastAsia="Arial" w:hAnsi="Arial"/>
          <w:sz w:val="18"/>
          <w:szCs w:val="18"/>
          <w:color w:val="auto"/>
        </w:rPr>
        <w:t>Public Offering Price per share: $74.00</w:t>
      </w:r>
    </w:p>
    <w:p>
      <w:pPr>
        <w:ind w:left="648"/>
        <w:spacing w:after="0"/>
        <w:rPr>
          <w:rFonts w:ascii="Arial" w:cs="Arial" w:eastAsia="Arial" w:hAnsi="Arial"/>
          <w:sz w:val="18"/>
          <w:szCs w:val="18"/>
          <w:b w:val="1"/>
          <w:bCs w:val="1"/>
          <w:color w:val="auto"/>
        </w:rPr>
      </w:pPr>
      <w:r>
        <w:rPr>
          <w:rFonts w:ascii="Arial" w:cs="Arial" w:eastAsia="Arial" w:hAnsi="Arial"/>
          <w:sz w:val="18"/>
          <w:szCs w:val="18"/>
          <w:color w:val="auto"/>
        </w:rPr>
        <w:t>Number of Firm Shares purchased by the Underwriters: 4,054,054</w:t>
      </w:r>
    </w:p>
    <w:p>
      <w:pPr>
        <w:spacing w:after="0" w:line="225" w:lineRule="exact"/>
        <w:rPr>
          <w:rFonts w:ascii="Arial" w:cs="Arial" w:eastAsia="Arial" w:hAnsi="Arial"/>
          <w:sz w:val="18"/>
          <w:szCs w:val="18"/>
          <w:b w:val="1"/>
          <w:bCs w:val="1"/>
          <w:color w:val="auto"/>
        </w:rPr>
      </w:pPr>
    </w:p>
    <w:p>
      <w:pPr>
        <w:ind w:left="648"/>
        <w:spacing w:after="0"/>
        <w:rPr>
          <w:rFonts w:ascii="Arial" w:cs="Arial" w:eastAsia="Arial" w:hAnsi="Arial"/>
          <w:sz w:val="18"/>
          <w:szCs w:val="18"/>
          <w:b w:val="1"/>
          <w:bCs w:val="1"/>
          <w:color w:val="auto"/>
        </w:rPr>
      </w:pPr>
      <w:r>
        <w:rPr>
          <w:rFonts w:ascii="Arial" w:cs="Arial" w:eastAsia="Arial" w:hAnsi="Arial"/>
          <w:sz w:val="18"/>
          <w:szCs w:val="18"/>
          <w:color w:val="auto"/>
        </w:rPr>
        <w:t>Number of Optional Shares: 608,108</w:t>
      </w:r>
    </w:p>
    <w:p>
      <w:pPr>
        <w:spacing w:after="0" w:line="221" w:lineRule="exact"/>
        <w:rPr>
          <w:rFonts w:ascii="Arial" w:cs="Arial" w:eastAsia="Arial" w:hAnsi="Arial"/>
          <w:sz w:val="18"/>
          <w:szCs w:val="18"/>
          <w:b w:val="1"/>
          <w:bCs w:val="1"/>
          <w:color w:val="auto"/>
        </w:rPr>
      </w:pPr>
    </w:p>
    <w:p>
      <w:pPr>
        <w:ind w:left="328" w:hanging="328"/>
        <w:spacing w:after="0"/>
        <w:tabs>
          <w:tab w:leader="none" w:pos="328"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documents incorporated by reference:</w:t>
      </w:r>
    </w:p>
    <w:p>
      <w:pPr>
        <w:spacing w:after="0" w:line="229" w:lineRule="exact"/>
        <w:rPr>
          <w:sz w:val="20"/>
          <w:szCs w:val="20"/>
          <w:color w:val="auto"/>
        </w:rPr>
      </w:pPr>
    </w:p>
    <w:p>
      <w:pPr>
        <w:ind w:left="648"/>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218440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887"/>
          </w:cols>
          <w:pgMar w:left="572" w:top="337"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ANNEX I(A)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Executed Comfort Letter</w:t>
      </w:r>
    </w:p>
    <w:p>
      <w:pPr>
        <w:spacing w:after="0" w:line="24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ANNEX I(B)</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 of Comfort Letter</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to be Delivered Upon the Effective Date of a Post-Effective Amendment</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 at Each Time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Lock-Up Agreement</w:t>
      </w:r>
    </w:p>
    <w:p>
      <w:pPr>
        <w:spacing w:after="0" w:line="225"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b w:val="1"/>
          <w:bCs w:val="1"/>
          <w:color w:val="auto"/>
        </w:rPr>
        <w:t>March</w:t>
      </w:r>
      <w:r>
        <w:rPr>
          <w:sz w:val="20"/>
          <w:szCs w:val="20"/>
          <w:color w:val="auto"/>
        </w:rPr>
        <w:tab/>
      </w:r>
      <w:r>
        <w:rPr>
          <w:rFonts w:ascii="Arial" w:cs="Arial" w:eastAsia="Arial" w:hAnsi="Arial"/>
          <w:sz w:val="15"/>
          <w:szCs w:val="15"/>
          <w:b w:val="1"/>
          <w:bCs w:val="1"/>
          <w:color w:val="auto"/>
        </w:rPr>
        <w:t>,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Blueprint Medicines Corporation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983"/>
        <w:spacing w:after="0" w:line="276" w:lineRule="auto"/>
        <w:rPr>
          <w:sz w:val="20"/>
          <w:szCs w:val="20"/>
          <w:color w:val="auto"/>
        </w:rPr>
      </w:pPr>
      <w:r>
        <w:rPr>
          <w:rFonts w:ascii="Arial" w:cs="Arial" w:eastAsia="Arial" w:hAnsi="Arial"/>
          <w:sz w:val="17"/>
          <w:szCs w:val="17"/>
          <w:color w:val="auto"/>
        </w:rPr>
        <w:t>The undersigned understands that you, as representatives (the “Representatives”), propose to enter into an Underwriting Agreement on behalf of the several Underwriters named in Schedule I to such agreement (collectively, the “Underwriters”) (the “Underwriting Agreement”), with Blueprint Medicines Corporation, a Delaware corporation (the “Company”), providing for a public offering (the “Public Offering”) of shares (the “Shares”) of the common stock of the Company, par value $0.001 per share (the “Common Stock”), pursuant to a Registration Statement on Form S-3ASR filed with the Securities and Exchange Commission (the “SEC”) on March 9, 2017 (File No. 333-216573) (the “Registration Statement”).</w:t>
      </w:r>
    </w:p>
    <w:p>
      <w:pPr>
        <w:spacing w:after="0" w:line="173" w:lineRule="exact"/>
        <w:rPr>
          <w:sz w:val="20"/>
          <w:szCs w:val="20"/>
          <w:color w:val="auto"/>
        </w:rPr>
      </w:pPr>
    </w:p>
    <w:p>
      <w:pPr>
        <w:jc w:val="both"/>
        <w:ind w:right="120" w:firstLine="983"/>
        <w:spacing w:after="0" w:line="264" w:lineRule="auto"/>
        <w:rPr>
          <w:sz w:val="20"/>
          <w:szCs w:val="20"/>
          <w:color w:val="auto"/>
        </w:rPr>
      </w:pPr>
      <w:r>
        <w:rPr>
          <w:rFonts w:ascii="Arial" w:cs="Arial" w:eastAsia="Arial" w:hAnsi="Arial"/>
          <w:sz w:val="18"/>
          <w:szCs w:val="18"/>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hereof and continuing to and including the date 75 days after the date of the final prospectus covering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ind w:right="60"/>
        <w:spacing w:after="0" w:line="287" w:lineRule="auto"/>
        <w:rPr>
          <w:sz w:val="20"/>
          <w:szCs w:val="20"/>
          <w:color w:val="auto"/>
        </w:rPr>
      </w:pPr>
      <w:r>
        <w:rPr>
          <w:rFonts w:ascii="Arial" w:cs="Arial" w:eastAsia="Arial" w:hAnsi="Arial"/>
          <w:sz w:val="16"/>
          <w:szCs w:val="16"/>
          <w:color w:val="auto"/>
        </w:rPr>
        <w:t>the Public Offering (such period, the “Lock-Up Period”), the undersigned will not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whether now owned or hereinafter acquired, owned directly by the undersigned (including holding as a custodian) or with respect to which the undersigned has beneficial ownership within the rules and regulations of the SEC (collectively the “Undersigned’s Shares”). 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 If the undersigned is an officer or director of the Company, the undersigned further agrees that the foregoing provisions shall be equally applicable to any Company-directed Shares the undersigned may purchase in the Public Offering.</w:t>
      </w:r>
    </w:p>
    <w:p>
      <w:pPr>
        <w:spacing w:after="0" w:line="173" w:lineRule="exact"/>
        <w:rPr>
          <w:sz w:val="20"/>
          <w:szCs w:val="20"/>
          <w:color w:val="auto"/>
        </w:rPr>
      </w:pPr>
    </w:p>
    <w:p>
      <w:pPr>
        <w:ind w:right="40" w:firstLine="983"/>
        <w:spacing w:after="0" w:line="264" w:lineRule="auto"/>
        <w:rPr>
          <w:sz w:val="20"/>
          <w:szCs w:val="20"/>
          <w:color w:val="auto"/>
        </w:rPr>
      </w:pPr>
      <w:r>
        <w:rPr>
          <w:rFonts w:ascii="Arial" w:cs="Arial" w:eastAsia="Arial" w:hAnsi="Arial"/>
          <w:sz w:val="18"/>
          <w:szCs w:val="18"/>
          <w:color w:val="auto"/>
        </w:rPr>
        <w:t>The undersigned hereby further agrees that, prior to engaging in any transaction or taking any other action that is subject to the terms of this Lock-Up Agreement during the Lock-Up Period, it will give notice thereof to the Company and will not consummate such transaction or take any such action unless it has received written confirmation from the Company that the Lock-Up Period has expired.</w:t>
      </w:r>
    </w:p>
    <w:p>
      <w:pPr>
        <w:spacing w:after="0" w:line="181" w:lineRule="exact"/>
        <w:rPr>
          <w:sz w:val="20"/>
          <w:szCs w:val="20"/>
          <w:color w:val="auto"/>
        </w:rPr>
      </w:pPr>
    </w:p>
    <w:p>
      <w:pPr>
        <w:ind w:firstLine="983"/>
        <w:spacing w:after="0" w:line="269" w:lineRule="auto"/>
        <w:rPr>
          <w:sz w:val="20"/>
          <w:szCs w:val="20"/>
          <w:color w:val="auto"/>
        </w:rPr>
      </w:pPr>
      <w:r>
        <w:rPr>
          <w:rFonts w:ascii="Arial" w:cs="Arial" w:eastAsia="Arial" w:hAnsi="Arial"/>
          <w:sz w:val="17"/>
          <w:szCs w:val="17"/>
          <w:color w:val="auto"/>
        </w:rPr>
        <w:t>Notwithstanding the foregoing, the undersigned may (a) transfer the Undersigned’s Shares (i) acquired in the open market following the completion of the distribution of the Shares by the Underwriters, (ii) as a bona fide gift or gifts, provided that the donee or donees thereof agree to be bound in writing by the restrictions set forth herein, (iii) to any trust for the direct or indirect benefit of the undersigned or the immediate family of the undersigned, or if the undersigned is a trust, to any beneficiary (including such beneficiary’s estate) of the undersigned, provided that the trustee of the trust, or such beneficiary, agrees to be bound in writing by the restrictions set forth herein, and provided further that any such transfer shall not involve a disposition for value, (iv)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(including, for the avoidance of doubt,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or (B) as part of a distribution without consideration by the undersigned to its stockholders, partners, members or other equity holders, provided that in the case of any transfer contemplated in (A) or (B) above, it shall be a condition to the transfer that (x) each transferee executes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line="267" w:lineRule="auto"/>
        <w:rPr>
          <w:sz w:val="20"/>
          <w:szCs w:val="20"/>
          <w:color w:val="auto"/>
        </w:rPr>
      </w:pPr>
      <w:r>
        <w:rPr>
          <w:rFonts w:ascii="Arial" w:cs="Arial" w:eastAsia="Arial" w:hAnsi="Arial"/>
          <w:sz w:val="17"/>
          <w:szCs w:val="17"/>
          <w:color w:val="auto"/>
        </w:rPr>
        <w:t>agreement stating that the transferee is receiving and holding such capital stock subject to the provisions of this Lock-Up Agreement, (y) there shall be no further transfer of such capital stock except in accordance with this Lock-Up Agreement and (z) such transfer shall not involve a disposition for value, (v) by will, other testamentary document or intestate succession upon the death of the undersigned, provided that the transferee agrees to be bound in writing by the restrictions set forth herein, (vi) in connection with the exercise for cash of options to purchase shares of Common Stock, the “net exercise” or “cashless” exercise of options to purchase shares of Common Stock within 90 days of the expiration of such options and any transfer for the payment of taxes due as a result of such exercise or vesting or the vesting and settlement of restricted stock units, in each case, only in an amount necessary to satisfy such taxes, pursuant to an employee benefit plan, which is disclosed or incorporated by reference in the final prospectus used for the Public Offering, provided that the shares of Common Stock issued upon such exercise or settlement, as applicable, shall be subject to the restrictions of this Lock-Up Agreement, (vii) by operation of law, such as pursuant to a qualified domestic order or in connection with a divorce settlement, provided that each such transferee executes an agreement stating that the transferee is receiving and holding such capital stock subject to the provisions of this Lock-Up Agreement, or (viii) with the prior written consent of each of the Representatives on behalf of the Underwriters, or (b) enter into a written plan meeting the requirements of Rule 10b5-1 under the Securities Exchange Act of 1934, as amended (the “Exchange Act”), relating to the sale of securities of the Company, provided that the securities subject to such plan may not be sold and no public disclosure of any such action and no public filing under the Exchange Act, or otherwise, shall be required or shall be voluntarily made by any person until after the expiration of the Lock-Up Period. In addition, with respect to clauses (a)(i) through (a)(v), it shall be a condition to such transfer that no filing under Section 16(a) of the Exchange Act shall be required or voluntarily made during the Lock-Up Period. For purposes of this Lock-Up Agreement, “immediate family” shall mean any relationship by blood, marriage or adoption, not more remote than first cousin. The undersigned now has, and, except as contemplated by clause (a)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188" w:lineRule="exact"/>
        <w:rPr>
          <w:sz w:val="20"/>
          <w:szCs w:val="20"/>
          <w:color w:val="auto"/>
        </w:rPr>
      </w:pPr>
    </w:p>
    <w:p>
      <w:pPr>
        <w:ind w:firstLine="983"/>
        <w:spacing w:after="0" w:line="293" w:lineRule="auto"/>
        <w:rPr>
          <w:sz w:val="20"/>
          <w:szCs w:val="20"/>
          <w:color w:val="auto"/>
        </w:rPr>
      </w:pPr>
      <w:r>
        <w:rPr>
          <w:rFonts w:ascii="Arial" w:cs="Arial" w:eastAsia="Arial" w:hAnsi="Arial"/>
          <w:sz w:val="16"/>
          <w:szCs w:val="16"/>
          <w:color w:val="auto"/>
        </w:rPr>
        <w:t>Notwithstanding anything to the contrary contained herein, this Lock-Up Agreement will automatically terminate and the undersigned will be released from all of his, her or its obligations hereunder upon the earliest to occur, if any, of (i) if, prior to the execution of the Underwriting Agreement, either the Company, on the one hand, or the Representatives, on the other hand, advise(s) the other in writing, that it has determined not to proceed with the Public Offering, (ii) the Company files an application with the SEC to withdraw the registration statement related to the Public Offering, (iii) the Underwriting Agreement is executed but is terminated (other than the provisions thereof which survive termination) prior to payment for and delivery of the shares of Common Stock to be sold thereunder, or (iv) April 30, 2019, in the event that the Underwriting Agreement has not been executed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firstLine="983"/>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20"/>
          </w:cols>
          <w:pgMar w:left="240" w:top="341" w:right="839" w:bottom="1440" w:gutter="0" w:footer="0" w:header="0"/>
        </w:sectPr>
      </w:pPr>
    </w:p>
    <w:bookmarkStart w:id="46" w:name="page47"/>
    <w:bookmarkEnd w:id="46"/>
    <w:p>
      <w:pPr>
        <w:ind w:left="4520"/>
        <w:spacing w:after="0"/>
        <w:rPr>
          <w:sz w:val="20"/>
          <w:szCs w:val="20"/>
          <w:color w:val="auto"/>
        </w:rPr>
      </w:pPr>
      <w:r>
        <w:rPr>
          <w:rFonts w:ascii="Arial" w:cs="Arial" w:eastAsia="Arial" w:hAnsi="Arial"/>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167005</wp:posOffset>
            </wp:positionV>
            <wp:extent cx="361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14605</wp:posOffset>
            </wp:positionV>
            <wp:extent cx="31388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227330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06880" cy="3771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06880" cy="377190"/>
                    </a:xfrm>
                    <a:prstGeom prst="rect">
                      <a:avLst/>
                    </a:prstGeom>
                    <a:noFill/>
                  </pic:spPr>
                </pic:pic>
              </a:graphicData>
            </a:graphic>
          </wp:anchor>
        </w:drawing>
      </w:r>
    </w:p>
    <w:p>
      <w:pPr>
        <w:spacing w:after="0" w:line="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goodwinlaw.com</w:t>
      </w:r>
    </w:p>
    <w:p>
      <w:pPr>
        <w:spacing w:after="0" w:line="9"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+1 617 570 1000</w:t>
      </w:r>
    </w:p>
    <w:p>
      <w:pPr>
        <w:spacing w:after="0" w:line="21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March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Securities Registered under Registration Statement on Form S-3ASR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acted as counsel to Blueprint Medicines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its filing of a Registration Statement on Form S-3ASR (File No. 333-216573) (as amended or supplemented,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on March 9, 2017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pursuant to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relating to the registration of the offer by the Company of up to $300 million of any combination of securities of the types specified therein. The Registration Statement became effective under the Securities Act upon filing on March 9, 2017. Reference is made to our opinion letter dated March 9, 2017 and included as Exhibit 5.1 to the Registration Statement. We are delivering this supplemental opinion letter in connection with the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filed on March 29, 2019 by the Company with the Commission pursuant to Rule 424 under the Securities Act. The Prospectus Supplement relates to the offering by the Company of up to 4,054,054 shares of the Company’s Common Stock, par value $0.001 per share (the “</w:t>
      </w:r>
      <w:r>
        <w:rPr>
          <w:rFonts w:ascii="Arial" w:cs="Arial" w:eastAsia="Arial" w:hAnsi="Arial"/>
          <w:sz w:val="17"/>
          <w:szCs w:val="17"/>
          <w:b w:val="1"/>
          <w:bCs w:val="1"/>
          <w:color w:val="auto"/>
        </w:rPr>
        <w:t>Shares</w:t>
      </w:r>
      <w:r>
        <w:rPr>
          <w:rFonts w:ascii="Arial" w:cs="Arial" w:eastAsia="Arial" w:hAnsi="Arial"/>
          <w:sz w:val="17"/>
          <w:szCs w:val="17"/>
          <w:color w:val="auto"/>
        </w:rPr>
        <w:t>”) covered by the Registration Statement. The Shares include an option granted to the underwriters of the offering to purchase up to an additional 608,108 Shares. The Shares are being sold to the several underwriters named in, and pursuant to, an underwriting agreement among the Company and such underwriters (the “</w:t>
      </w:r>
      <w:r>
        <w:rPr>
          <w:rFonts w:ascii="Arial" w:cs="Arial" w:eastAsia="Arial" w:hAnsi="Arial"/>
          <w:sz w:val="17"/>
          <w:szCs w:val="17"/>
          <w:b w:val="1"/>
          <w:bCs w:val="1"/>
          <w:color w:val="auto"/>
        </w:rPr>
        <w:t>Underwriting</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giving our consent, we do not admit that we are in the category of persons whose consent is required under Section 7 of the Securities Act or the rules and regulations thereunder.</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Goodwin Procter LLP</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Announces Pricing of Public Offering of Shares of Common Stock</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 xml:space="preserve">CAMBRIDGE, Mass., March 28, 2019 </w:t>
      </w:r>
      <w:r>
        <w:rPr>
          <w:rFonts w:ascii="Arial" w:cs="Arial" w:eastAsia="Arial" w:hAnsi="Arial"/>
          <w:sz w:val="17"/>
          <w:szCs w:val="17"/>
          <w:b w:val="1"/>
          <w:bCs w:val="1"/>
          <w:color w:val="auto"/>
        </w:rPr>
        <w:t>—</w:t>
      </w:r>
      <w:r>
        <w:rPr>
          <w:rFonts w:ascii="Arial" w:cs="Arial" w:eastAsia="Arial" w:hAnsi="Arial"/>
          <w:sz w:val="17"/>
          <w:szCs w:val="17"/>
          <w:color w:val="auto"/>
        </w:rPr>
        <w:t xml:space="preserve"> Blueprint Medicines Corporation (NASDAQ: BPMC), a precision therapy company focused on genomically defined cancers, rare diseases and cancer immunotherapy, today announced the pricing of an underwritten public offering of 4,054,054 shares of its common stock at a public offering price of $74.00 per share, before underwriting discounts and commissions. In addition, Blueprint Medicines has granted the underwriters a 30-day option to purchase up to an additional 608,108 shares of its common stock at the public offering price, less underwriting discounts and commissions. All shares of common stock were offered by Blueprint Medicines.</w:t>
      </w:r>
    </w:p>
    <w:p>
      <w:pPr>
        <w:spacing w:after="0" w:line="17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Goldman Sachs &amp; Co. LLC and Cowen and Company, LLC are acting as joint book-running managers for the offering. Guggenheim Securities, LLC and Wedbush Securities Inc. are acting as co-lead managers for the offering. The offering is expected to close on or about April 2, 2019, subject to the satisfaction of customary closing conditions.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registration statement on Form S-3 (File No. 333-216573) relating to these securities has been previously filed with the Securities and Exchange Commission (SEC) and has become effective.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offering will be made only by means of a prospectus. A preliminary prospectus supplement describing the terms of the offering has been filed with the SEC and forms a part of the effective registration statement. A copy of the final prospectus supplement relating to the offering will be filed with the SEC and may be obtained, when available, from Goldman Sachs &amp; Co. LLC by mail at Prospectus Department, 200 West Street, New York, NY 10282, by telephone at (866) 471-2526, by fax at (212) 902-9316, or by email at prospectus-ny@ny.email.gs.com, or from Cowen and Company, LLC, c/o Broadridge Financial Services, 1155 Long Island Avenue, Edgewood, NY 11717, Attention: Prospectus Department, by telephone at (631) 274-2806, or by fax at (631) 254-7140.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Blueprint Medicines is currently advancing four investigational medicines in clinical development, along with multiple research programs.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Blueprint Medicines’ anticipated public offering; future expectations, plans and prospects for Blueprint Medicines and the timing of these events;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uncertainties related to market conditions and the completion of the public offering on the anticipated terms or at all. These and other risks and uncertainties are described in greater detail in the section entitled “Risk Factors” in Blueprint Medicines’ Annual Report on Form 10-K for the fiscal year ended December 31, 2018, as filed with the SEC on February 26, 2019, the prospectus supplement related to the public offering and other filings that Blueprint Medicines has made or may make with the SEC in the future. Any forward-looking statements contained in this press release represent Blueprint Medicines’ views only as of the date hereof and should not be relied upon as representing its views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any subsequent date. Blueprint Medicines explicitly disclaims any obligation to update any forward-looking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and 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Jim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617-844-8236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jbaker@blueprintmedicines.com</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o"/>
      <w:numFmt w:val="bullet"/>
      <w:start w:val="1"/>
    </w:lvl>
  </w:abstractNum>
  <w:abstractNum w:abstractNumId="1">
    <w:nsid w:val="6763845E"/>
    <w:multiLevelType w:val="hybridMultilevel"/>
    <w:lvl w:ilvl="0">
      <w:lvlJc w:val="left"/>
      <w:lvlText w:val="(%1)"/>
      <w:numFmt w:val="lowerLetter"/>
      <w:start w:val="1"/>
    </w:lvl>
  </w:abstractNum>
  <w:abstractNum w:abstractNumId="2">
    <w:nsid w:val="75A2A8D4"/>
    <w:multiLevelType w:val="hybridMultilevel"/>
    <w:lvl w:ilvl="0">
      <w:lvlJc w:val="left"/>
      <w:lvlText w:val="(%1)"/>
      <w:numFmt w:val="lowerLetter"/>
      <w:start w:val="2"/>
    </w:lvl>
  </w:abstractNum>
  <w:abstractNum w:abstractNumId="3">
    <w:nsid w:val="8EDBDAB"/>
    <w:multiLevelType w:val="hybridMultilevel"/>
    <w:lvl w:ilvl="0">
      <w:lvlJc w:val="left"/>
      <w:lvlText w:val="(%1)"/>
      <w:numFmt w:val="lowerLetter"/>
      <w:start w:val="5"/>
    </w:lvl>
  </w:abstractNum>
  <w:abstractNum w:abstractNumId="4">
    <w:nsid w:val="79838CB2"/>
    <w:multiLevelType w:val="hybridMultilevel"/>
    <w:lvl w:ilvl="0">
      <w:lvlJc w:val="left"/>
      <w:lvlText w:val="(%1)"/>
      <w:numFmt w:val="lowerLetter"/>
      <w:start w:val="8"/>
    </w:lvl>
  </w:abstractNum>
  <w:abstractNum w:abstractNumId="5">
    <w:nsid w:val="4353D0CD"/>
    <w:multiLevelType w:val="hybridMultilevel"/>
    <w:lvl w:ilvl="0">
      <w:lvlJc w:val="left"/>
      <w:lvlText w:val="%1"/>
      <w:numFmt w:val="lowerLetter"/>
      <w:start w:val="1"/>
    </w:lvl>
    <w:lvl w:ilvl="1">
      <w:lvlJc w:val="left"/>
      <w:lvlText w:val="(%2)"/>
      <w:numFmt w:val="lowerLetter"/>
      <w:start w:val="12"/>
    </w:lvl>
  </w:abstractNum>
  <w:abstractNum w:abstractNumId="6">
    <w:nsid w:val="B03E0C6"/>
    <w:multiLevelType w:val="hybridMultilevel"/>
    <w:lvl w:ilvl="0">
      <w:lvlJc w:val="left"/>
      <w:lvlText w:val="(%1)"/>
      <w:numFmt w:val="lowerLetter"/>
      <w:start w:val="9"/>
    </w:lvl>
    <w:lvl w:ilvl="1">
      <w:lvlJc w:val="left"/>
      <w:lvlText w:val="(%2)"/>
      <w:numFmt w:val="lowerLetter"/>
      <w:start w:val="13"/>
    </w:lvl>
  </w:abstractNum>
  <w:abstractNum w:abstractNumId="7">
    <w:nsid w:val="189A769B"/>
    <w:multiLevelType w:val="hybridMultilevel"/>
    <w:lvl w:ilvl="0">
      <w:lvlJc w:val="left"/>
      <w:lvlText w:val="(%1)"/>
      <w:numFmt w:val="lowerLetter"/>
      <w:start w:val="15"/>
    </w:lvl>
  </w:abstractNum>
  <w:abstractNum w:abstractNumId="8">
    <w:nsid w:val="54E49EB4"/>
    <w:multiLevelType w:val="hybridMultilevel"/>
    <w:lvl w:ilvl="0">
      <w:lvlJc w:val="left"/>
      <w:lvlText w:val="(%1)"/>
      <w:numFmt w:val="lowerLetter"/>
      <w:start w:val="20"/>
    </w:lvl>
  </w:abstractNum>
  <w:abstractNum w:abstractNumId="9">
    <w:nsid w:val="71F32454"/>
    <w:multiLevelType w:val="hybridMultilevel"/>
    <w:lvl w:ilvl="0">
      <w:lvlJc w:val="left"/>
      <w:lvlText w:val="(%1)"/>
      <w:numFmt w:val="lowerRoman"/>
      <w:start w:val="1"/>
    </w:lvl>
  </w:abstractNum>
  <w:abstractNum w:abstractNumId="10">
    <w:nsid w:val="2CA88611"/>
    <w:multiLevelType w:val="hybridMultilevel"/>
    <w:lvl w:ilvl="0">
      <w:lvlJc w:val="left"/>
      <w:lvlText w:val="(%1)"/>
      <w:numFmt w:val="lowerLetter"/>
      <w:start w:val="24"/>
    </w:lvl>
  </w:abstractNum>
  <w:abstractNum w:abstractNumId="11">
    <w:nsid w:val="836C40E"/>
    <w:multiLevelType w:val="hybridMultilevel"/>
    <w:lvl w:ilvl="0">
      <w:lvlJc w:val="left"/>
      <w:lvlText w:val="§§"/>
      <w:numFmt w:val="bullet"/>
      <w:start w:val="1"/>
    </w:lvl>
    <w:lvl w:ilvl="1">
      <w:lvlJc w:val="left"/>
      <w:lvlText w:val="(%2)"/>
      <w:numFmt w:val="lowerLetter"/>
      <w:start w:val="27"/>
    </w:lvl>
  </w:abstractNum>
  <w:abstractNum w:abstractNumId="12">
    <w:nsid w:val="2901D82"/>
    <w:multiLevelType w:val="hybridMultilevel"/>
    <w:lvl w:ilvl="0">
      <w:lvlJc w:val="left"/>
      <w:lvlText w:val="(%1)"/>
      <w:numFmt w:val="lowerLetter"/>
      <w:start w:val="29"/>
    </w:lvl>
  </w:abstractNum>
  <w:abstractNum w:abstractNumId="13">
    <w:nsid w:val="3A95F874"/>
    <w:multiLevelType w:val="hybridMultilevel"/>
    <w:lvl w:ilvl="0">
      <w:lvlJc w:val="left"/>
      <w:lvlText w:val="%1"/>
      <w:numFmt w:val="lowerLetter"/>
      <w:start w:val="1"/>
    </w:lvl>
    <w:lvl w:ilvl="1">
      <w:lvlJc w:val="left"/>
      <w:lvlText w:val="(%2)"/>
      <w:numFmt w:val="lowerLetter"/>
      <w:start w:val="33"/>
    </w:lvl>
  </w:abstractNum>
  <w:abstractNum w:abstractNumId="14">
    <w:nsid w:val="8138641"/>
    <w:multiLevelType w:val="hybridMultilevel"/>
    <w:lvl w:ilvl="0">
      <w:lvlJc w:val="left"/>
      <w:lvlText w:val="(%1)"/>
      <w:numFmt w:val="lowerLetter"/>
      <w:start w:val="35"/>
    </w:lvl>
    <w:lvl w:ilvl="1">
      <w:lvlJc w:val="left"/>
      <w:lvlText w:val="(%2)"/>
      <w:numFmt w:val="lowerLetter"/>
      <w:start w:val="34"/>
    </w:lvl>
  </w:abstractNum>
  <w:abstractNum w:abstractNumId="15">
    <w:nsid w:val="1E7FF521"/>
    <w:multiLevelType w:val="hybridMultilevel"/>
    <w:lvl w:ilvl="0">
      <w:lvlJc w:val="left"/>
      <w:lvlText w:val="(%1)"/>
      <w:numFmt w:val="lowerLetter"/>
      <w:start w:val="35"/>
    </w:lvl>
    <w:lvl w:ilvl="1">
      <w:lvlJc w:val="left"/>
      <w:lvlText w:val="(%2)"/>
      <w:numFmt w:val="lowerLetter"/>
      <w:start w:val="35"/>
    </w:lvl>
  </w:abstractNum>
  <w:abstractNum w:abstractNumId="16">
    <w:nsid w:val="7C3DBD3D"/>
    <w:multiLevelType w:val="hybridMultilevel"/>
    <w:lvl w:ilvl="0">
      <w:lvlJc w:val="left"/>
      <w:lvlText w:val="%1"/>
      <w:numFmt w:val="lowerRoman"/>
      <w:start w:val="1"/>
    </w:lvl>
    <w:lvl w:ilvl="1">
      <w:lvlJc w:val="left"/>
      <w:lvlText w:val="(%2)"/>
      <w:numFmt w:val="lowerLetter"/>
      <w:start w:val="36"/>
    </w:lvl>
  </w:abstractNum>
  <w:abstractNum w:abstractNumId="17">
    <w:nsid w:val="737B8DDC"/>
    <w:multiLevelType w:val="hybridMultilevel"/>
    <w:lvl w:ilvl="0">
      <w:lvlJc w:val="left"/>
      <w:lvlText w:val="(%1)"/>
      <w:numFmt w:val="lowerRoman"/>
      <w:start w:val="4"/>
    </w:lvl>
    <w:lvl w:ilvl="1">
      <w:lvlJc w:val="left"/>
      <w:lvlText w:val="%2"/>
      <w:numFmt w:val="lowerLetter"/>
      <w:start w:val="1"/>
    </w:lvl>
  </w:abstractNum>
  <w:abstractNum w:abstractNumId="18">
    <w:nsid w:val="6CEAF087"/>
    <w:multiLevelType w:val="hybridMultilevel"/>
    <w:lvl w:ilvl="0">
      <w:lvlJc w:val="left"/>
      <w:lvlText w:val="(%1)"/>
      <w:numFmt w:val="lowerLetter"/>
      <w:start w:val="38"/>
    </w:lvl>
  </w:abstractNum>
  <w:abstractNum w:abstractNumId="19">
    <w:nsid w:val="22221A70"/>
    <w:multiLevelType w:val="hybridMultilevel"/>
    <w:lvl w:ilvl="0">
      <w:lvlJc w:val="left"/>
      <w:lvlText w:val="%1."/>
      <w:numFmt w:val="decimal"/>
      <w:start w:val="2"/>
    </w:lvl>
  </w:abstractNum>
  <w:abstractNum w:abstractNumId="20">
    <w:nsid w:val="4516DDE9"/>
    <w:multiLevelType w:val="hybridMultilevel"/>
    <w:lvl w:ilvl="0">
      <w:lvlJc w:val="left"/>
      <w:lvlText w:val="%1."/>
      <w:numFmt w:val="decimal"/>
      <w:start w:val="3"/>
    </w:lvl>
  </w:abstractNum>
  <w:abstractNum w:abstractNumId="21">
    <w:nsid w:val="3006C83E"/>
    <w:multiLevelType w:val="hybridMultilevel"/>
    <w:lvl w:ilvl="0">
      <w:lvlJc w:val="left"/>
      <w:lvlText w:val="(%1)"/>
      <w:numFmt w:val="lowerLetter"/>
      <w:start w:val="2"/>
    </w:lvl>
  </w:abstractNum>
  <w:abstractNum w:abstractNumId="22">
    <w:nsid w:val="614FD4A1"/>
    <w:multiLevelType w:val="hybridMultilevel"/>
    <w:lvl w:ilvl="0">
      <w:lvlJc w:val="left"/>
      <w:lvlText w:val="%1."/>
      <w:numFmt w:val="decimal"/>
      <w:start w:val="5"/>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2"/>
    </w:lvl>
  </w:abstractNum>
  <w:abstractNum w:abstractNumId="25">
    <w:nsid w:val="440BADFC"/>
    <w:multiLevelType w:val="hybridMultilevel"/>
    <w:lvl w:ilvl="0">
      <w:lvlJc w:val="left"/>
      <w:lvlText w:val="(%1)"/>
      <w:numFmt w:val="lowerLetter"/>
      <w:start w:val="6"/>
    </w:lvl>
  </w:abstractNum>
  <w:abstractNum w:abstractNumId="26">
    <w:nsid w:val="5072367"/>
    <w:multiLevelType w:val="hybridMultilevel"/>
    <w:lvl w:ilvl="0">
      <w:lvlJc w:val="left"/>
      <w:lvlText w:val="(%1)"/>
      <w:numFmt w:val="upperLetter"/>
      <w:start w:val="4"/>
    </w:lvl>
    <w:lvl w:ilvl="1">
      <w:lvlJc w:val="left"/>
      <w:lvlText w:val="(%2)"/>
      <w:numFmt w:val="lowerLetter"/>
      <w:start w:val="8"/>
    </w:lvl>
  </w:abstractNum>
  <w:abstractNum w:abstractNumId="27">
    <w:nsid w:val="3804823E"/>
    <w:multiLevelType w:val="hybridMultilevel"/>
    <w:lvl w:ilvl="0">
      <w:lvlJc w:val="left"/>
      <w:lvlText w:val="(%1)"/>
      <w:numFmt w:val="lowerLetter"/>
      <w:start w:val="9"/>
    </w:lvl>
  </w:abstractNum>
  <w:abstractNum w:abstractNumId="28">
    <w:nsid w:val="77465F01"/>
    <w:multiLevelType w:val="hybridMultilevel"/>
    <w:lvl w:ilvl="0">
      <w:lvlJc w:val="left"/>
      <w:lvlText w:val="%1."/>
      <w:numFmt w:val="decimal"/>
      <w:start w:val="6"/>
    </w:lvl>
  </w:abstractNum>
  <w:abstractNum w:abstractNumId="29">
    <w:nsid w:val="7724C67E"/>
    <w:multiLevelType w:val="hybridMultilevel"/>
    <w:lvl w:ilvl="0">
      <w:lvlJc w:val="left"/>
      <w:lvlText w:val="(%1)"/>
      <w:numFmt w:val="lowerLetter"/>
      <w:start w:val="2"/>
    </w:lvl>
  </w:abstractNum>
  <w:abstractNum w:abstractNumId="30">
    <w:nsid w:val="5C482A97"/>
    <w:multiLevelType w:val="hybridMultilevel"/>
    <w:lvl w:ilvl="0">
      <w:lvlJc w:val="left"/>
      <w:lvlText w:val="%1."/>
      <w:numFmt w:val="decimal"/>
      <w:start w:val="7"/>
    </w:lvl>
  </w:abstractNum>
  <w:abstractNum w:abstractNumId="31">
    <w:nsid w:val="2463B9EA"/>
    <w:multiLevelType w:val="hybridMultilevel"/>
    <w:lvl w:ilvl="0">
      <w:lvlJc w:val="left"/>
      <w:lvlText w:val="%1."/>
      <w:numFmt w:val="decimal"/>
      <w:start w:val="8"/>
    </w:lvl>
    <w:lvl w:ilvl="1">
      <w:lvlJc w:val="left"/>
      <w:lvlText w:val="(%2)"/>
      <w:numFmt w:val="lowerLetter"/>
      <w:start w:val="1"/>
    </w:lvl>
  </w:abstractNum>
  <w:abstractNum w:abstractNumId="32">
    <w:nsid w:val="5E884ADC"/>
    <w:multiLevelType w:val="hybridMultilevel"/>
    <w:lvl w:ilvl="0">
      <w:lvlJc w:val="left"/>
      <w:lvlText w:val="(%1)"/>
      <w:numFmt w:val="lowerLetter"/>
      <w:start w:val="4"/>
    </w:lvl>
  </w:abstractNum>
  <w:abstractNum w:abstractNumId="33">
    <w:nsid w:val="51EAD36B"/>
    <w:multiLevelType w:val="hybridMultilevel"/>
    <w:lvl w:ilvl="0">
      <w:lvlJc w:val="left"/>
      <w:lvlText w:val="(%1)"/>
      <w:numFmt w:val="lowerLetter"/>
      <w:start w:val="8"/>
    </w:lvl>
  </w:abstractNum>
  <w:abstractNum w:abstractNumId="34">
    <w:nsid w:val="2D517796"/>
    <w:multiLevelType w:val="hybridMultilevel"/>
    <w:lvl w:ilvl="0">
      <w:lvlJc w:val="left"/>
      <w:lvlText w:val="%1."/>
      <w:numFmt w:val="decimal"/>
      <w:start w:val="9"/>
    </w:lvl>
  </w:abstractNum>
  <w:abstractNum w:abstractNumId="35">
    <w:nsid w:val="580BD78F"/>
    <w:multiLevelType w:val="hybridMultilevel"/>
    <w:lvl w:ilvl="0">
      <w:lvlJc w:val="left"/>
      <w:lvlText w:val="(%1)"/>
      <w:numFmt w:val="lowerLetter"/>
      <w:start w:val="2"/>
    </w:lvl>
  </w:abstractNum>
  <w:abstractNum w:abstractNumId="36">
    <w:nsid w:val="153EA438"/>
    <w:multiLevelType w:val="hybridMultilevel"/>
    <w:lvl w:ilvl="0">
      <w:lvlJc w:val="left"/>
      <w:lvlText w:val="%1"/>
      <w:numFmt w:val="lowerLetter"/>
      <w:start w:val="1"/>
    </w:lvl>
    <w:lvl w:ilvl="1">
      <w:lvlJc w:val="left"/>
      <w:lvlText w:val="(%2)"/>
      <w:numFmt w:val="lowerLetter"/>
      <w:start w:val="3"/>
    </w:lvl>
  </w:abstractNum>
  <w:abstractNum w:abstractNumId="37">
    <w:nsid w:val="3855585C"/>
    <w:multiLevelType w:val="hybridMultilevel"/>
    <w:lvl w:ilvl="0">
      <w:lvlJc w:val="left"/>
      <w:lvlText w:val="(%1)"/>
      <w:numFmt w:val="lowerLetter"/>
      <w:start w:val="1"/>
    </w:lvl>
    <w:lvl w:ilvl="1">
      <w:lvlJc w:val="left"/>
      <w:lvlText w:val="%2"/>
      <w:numFmt w:val="lowerLetter"/>
      <w:start w:val="1"/>
    </w:lvl>
  </w:abstractNum>
  <w:abstractNum w:abstractNumId="38">
    <w:nsid w:val="70A64E2A"/>
    <w:multiLevelType w:val="hybridMultilevel"/>
    <w:lvl w:ilvl="0">
      <w:lvlJc w:val="left"/>
      <w:lvlText w:val="(%1)"/>
      <w:numFmt w:val="lowerLetter"/>
      <w:start w:val="5"/>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1."/>
      <w:numFmt w:val="decimal"/>
      <w:start w:val="11"/>
    </w:lvl>
  </w:abstractNum>
  <w:abstractNum w:abstractNumId="41">
    <w:nsid w:val="1D4ED43B"/>
    <w:multiLevelType w:val="hybridMultilevel"/>
    <w:lvl w:ilvl="0">
      <w:lvlJc w:val="left"/>
      <w:lvlText w:val="%1."/>
      <w:numFmt w:val="decimal"/>
      <w:start w:val="14"/>
    </w:lvl>
  </w:abstractNum>
  <w:abstractNum w:abstractNumId="42">
    <w:nsid w:val="725A06FB"/>
    <w:multiLevelType w:val="hybridMultilevel"/>
    <w:lvl w:ilvl="0">
      <w:lvlJc w:val="left"/>
      <w:lvlText w:val="(%1)"/>
      <w:numFmt w:val="lowerLetter"/>
      <w:start w:val="2"/>
    </w:lvl>
  </w:abstractNum>
  <w:abstractNum w:abstractNumId="43">
    <w:nsid w:val="2CD89A32"/>
    <w:multiLevelType w:val="hybridMultilevel"/>
    <w:lvl w:ilvl="0">
      <w:lvlJc w:val="left"/>
      <w:lvlText w:val="%1."/>
      <w:numFmt w:val="decimal"/>
      <w:start w:val="18"/>
    </w:lvl>
  </w:abstractNum>
  <w:abstractNum w:abstractNumId="44">
    <w:nsid w:val="57E4CCA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2019-12-28T13:59:09Z</dcterms:created>
  <dcterms:modified xsi:type="dcterms:W3CDTF">2019-12-28T13:59:09Z</dcterms:modified>
</cp:coreProperties>
</file>