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65">
        <w:r>
          <w:rPr>
            <w:rFonts w:ascii="Arial" w:cs="Arial" w:eastAsia="Arial" w:hAnsi="Arial"/>
            <w:sz w:val="21"/>
            <w:szCs w:val="21"/>
            <w:u w:val="single" w:color="auto"/>
            <w:color w:val="0000EE"/>
          </w:rPr>
          <w:t>Blueprint Medicines Corporation Index to Consolidated Financial Statements</w:t>
        </w:r>
      </w:hyperlink>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19, 2015</w:t>
      </w:r>
    </w:p>
    <w:p>
      <w:pPr>
        <w:spacing w:after="0" w:line="206"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S-1</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34"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Blueprint Medicines Corporation</w:t>
      </w:r>
    </w:p>
    <w:p>
      <w:pPr>
        <w:spacing w:after="0" w:line="5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90" w:lineRule="exact"/>
        <w:rPr>
          <w:sz w:val="24"/>
          <w:szCs w:val="24"/>
          <w:color w:val="auto"/>
        </w:rPr>
      </w:pPr>
    </w:p>
    <w:tbl>
      <w:tblPr>
        <w:tblLayout w:type="fixed"/>
        <w:tblInd w:w="2800" w:type="dxa"/>
        <w:tblCellMar>
          <w:top w:w="0" w:type="dxa"/>
          <w:left w:w="0" w:type="dxa"/>
          <w:bottom w:w="0" w:type="dxa"/>
          <w:right w:w="0" w:type="dxa"/>
        </w:tblCellMar>
      </w:tblPr>
      <w:tr>
        <w:trPr>
          <w:trHeight w:val="173"/>
        </w:trPr>
        <w:tc>
          <w:tcPr>
            <w:tcW w:w="1900" w:type="dxa"/>
            <w:vAlign w:val="bottom"/>
          </w:tcPr>
          <w:p>
            <w:pPr>
              <w:jc w:val="center"/>
              <w:ind w:right="70"/>
              <w:spacing w:after="0"/>
              <w:rPr>
                <w:sz w:val="20"/>
                <w:szCs w:val="20"/>
                <w:color w:val="auto"/>
              </w:rPr>
            </w:pPr>
            <w:r>
              <w:rPr>
                <w:rFonts w:ascii="Arial" w:cs="Arial" w:eastAsia="Arial" w:hAnsi="Arial"/>
                <w:sz w:val="14"/>
                <w:szCs w:val="14"/>
                <w:b w:val="1"/>
                <w:bCs w:val="1"/>
                <w:color w:val="auto"/>
                <w:w w:val="97"/>
              </w:rPr>
              <w:t>Delaware</w:t>
            </w:r>
          </w:p>
        </w:tc>
        <w:tc>
          <w:tcPr>
            <w:tcW w:w="21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2834</w:t>
            </w:r>
          </w:p>
        </w:tc>
        <w:tc>
          <w:tcPr>
            <w:tcW w:w="158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26-3632015</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rPr>
              <w:t>(State or other jurisdiction of</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(Primary Standard Industrial</w:t>
            </w:r>
          </w:p>
        </w:tc>
        <w:tc>
          <w:tcPr>
            <w:tcW w:w="1580" w:type="dxa"/>
            <w:vAlign w:val="bottom"/>
          </w:tcPr>
          <w:p>
            <w:pPr>
              <w:jc w:val="center"/>
              <w:ind w:left="170"/>
              <w:spacing w:after="0" w:line="157" w:lineRule="exact"/>
              <w:rPr>
                <w:sz w:val="20"/>
                <w:szCs w:val="20"/>
                <w:color w:val="auto"/>
              </w:rPr>
            </w:pPr>
            <w:r>
              <w:rPr>
                <w:rFonts w:ascii="Arial" w:cs="Arial" w:eastAsia="Arial" w:hAnsi="Arial"/>
                <w:sz w:val="14"/>
                <w:szCs w:val="14"/>
                <w:color w:val="auto"/>
                <w:w w:val="99"/>
              </w:rPr>
              <w:t>(I.R.S. Employer</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w w:val="98"/>
              </w:rPr>
              <w:t>incorporation or</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Classification Code Number)</w:t>
            </w:r>
          </w:p>
        </w:tc>
        <w:tc>
          <w:tcPr>
            <w:tcW w:w="1580" w:type="dxa"/>
            <w:vAlign w:val="bottom"/>
          </w:tcPr>
          <w:p>
            <w:pPr>
              <w:jc w:val="center"/>
              <w:ind w:left="150"/>
              <w:spacing w:after="0" w:line="157" w:lineRule="exact"/>
              <w:rPr>
                <w:sz w:val="20"/>
                <w:szCs w:val="20"/>
                <w:color w:val="auto"/>
              </w:rPr>
            </w:pPr>
            <w:r>
              <w:rPr>
                <w:rFonts w:ascii="Arial" w:cs="Arial" w:eastAsia="Arial" w:hAnsi="Arial"/>
                <w:sz w:val="14"/>
                <w:szCs w:val="14"/>
                <w:color w:val="auto"/>
                <w:w w:val="99"/>
              </w:rPr>
              <w:t>Identification Number)</w:t>
            </w:r>
          </w:p>
        </w:tc>
      </w:tr>
      <w:tr>
        <w:trPr>
          <w:trHeight w:val="168"/>
        </w:trPr>
        <w:tc>
          <w:tcPr>
            <w:tcW w:w="1900" w:type="dxa"/>
            <w:vAlign w:val="bottom"/>
          </w:tcPr>
          <w:p>
            <w:pPr>
              <w:jc w:val="center"/>
              <w:ind w:right="70"/>
              <w:spacing w:after="0"/>
              <w:rPr>
                <w:sz w:val="20"/>
                <w:szCs w:val="20"/>
                <w:color w:val="auto"/>
              </w:rPr>
            </w:pPr>
            <w:r>
              <w:rPr>
                <w:rFonts w:ascii="Arial" w:cs="Arial" w:eastAsia="Arial" w:hAnsi="Arial"/>
                <w:sz w:val="14"/>
                <w:szCs w:val="14"/>
                <w:color w:val="auto"/>
                <w:w w:val="98"/>
              </w:rPr>
              <w:t>organization)</w:t>
            </w: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215 First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Cambridge, MA 02142</w:t>
      </w:r>
    </w:p>
    <w:p>
      <w:pPr>
        <w:jc w:val="center"/>
        <w:ind w:right="-79"/>
        <w:spacing w:after="0" w:line="234" w:lineRule="auto"/>
        <w:rPr>
          <w:sz w:val="20"/>
          <w:szCs w:val="20"/>
          <w:color w:val="auto"/>
        </w:rPr>
      </w:pPr>
      <w:r>
        <w:rPr>
          <w:rFonts w:ascii="Arial" w:cs="Arial" w:eastAsia="Arial" w:hAnsi="Arial"/>
          <w:sz w:val="14"/>
          <w:szCs w:val="14"/>
          <w:b w:val="1"/>
          <w:bCs w:val="1"/>
          <w:color w:val="auto"/>
        </w:rPr>
        <w:t>(617) 374-7580</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Jeffrey W. Albers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79"/>
        <w:spacing w:after="0" w:line="234" w:lineRule="auto"/>
        <w:rPr>
          <w:sz w:val="20"/>
          <w:szCs w:val="20"/>
          <w:color w:val="auto"/>
        </w:rPr>
      </w:pPr>
      <w:r>
        <w:rPr>
          <w:rFonts w:ascii="Arial" w:cs="Arial" w:eastAsia="Arial" w:hAnsi="Arial"/>
          <w:sz w:val="14"/>
          <w:szCs w:val="14"/>
          <w:b w:val="1"/>
          <w:bCs w:val="1"/>
          <w:color w:val="auto"/>
        </w:rPr>
        <w:t>Blueprint Medicines Corporation</w:t>
      </w:r>
    </w:p>
    <w:p>
      <w:pPr>
        <w:jc w:val="center"/>
        <w:ind w:right="-79"/>
        <w:spacing w:after="0" w:line="235" w:lineRule="auto"/>
        <w:rPr>
          <w:sz w:val="20"/>
          <w:szCs w:val="20"/>
          <w:color w:val="auto"/>
        </w:rPr>
      </w:pPr>
      <w:r>
        <w:rPr>
          <w:rFonts w:ascii="Arial" w:cs="Arial" w:eastAsia="Arial" w:hAnsi="Arial"/>
          <w:sz w:val="14"/>
          <w:szCs w:val="14"/>
          <w:b w:val="1"/>
          <w:bCs w:val="1"/>
          <w:color w:val="auto"/>
        </w:rPr>
        <w:t>215 First Street</w:t>
      </w:r>
    </w:p>
    <w:p>
      <w:pPr>
        <w:jc w:val="center"/>
        <w:ind w:right="-79"/>
        <w:spacing w:after="0" w:line="234" w:lineRule="auto"/>
        <w:rPr>
          <w:sz w:val="20"/>
          <w:szCs w:val="20"/>
          <w:color w:val="auto"/>
        </w:rPr>
      </w:pPr>
      <w:r>
        <w:rPr>
          <w:rFonts w:ascii="Arial" w:cs="Arial" w:eastAsia="Arial" w:hAnsi="Arial"/>
          <w:sz w:val="14"/>
          <w:szCs w:val="14"/>
          <w:b w:val="1"/>
          <w:bCs w:val="1"/>
          <w:color w:val="auto"/>
        </w:rPr>
        <w:t>Cambridge, MA 02142</w:t>
      </w:r>
    </w:p>
    <w:p>
      <w:pPr>
        <w:jc w:val="center"/>
        <w:ind w:right="-79"/>
        <w:spacing w:after="0" w:line="235" w:lineRule="auto"/>
        <w:rPr>
          <w:sz w:val="20"/>
          <w:szCs w:val="20"/>
          <w:color w:val="auto"/>
        </w:rPr>
      </w:pPr>
      <w:r>
        <w:rPr>
          <w:rFonts w:ascii="Arial" w:cs="Arial" w:eastAsia="Arial" w:hAnsi="Arial"/>
          <w:sz w:val="14"/>
          <w:szCs w:val="14"/>
          <w:b w:val="1"/>
          <w:bCs w:val="1"/>
          <w:color w:val="auto"/>
        </w:rPr>
        <w:t>617-374-7580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366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Kingsley L. Taft</w:t>
            </w:r>
          </w:p>
        </w:tc>
        <w:tc>
          <w:tcPr>
            <w:tcW w:w="2860" w:type="dxa"/>
            <w:vAlign w:val="bottom"/>
            <w:gridSpan w:val="2"/>
          </w:tcPr>
          <w:p>
            <w:pPr>
              <w:jc w:val="center"/>
              <w:ind w:left="690"/>
              <w:spacing w:after="0"/>
              <w:rPr>
                <w:sz w:val="20"/>
                <w:szCs w:val="20"/>
                <w:color w:val="auto"/>
              </w:rPr>
            </w:pPr>
            <w:r>
              <w:rPr>
                <w:rFonts w:ascii="Arial" w:cs="Arial" w:eastAsia="Arial" w:hAnsi="Arial"/>
                <w:sz w:val="14"/>
                <w:szCs w:val="14"/>
                <w:b w:val="1"/>
                <w:bCs w:val="1"/>
                <w:color w:val="auto"/>
                <w:w w:val="99"/>
              </w:rPr>
              <w:t>Peter N. Handrinos</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Michael J. Minahan</w:t>
            </w:r>
          </w:p>
        </w:tc>
        <w:tc>
          <w:tcPr>
            <w:tcW w:w="2860" w:type="dxa"/>
            <w:vAlign w:val="bottom"/>
            <w:gridSpan w:val="2"/>
          </w:tcPr>
          <w:p>
            <w:pPr>
              <w:jc w:val="center"/>
              <w:ind w:left="670"/>
              <w:spacing w:after="0" w:line="157" w:lineRule="exact"/>
              <w:rPr>
                <w:sz w:val="20"/>
                <w:szCs w:val="20"/>
                <w:color w:val="auto"/>
              </w:rPr>
            </w:pPr>
            <w:r>
              <w:rPr>
                <w:rFonts w:ascii="Arial" w:cs="Arial" w:eastAsia="Arial" w:hAnsi="Arial"/>
                <w:sz w:val="14"/>
                <w:szCs w:val="14"/>
                <w:b w:val="1"/>
                <w:bCs w:val="1"/>
                <w:color w:val="auto"/>
              </w:rPr>
              <w:t>Ryan K. deFord</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Laurie A. Burlingame</w:t>
            </w:r>
          </w:p>
        </w:tc>
        <w:tc>
          <w:tcPr>
            <w:tcW w:w="2860" w:type="dxa"/>
            <w:vAlign w:val="bottom"/>
            <w:gridSpan w:val="2"/>
          </w:tcPr>
          <w:p>
            <w:pPr>
              <w:jc w:val="center"/>
              <w:ind w:left="690"/>
              <w:spacing w:after="0" w:line="157" w:lineRule="exact"/>
              <w:rPr>
                <w:sz w:val="20"/>
                <w:szCs w:val="20"/>
                <w:color w:val="auto"/>
              </w:rPr>
            </w:pPr>
            <w:r>
              <w:rPr>
                <w:rFonts w:ascii="Arial" w:cs="Arial" w:eastAsia="Arial" w:hAnsi="Arial"/>
                <w:sz w:val="14"/>
                <w:szCs w:val="14"/>
                <w:b w:val="1"/>
                <w:bCs w:val="1"/>
                <w:color w:val="auto"/>
                <w:w w:val="98"/>
              </w:rPr>
              <w:t>Latham &amp; Watkins LLP</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Goodwin Procter LLP</w:t>
            </w:r>
          </w:p>
        </w:tc>
        <w:tc>
          <w:tcPr>
            <w:tcW w:w="2860" w:type="dxa"/>
            <w:vAlign w:val="bottom"/>
            <w:gridSpan w:val="2"/>
          </w:tcPr>
          <w:p>
            <w:pPr>
              <w:jc w:val="center"/>
              <w:ind w:left="690"/>
              <w:spacing w:after="0" w:line="157" w:lineRule="exact"/>
              <w:rPr>
                <w:sz w:val="20"/>
                <w:szCs w:val="20"/>
                <w:color w:val="auto"/>
              </w:rPr>
            </w:pPr>
            <w:r>
              <w:rPr>
                <w:rFonts w:ascii="Arial" w:cs="Arial" w:eastAsia="Arial" w:hAnsi="Arial"/>
                <w:sz w:val="14"/>
                <w:szCs w:val="14"/>
                <w:b w:val="1"/>
                <w:bCs w:val="1"/>
                <w:color w:val="auto"/>
                <w:w w:val="98"/>
              </w:rPr>
              <w:t>John Hancock Tower, 27</w:t>
            </w:r>
            <w:r>
              <w:rPr>
                <w:rFonts w:ascii="Arial" w:cs="Arial" w:eastAsia="Arial" w:hAnsi="Arial"/>
                <w:sz w:val="10"/>
                <w:szCs w:val="10"/>
                <w:b w:val="1"/>
                <w:bCs w:val="1"/>
                <w:color w:val="auto"/>
                <w:w w:val="98"/>
              </w:rPr>
              <w:t>th</w:t>
            </w:r>
            <w:r>
              <w:rPr>
                <w:rFonts w:ascii="Arial" w:cs="Arial" w:eastAsia="Arial" w:hAnsi="Arial"/>
                <w:sz w:val="14"/>
                <w:szCs w:val="14"/>
                <w:b w:val="1"/>
                <w:bCs w:val="1"/>
                <w:color w:val="auto"/>
                <w:w w:val="98"/>
              </w:rPr>
              <w:t xml:space="preserve"> Floor</w:t>
            </w:r>
          </w:p>
        </w:tc>
      </w:tr>
      <w:tr>
        <w:trPr>
          <w:trHeight w:val="169"/>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Exchange Place</w:t>
            </w:r>
          </w:p>
        </w:tc>
        <w:tc>
          <w:tcPr>
            <w:tcW w:w="2860" w:type="dxa"/>
            <w:vAlign w:val="bottom"/>
            <w:gridSpan w:val="2"/>
          </w:tcPr>
          <w:p>
            <w:pPr>
              <w:jc w:val="center"/>
              <w:ind w:left="670"/>
              <w:spacing w:after="0"/>
              <w:rPr>
                <w:sz w:val="20"/>
                <w:szCs w:val="20"/>
                <w:color w:val="auto"/>
              </w:rPr>
            </w:pPr>
            <w:r>
              <w:rPr>
                <w:rFonts w:ascii="Arial" w:cs="Arial" w:eastAsia="Arial" w:hAnsi="Arial"/>
                <w:sz w:val="14"/>
                <w:szCs w:val="14"/>
                <w:b w:val="1"/>
                <w:bCs w:val="1"/>
                <w:color w:val="auto"/>
                <w:w w:val="99"/>
              </w:rPr>
              <w:t>200 Clarendon Street</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53 State Street</w:t>
            </w:r>
          </w:p>
        </w:tc>
        <w:tc>
          <w:tcPr>
            <w:tcW w:w="2860" w:type="dxa"/>
            <w:vAlign w:val="bottom"/>
            <w:gridSpan w:val="2"/>
          </w:tcPr>
          <w:p>
            <w:pPr>
              <w:jc w:val="center"/>
              <w:ind w:left="670"/>
              <w:spacing w:after="0" w:line="157" w:lineRule="exact"/>
              <w:rPr>
                <w:sz w:val="20"/>
                <w:szCs w:val="20"/>
                <w:color w:val="auto"/>
              </w:rPr>
            </w:pPr>
            <w:r>
              <w:rPr>
                <w:rFonts w:ascii="Arial" w:cs="Arial" w:eastAsia="Arial" w:hAnsi="Arial"/>
                <w:sz w:val="14"/>
                <w:szCs w:val="14"/>
                <w:b w:val="1"/>
                <w:bCs w:val="1"/>
                <w:color w:val="auto"/>
                <w:w w:val="99"/>
              </w:rPr>
              <w:t>Boston, MA 02116</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Boston, MA 02109</w:t>
            </w:r>
          </w:p>
        </w:tc>
        <w:tc>
          <w:tcPr>
            <w:tcW w:w="2860" w:type="dxa"/>
            <w:vAlign w:val="bottom"/>
            <w:gridSpan w:val="2"/>
          </w:tcPr>
          <w:p>
            <w:pPr>
              <w:jc w:val="center"/>
              <w:ind w:left="670"/>
              <w:spacing w:after="0" w:line="157" w:lineRule="exact"/>
              <w:rPr>
                <w:sz w:val="20"/>
                <w:szCs w:val="20"/>
                <w:color w:val="auto"/>
              </w:rPr>
            </w:pPr>
            <w:r>
              <w:rPr>
                <w:rFonts w:ascii="Arial" w:cs="Arial" w:eastAsia="Arial" w:hAnsi="Arial"/>
                <w:sz w:val="14"/>
                <w:szCs w:val="14"/>
                <w:b w:val="1"/>
                <w:bCs w:val="1"/>
                <w:color w:val="auto"/>
              </w:rPr>
              <w:t>(617) 948-6000</w:t>
            </w:r>
          </w:p>
        </w:tc>
      </w:tr>
      <w:tr>
        <w:trPr>
          <w:trHeight w:val="184"/>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(617) 570-1000</w:t>
            </w: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3"/>
        </w:trPr>
        <w:tc>
          <w:tcPr>
            <w:tcW w:w="10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bl>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206" w:lineRule="exact"/>
        <w:rPr>
          <w:sz w:val="24"/>
          <w:szCs w:val="24"/>
          <w:color w:val="auto"/>
        </w:rPr>
      </w:pPr>
    </w:p>
    <w:p>
      <w:pPr>
        <w:ind w:right="460" w:firstLine="505"/>
        <w:spacing w:after="0" w:line="24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9" w:lineRule="exact"/>
        <w:rPr>
          <w:sz w:val="24"/>
          <w:szCs w:val="24"/>
          <w:color w:val="auto"/>
        </w:rPr>
      </w:pPr>
    </w:p>
    <w:p>
      <w:pPr>
        <w:ind w:firstLine="505"/>
        <w:spacing w:after="0" w:line="245"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20" w:firstLine="505"/>
        <w:spacing w:after="0" w:line="245"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20" w:firstLine="505"/>
        <w:spacing w:after="0" w:line="245"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340" w:firstLine="505"/>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p>
      <w:pPr>
        <w:ind w:left="3280" w:right="280" w:hanging="5956"/>
        <w:spacing w:after="0" w:line="187" w:lineRule="exact"/>
        <w:tabs>
          <w:tab w:leader="none" w:pos="326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(Do not check if a</w:t>
      </w:r>
    </w:p>
    <w:p>
      <w:pPr>
        <w:sectPr>
          <w:pgSz w:w="11900" w:h="16838" w:orient="portrait"/>
          <w:cols w:equalWidth="0" w:num="1">
            <w:col w:w="11360"/>
          </w:cols>
          <w:pgMar w:left="240" w:top="669" w:right="299" w:bottom="0" w:gutter="0" w:footer="0" w:header="0"/>
        </w:sectPr>
      </w:pPr>
    </w:p>
    <w:bookmarkStart w:id="1" w:name="page2"/>
    <w:bookmarkEnd w:id="1"/>
    <w:tbl>
      <w:tblPr>
        <w:tblLayout w:type="fixed"/>
        <w:tblInd w:w="130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3260" w:type="dxa"/>
            <w:vAlign w:val="bottom"/>
          </w:tcPr>
          <w:p>
            <w:pPr>
              <w:jc w:val="right"/>
              <w:ind w:right="1130"/>
              <w:spacing w:after="0"/>
              <w:rPr>
                <w:sz w:val="20"/>
                <w:szCs w:val="20"/>
                <w:color w:val="auto"/>
              </w:rPr>
            </w:pPr>
            <w:r>
              <w:rPr>
                <w:rFonts w:ascii="Arial" w:cs="Arial" w:eastAsia="Arial" w:hAnsi="Arial"/>
                <w:sz w:val="14"/>
                <w:szCs w:val="14"/>
                <w:color w:val="auto"/>
              </w:rPr>
              <w:t>smaller reporting company)</w:t>
            </w:r>
          </w:p>
        </w:tc>
        <w:tc>
          <w:tcPr>
            <w:tcW w:w="1320" w:type="dxa"/>
            <w:vAlign w:val="bottom"/>
          </w:tcPr>
          <w:p>
            <w:pPr>
              <w:spacing w:after="0"/>
              <w:rPr>
                <w:sz w:val="14"/>
                <w:szCs w:val="14"/>
                <w:color w:val="auto"/>
              </w:rPr>
            </w:pPr>
          </w:p>
        </w:tc>
      </w:tr>
      <w:tr>
        <w:trPr>
          <w:trHeight w:val="367"/>
        </w:trPr>
        <w:tc>
          <w:tcPr>
            <w:tcW w:w="7520" w:type="dxa"/>
            <w:vAlign w:val="bottom"/>
            <w:gridSpan w:val="2"/>
          </w:tcPr>
          <w:p>
            <w:pPr>
              <w:jc w:val="right"/>
              <w:ind w:right="1730"/>
              <w:spacing w:after="0"/>
              <w:rPr>
                <w:sz w:val="20"/>
                <w:szCs w:val="20"/>
                <w:color w:val="auto"/>
              </w:rPr>
            </w:pPr>
            <w:r>
              <w:rPr>
                <w:rFonts w:ascii="Arial" w:cs="Arial" w:eastAsia="Arial" w:hAnsi="Arial"/>
                <w:sz w:val="14"/>
                <w:szCs w:val="14"/>
                <w:b w:val="1"/>
                <w:bCs w:val="1"/>
                <w:color w:val="auto"/>
              </w:rPr>
              <w:t>CALCULATION OF REGISTRATION FEE</w:t>
            </w:r>
          </w:p>
        </w:tc>
        <w:tc>
          <w:tcPr>
            <w:tcW w:w="1320" w:type="dxa"/>
            <w:vAlign w:val="bottom"/>
          </w:tcPr>
          <w:p>
            <w:pPr>
              <w:spacing w:after="0"/>
              <w:rPr>
                <w:sz w:val="24"/>
                <w:szCs w:val="24"/>
                <w:color w:val="auto"/>
              </w:rPr>
            </w:pPr>
          </w:p>
        </w:tc>
      </w:tr>
      <w:tr>
        <w:trPr>
          <w:trHeight w:val="430"/>
        </w:trPr>
        <w:tc>
          <w:tcPr>
            <w:tcW w:w="4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5"/>
        </w:trPr>
        <w:tc>
          <w:tcPr>
            <w:tcW w:w="4260" w:type="dxa"/>
            <w:vAlign w:val="bottom"/>
          </w:tcPr>
          <w:p>
            <w:pPr>
              <w:spacing w:after="0"/>
              <w:rPr>
                <w:sz w:val="10"/>
                <w:szCs w:val="10"/>
                <w:color w:val="auto"/>
              </w:rPr>
            </w:pPr>
          </w:p>
        </w:tc>
        <w:tc>
          <w:tcPr>
            <w:tcW w:w="3260" w:type="dxa"/>
            <w:vAlign w:val="bottom"/>
          </w:tcPr>
          <w:p>
            <w:pPr>
              <w:jc w:val="center"/>
              <w:ind w:left="1450"/>
              <w:spacing w:after="0" w:line="125" w:lineRule="exact"/>
              <w:rPr>
                <w:sz w:val="20"/>
                <w:szCs w:val="20"/>
                <w:color w:val="auto"/>
              </w:rPr>
            </w:pPr>
            <w:r>
              <w:rPr>
                <w:rFonts w:ascii="Arial" w:cs="Arial" w:eastAsia="Arial" w:hAnsi="Arial"/>
                <w:sz w:val="14"/>
                <w:szCs w:val="14"/>
                <w:b w:val="1"/>
                <w:bCs w:val="1"/>
                <w:color w:val="auto"/>
              </w:rPr>
              <w:t>Proposed maximum</w:t>
            </w:r>
          </w:p>
        </w:tc>
        <w:tc>
          <w:tcPr>
            <w:tcW w:w="1320" w:type="dxa"/>
            <w:vAlign w:val="bottom"/>
          </w:tcPr>
          <w:p>
            <w:pPr>
              <w:spacing w:after="0"/>
              <w:rPr>
                <w:sz w:val="10"/>
                <w:szCs w:val="10"/>
                <w:color w:val="auto"/>
              </w:rPr>
            </w:pPr>
          </w:p>
        </w:tc>
      </w:tr>
      <w:tr>
        <w:trPr>
          <w:trHeight w:val="157"/>
        </w:trPr>
        <w:tc>
          <w:tcPr>
            <w:tcW w:w="4260" w:type="dxa"/>
            <w:vAlign w:val="bottom"/>
          </w:tcPr>
          <w:p>
            <w:pPr>
              <w:jc w:val="center"/>
              <w:ind w:left="1410"/>
              <w:spacing w:after="0" w:line="157" w:lineRule="exact"/>
              <w:rPr>
                <w:sz w:val="20"/>
                <w:szCs w:val="20"/>
                <w:color w:val="auto"/>
              </w:rPr>
            </w:pPr>
            <w:r>
              <w:rPr>
                <w:rFonts w:ascii="Arial" w:cs="Arial" w:eastAsia="Arial" w:hAnsi="Arial"/>
                <w:sz w:val="14"/>
                <w:szCs w:val="14"/>
                <w:b w:val="1"/>
                <w:bCs w:val="1"/>
                <w:color w:val="auto"/>
                <w:w w:val="99"/>
              </w:rPr>
              <w:t>Title of each class of securities</w:t>
            </w:r>
          </w:p>
        </w:tc>
        <w:tc>
          <w:tcPr>
            <w:tcW w:w="3260" w:type="dxa"/>
            <w:vAlign w:val="bottom"/>
          </w:tcPr>
          <w:p>
            <w:pPr>
              <w:jc w:val="center"/>
              <w:ind w:left="1470"/>
              <w:spacing w:after="0" w:line="157" w:lineRule="exact"/>
              <w:rPr>
                <w:sz w:val="20"/>
                <w:szCs w:val="20"/>
                <w:color w:val="auto"/>
              </w:rPr>
            </w:pPr>
            <w:r>
              <w:rPr>
                <w:rFonts w:ascii="Arial" w:cs="Arial" w:eastAsia="Arial" w:hAnsi="Arial"/>
                <w:sz w:val="14"/>
                <w:szCs w:val="14"/>
                <w:b w:val="1"/>
                <w:bCs w:val="1"/>
                <w:color w:val="auto"/>
              </w:rPr>
              <w:t>aggregate initial</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Amount of</w:t>
            </w:r>
          </w:p>
        </w:tc>
      </w:tr>
      <w:tr>
        <w:trPr>
          <w:trHeight w:val="190"/>
        </w:trPr>
        <w:tc>
          <w:tcPr>
            <w:tcW w:w="4260" w:type="dxa"/>
            <w:vAlign w:val="bottom"/>
            <w:tcBorders>
              <w:bottom w:val="single" w:sz="8" w:color="auto"/>
            </w:tcBorders>
          </w:tcPr>
          <w:p>
            <w:pPr>
              <w:jc w:val="center"/>
              <w:ind w:left="1410"/>
              <w:spacing w:after="0"/>
              <w:rPr>
                <w:sz w:val="20"/>
                <w:szCs w:val="20"/>
                <w:color w:val="auto"/>
              </w:rPr>
            </w:pPr>
            <w:r>
              <w:rPr>
                <w:rFonts w:ascii="Arial" w:cs="Arial" w:eastAsia="Arial" w:hAnsi="Arial"/>
                <w:sz w:val="14"/>
                <w:szCs w:val="14"/>
                <w:b w:val="1"/>
                <w:bCs w:val="1"/>
                <w:color w:val="auto"/>
              </w:rPr>
              <w:t>to be registered</w:t>
            </w:r>
          </w:p>
        </w:tc>
        <w:tc>
          <w:tcPr>
            <w:tcW w:w="3260" w:type="dxa"/>
            <w:vAlign w:val="bottom"/>
            <w:tcBorders>
              <w:bottom w:val="single" w:sz="8" w:color="auto"/>
            </w:tcBorders>
          </w:tcPr>
          <w:p>
            <w:pPr>
              <w:jc w:val="center"/>
              <w:ind w:left="1470"/>
              <w:spacing w:after="0"/>
              <w:rPr>
                <w:sz w:val="20"/>
                <w:szCs w:val="20"/>
                <w:color w:val="auto"/>
              </w:rPr>
            </w:pPr>
            <w:r>
              <w:rPr>
                <w:rFonts w:ascii="Arial" w:cs="Arial" w:eastAsia="Arial" w:hAnsi="Arial"/>
                <w:sz w:val="14"/>
                <w:szCs w:val="14"/>
                <w:b w:val="1"/>
                <w:bCs w:val="1"/>
                <w:color w:val="auto"/>
              </w:rPr>
              <w:t>public offering price(1)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registration fee(2)</w:t>
            </w:r>
          </w:p>
        </w:tc>
      </w:tr>
      <w:tr>
        <w:trPr>
          <w:trHeight w:val="177"/>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$0.001 par value</w:t>
            </w:r>
          </w:p>
        </w:tc>
        <w:tc>
          <w:tcPr>
            <w:tcW w:w="3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520" w:hanging="515"/>
        <w:spacing w:after="0" w:line="245"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initial public offering price of shares that the underwriters have the option to purchase. Estimated solely for the purpose of calculating the registration fee in accordance with Rule 457(o) of the Securities Act of 1933, as amended.</w:t>
      </w:r>
    </w:p>
    <w:p>
      <w:pPr>
        <w:spacing w:after="0" w:line="143" w:lineRule="exact"/>
        <w:rPr>
          <w:rFonts w:ascii="Arial" w:cs="Arial" w:eastAsia="Arial" w:hAnsi="Arial"/>
          <w:sz w:val="14"/>
          <w:szCs w:val="14"/>
          <w:color w:val="auto"/>
        </w:rPr>
      </w:pPr>
    </w:p>
    <w:p>
      <w:pPr>
        <w:ind w:left="520" w:hanging="515"/>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initial public offering price.</w:t>
      </w:r>
    </w:p>
    <w:p>
      <w:pPr>
        <w:spacing w:after="0" w:line="190" w:lineRule="exact"/>
        <w:rPr>
          <w:sz w:val="20"/>
          <w:szCs w:val="20"/>
          <w:color w:val="auto"/>
        </w:rPr>
      </w:pPr>
    </w:p>
    <w:p>
      <w:pPr>
        <w:ind w:firstLine="505"/>
        <w:spacing w:after="0" w:line="25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532130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Subject to completion. Dated February 19, 2015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24" w:lineRule="exact"/>
        <w:rPr>
          <w:sz w:val="20"/>
          <w:szCs w:val="20"/>
          <w:color w:val="auto"/>
        </w:rPr>
      </w:pPr>
    </w:p>
    <w:p>
      <w:pPr>
        <w:ind w:left="600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135255</wp:posOffset>
            </wp:positionV>
            <wp:extent cx="3846195" cy="607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firstLine="470"/>
        <w:spacing w:after="0" w:line="252" w:lineRule="auto"/>
        <w:rPr>
          <w:sz w:val="20"/>
          <w:szCs w:val="20"/>
          <w:color w:val="auto"/>
        </w:rPr>
      </w:pPr>
      <w:r>
        <w:rPr>
          <w:rFonts w:ascii="Arial" w:cs="Arial" w:eastAsia="Arial" w:hAnsi="Arial"/>
          <w:sz w:val="17"/>
          <w:szCs w:val="17"/>
          <w:color w:val="auto"/>
        </w:rPr>
        <w:t>This is an initial public offering of shares of common stock of Blueprint Medicines Corporation. All of the are being sold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w:t>
      </w:r>
    </w:p>
    <w:p>
      <w:pPr>
        <w:spacing w:after="0" w:line="419" w:lineRule="exact"/>
        <w:rPr>
          <w:sz w:val="20"/>
          <w:szCs w:val="20"/>
          <w:color w:val="auto"/>
        </w:rPr>
      </w:pPr>
    </w:p>
    <w:p>
      <w:pPr>
        <w:sectPr>
          <w:pgSz w:w="11900" w:h="16838" w:orient="portrait"/>
          <w:cols w:equalWidth="0" w:num="2">
            <w:col w:w="8760" w:space="720"/>
            <w:col w:w="1940"/>
          </w:cols>
          <w:pgMar w:left="240" w:top="143" w:right="23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Prior to this offering, there has been no public market for the common stock. It is currently estimated that the initial public offering price per share</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will be between $ and $ . Application has been made for the quotation of the common stock on The NASDAQ Global Market under the symbol "BPMC."</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See "Risk Factors" on page 11 to read about factors you should consider before buying shares of the common stock.</w:t>
      </w:r>
    </w:p>
    <w:p>
      <w:pPr>
        <w:spacing w:after="0" w:line="209" w:lineRule="exact"/>
        <w:rPr>
          <w:sz w:val="20"/>
          <w:szCs w:val="20"/>
          <w:color w:val="auto"/>
        </w:rPr>
      </w:pPr>
    </w:p>
    <w:p>
      <w:pPr>
        <w:ind w:right="240" w:firstLine="473"/>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107950</wp:posOffset>
            </wp:positionV>
            <wp:extent cx="1390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2260" w:type="dxa"/>
            <w:vAlign w:val="bottom"/>
          </w:tcPr>
          <w:p>
            <w:pPr>
              <w:jc w:val="center"/>
              <w:ind w:left="1175"/>
              <w:spacing w:after="0"/>
              <w:rPr>
                <w:sz w:val="20"/>
                <w:szCs w:val="20"/>
                <w:color w:val="auto"/>
              </w:rPr>
            </w:pPr>
            <w:r>
              <w:rPr>
                <w:rFonts w:ascii="Arial" w:cs="Arial" w:eastAsia="Arial" w:hAnsi="Arial"/>
                <w:sz w:val="17"/>
                <w:szCs w:val="17"/>
                <w:color w:val="auto"/>
                <w:w w:val="99"/>
              </w:rPr>
              <w:t>Per Share</w:t>
            </w:r>
          </w:p>
        </w:tc>
        <w:tc>
          <w:tcPr>
            <w:tcW w:w="540" w:type="dxa"/>
            <w:vAlign w:val="bottom"/>
          </w:tcPr>
          <w:p>
            <w:pPr>
              <w:jc w:val="right"/>
              <w:spacing w:after="0"/>
              <w:rPr>
                <w:sz w:val="20"/>
                <w:szCs w:val="20"/>
                <w:color w:val="auto"/>
              </w:rPr>
            </w:pPr>
            <w:r>
              <w:rPr>
                <w:rFonts w:ascii="Arial" w:cs="Arial" w:eastAsia="Arial" w:hAnsi="Arial"/>
                <w:sz w:val="17"/>
                <w:szCs w:val="17"/>
                <w:color w:val="auto"/>
              </w:rPr>
              <w:t>Total</w:t>
            </w:r>
          </w:p>
        </w:tc>
      </w:tr>
      <w:tr>
        <w:trPr>
          <w:trHeight w:val="202"/>
        </w:trPr>
        <w:tc>
          <w:tcPr>
            <w:tcW w:w="616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6160" w:type="dxa"/>
            <w:vAlign w:val="bottom"/>
          </w:tcPr>
          <w:p>
            <w:pPr>
              <w:spacing w:after="0"/>
              <w:rPr>
                <w:sz w:val="20"/>
                <w:szCs w:val="20"/>
                <w:color w:val="auto"/>
              </w:rPr>
            </w:pPr>
            <w:r>
              <w:rPr>
                <w:rFonts w:ascii="Arial" w:cs="Arial" w:eastAsia="Arial" w:hAnsi="Arial"/>
                <w:sz w:val="17"/>
                <w:szCs w:val="17"/>
                <w:color w:val="auto"/>
              </w:rPr>
              <w:t>Underwriting discount</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Proceeds, before expenses, to Blueprint Medicines Corporation</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-389255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-389255</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gridSpan w:val="2"/>
          </w:tcPr>
          <w:p>
            <w:pPr>
              <w:ind w:left="480"/>
              <w:spacing w:after="0"/>
              <w:rPr>
                <w:sz w:val="20"/>
                <w:szCs w:val="20"/>
                <w:color w:val="auto"/>
              </w:rPr>
            </w:pPr>
            <w:r>
              <w:rPr>
                <w:rFonts w:ascii="Arial" w:cs="Arial" w:eastAsia="Arial" w:hAnsi="Arial"/>
                <w:sz w:val="17"/>
                <w:szCs w:val="17"/>
                <w:color w:val="auto"/>
              </w:rPr>
              <w:t>To the extent that the underwriters sell more than</w:t>
            </w:r>
          </w:p>
        </w:tc>
        <w:tc>
          <w:tcPr>
            <w:tcW w:w="6800" w:type="dxa"/>
            <w:vAlign w:val="bottom"/>
            <w:gridSpan w:val="3"/>
          </w:tcPr>
          <w:p>
            <w:pPr>
              <w:jc w:val="right"/>
              <w:spacing w:after="0"/>
              <w:rPr>
                <w:sz w:val="20"/>
                <w:szCs w:val="20"/>
                <w:color w:val="auto"/>
              </w:rPr>
            </w:pPr>
            <w:r>
              <w:rPr>
                <w:rFonts w:ascii="Arial" w:cs="Arial" w:eastAsia="Arial" w:hAnsi="Arial"/>
                <w:sz w:val="17"/>
                <w:szCs w:val="17"/>
                <w:color w:val="auto"/>
              </w:rPr>
              <w:t>shares of common stock, the underwriters have the option to purchase up to an</w:t>
            </w:r>
          </w:p>
        </w:tc>
      </w:tr>
      <w:tr>
        <w:trPr>
          <w:trHeight w:val="204"/>
        </w:trPr>
        <w:tc>
          <w:tcPr>
            <w:tcW w:w="1360" w:type="dxa"/>
            <w:vAlign w:val="bottom"/>
          </w:tcPr>
          <w:p>
            <w:pPr>
              <w:spacing w:after="0"/>
              <w:rPr>
                <w:sz w:val="20"/>
                <w:szCs w:val="20"/>
                <w:color w:val="auto"/>
              </w:rPr>
            </w:pPr>
            <w:r>
              <w:rPr>
                <w:rFonts w:ascii="Arial" w:cs="Arial" w:eastAsia="Arial" w:hAnsi="Arial"/>
                <w:sz w:val="17"/>
                <w:szCs w:val="17"/>
                <w:color w:val="auto"/>
              </w:rPr>
              <w:t>additional</w:t>
            </w:r>
          </w:p>
        </w:tc>
        <w:tc>
          <w:tcPr>
            <w:tcW w:w="10060" w:type="dxa"/>
            <w:vAlign w:val="bottom"/>
            <w:gridSpan w:val="4"/>
          </w:tcPr>
          <w:p>
            <w:pPr>
              <w:jc w:val="right"/>
              <w:ind w:right="1638"/>
              <w:spacing w:after="0"/>
              <w:rPr>
                <w:sz w:val="20"/>
                <w:szCs w:val="20"/>
                <w:color w:val="auto"/>
              </w:rPr>
            </w:pPr>
            <w:r>
              <w:rPr>
                <w:rFonts w:ascii="Arial" w:cs="Arial" w:eastAsia="Arial" w:hAnsi="Arial"/>
                <w:sz w:val="17"/>
                <w:szCs w:val="17"/>
                <w:color w:val="auto"/>
              </w:rPr>
              <w:t>shares from Blueprint Medicines Corporation at the initial price to public less the underwriting discount.</w:t>
            </w:r>
          </w:p>
        </w:tc>
      </w:tr>
      <w:tr>
        <w:trPr>
          <w:trHeight w:val="199"/>
        </w:trPr>
        <w:tc>
          <w:tcPr>
            <w:tcW w:w="4620" w:type="dxa"/>
            <w:vAlign w:val="bottom"/>
            <w:gridSpan w:val="2"/>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725"/>
        </w:trPr>
        <w:tc>
          <w:tcPr>
            <w:tcW w:w="7500" w:type="dxa"/>
            <w:vAlign w:val="bottom"/>
            <w:gridSpan w:val="4"/>
          </w:tcPr>
          <w:p>
            <w:pPr>
              <w:ind w:left="48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tc>
        <w:tc>
          <w:tcPr>
            <w:tcW w:w="3920" w:type="dxa"/>
            <w:vAlign w:val="bottom"/>
          </w:tcPr>
          <w:p>
            <w:pPr>
              <w:jc w:val="right"/>
              <w:ind w:right="2998"/>
              <w:spacing w:after="0"/>
              <w:rPr>
                <w:sz w:val="20"/>
                <w:szCs w:val="20"/>
                <w:color w:val="auto"/>
              </w:rPr>
            </w:pPr>
            <w:r>
              <w:rPr>
                <w:rFonts w:ascii="Arial" w:cs="Arial" w:eastAsia="Arial" w:hAnsi="Arial"/>
                <w:sz w:val="17"/>
                <w:szCs w:val="17"/>
                <w:color w:val="auto"/>
              </w:rPr>
              <w:t>, 2015.</w:t>
            </w:r>
          </w:p>
        </w:tc>
      </w:tr>
      <w:tr>
        <w:trPr>
          <w:trHeight w:val="479"/>
        </w:trPr>
        <w:tc>
          <w:tcPr>
            <w:tcW w:w="4620" w:type="dxa"/>
            <w:vAlign w:val="bottom"/>
            <w:gridSpan w:val="2"/>
          </w:tcPr>
          <w:p>
            <w:pPr>
              <w:spacing w:after="0"/>
              <w:rPr>
                <w:sz w:val="20"/>
                <w:szCs w:val="20"/>
                <w:color w:val="auto"/>
              </w:rPr>
            </w:pPr>
            <w:r>
              <w:rPr>
                <w:rFonts w:ascii="Arial" w:cs="Arial" w:eastAsia="Arial" w:hAnsi="Arial"/>
                <w:sz w:val="24"/>
                <w:szCs w:val="24"/>
                <w:b w:val="1"/>
                <w:bCs w:val="1"/>
                <w:color w:val="auto"/>
              </w:rPr>
              <w:t>Goldman, Sachs &amp; Co.</w:t>
            </w: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4"/>
                <w:szCs w:val="24"/>
                <w:b w:val="1"/>
                <w:bCs w:val="1"/>
                <w:color w:val="auto"/>
              </w:rPr>
              <w:t>Cowen and Company</w:t>
            </w:r>
          </w:p>
        </w:tc>
      </w:tr>
      <w:tr>
        <w:trPr>
          <w:trHeight w:val="511"/>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80" w:type="dxa"/>
            <w:vAlign w:val="bottom"/>
            <w:gridSpan w:val="2"/>
          </w:tcPr>
          <w:p>
            <w:pPr>
              <w:ind w:left="260"/>
              <w:spacing w:after="0"/>
              <w:rPr>
                <w:sz w:val="20"/>
                <w:szCs w:val="20"/>
                <w:color w:val="auto"/>
              </w:rPr>
            </w:pPr>
            <w:r>
              <w:rPr>
                <w:rFonts w:ascii="Arial" w:cs="Arial" w:eastAsia="Arial" w:hAnsi="Arial"/>
                <w:sz w:val="24"/>
                <w:szCs w:val="24"/>
                <w:b w:val="1"/>
                <w:bCs w:val="1"/>
                <w:color w:val="auto"/>
              </w:rPr>
              <w:t>JMP Securities</w:t>
            </w:r>
          </w:p>
        </w:tc>
        <w:tc>
          <w:tcPr>
            <w:tcW w:w="3920" w:type="dxa"/>
            <w:vAlign w:val="bottom"/>
          </w:tcPr>
          <w:p>
            <w:pPr>
              <w:spacing w:after="0"/>
              <w:rPr>
                <w:sz w:val="24"/>
                <w:szCs w:val="24"/>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Wedbush PacGrow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154305</wp:posOffset>
            </wp:positionV>
            <wp:extent cx="139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ind w:left="4180"/>
              <w:spacing w:after="0"/>
              <w:rPr>
                <w:sz w:val="20"/>
                <w:szCs w:val="20"/>
                <w:color w:val="auto"/>
              </w:rPr>
            </w:pPr>
            <w:r>
              <w:rPr>
                <w:rFonts w:ascii="Arial" w:cs="Arial" w:eastAsia="Arial" w:hAnsi="Arial"/>
                <w:sz w:val="17"/>
                <w:szCs w:val="17"/>
                <w:color w:val="auto"/>
              </w:rPr>
              <w:t>Prospectus dated</w:t>
            </w:r>
          </w:p>
        </w:tc>
        <w:tc>
          <w:tcPr>
            <w:tcW w:w="5300" w:type="dxa"/>
            <w:vAlign w:val="bottom"/>
          </w:tcPr>
          <w:p>
            <w:pPr>
              <w:jc w:val="right"/>
              <w:ind w:right="4075"/>
              <w:spacing w:after="0"/>
              <w:rPr>
                <w:sz w:val="20"/>
                <w:szCs w:val="20"/>
                <w:color w:val="auto"/>
              </w:rPr>
            </w:pPr>
            <w:r>
              <w:rPr>
                <w:rFonts w:ascii="Arial" w:cs="Arial" w:eastAsia="Arial" w:hAnsi="Arial"/>
                <w:sz w:val="17"/>
                <w:szCs w:val="17"/>
                <w:color w:val="auto"/>
              </w:rPr>
              <w:t>, 2015.</w:t>
            </w:r>
          </w:p>
        </w:tc>
      </w:tr>
      <w:tr>
        <w:trPr>
          <w:trHeight w:val="209"/>
        </w:trPr>
        <w:tc>
          <w:tcPr>
            <w:tcW w:w="6120" w:type="dxa"/>
            <w:vAlign w:val="bottom"/>
            <w:tcBorders>
              <w:bottom w:val="single" w:sz="8" w:color="808080"/>
            </w:tcBorders>
          </w:tcPr>
          <w:p>
            <w:pPr>
              <w:spacing w:after="0"/>
              <w:rPr>
                <w:sz w:val="18"/>
                <w:szCs w:val="18"/>
                <w:color w:val="auto"/>
              </w:rPr>
            </w:pPr>
          </w:p>
        </w:tc>
        <w:tc>
          <w:tcPr>
            <w:tcW w:w="5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9840" w:type="dxa"/>
            <w:vAlign w:val="bottom"/>
            <w:gridSpan w:val="2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0"/>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6"/>
          </w:tcPr>
          <w:p>
            <w:pPr>
              <w:jc w:val="center"/>
              <w:ind w:right="3080"/>
              <w:spacing w:after="0"/>
              <w:rPr>
                <w:sz w:val="20"/>
                <w:szCs w:val="20"/>
                <w:color w:val="auto"/>
              </w:rPr>
            </w:pPr>
            <w:r>
              <w:rPr>
                <w:rFonts w:ascii="Arial" w:cs="Arial" w:eastAsia="Arial" w:hAnsi="Arial"/>
                <w:sz w:val="17"/>
                <w:szCs w:val="17"/>
                <w:b w:val="1"/>
                <w:bCs w:val="1"/>
                <w:color w:val="auto"/>
                <w:w w:val="99"/>
              </w:rPr>
              <w:t>TABLE OF CONTENTS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gridSpan w:val="5"/>
          </w:tcPr>
          <w:p>
            <w:pPr>
              <w:jc w:val="center"/>
              <w:ind w:right="3620"/>
              <w:spacing w:after="0"/>
              <w:rPr>
                <w:sz w:val="20"/>
                <w:szCs w:val="20"/>
                <w:color w:val="auto"/>
              </w:rPr>
            </w:pPr>
            <w:r>
              <w:rPr>
                <w:rFonts w:ascii="Arial" w:cs="Arial" w:eastAsia="Arial" w:hAnsi="Arial"/>
                <w:sz w:val="17"/>
                <w:szCs w:val="17"/>
                <w:color w:val="auto"/>
              </w:rPr>
              <w:t>Prospectus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8"/>
              </w:rPr>
              <w:t>Page</w:t>
            </w:r>
          </w:p>
        </w:tc>
        <w:tc>
          <w:tcPr>
            <w:tcW w:w="20" w:type="dxa"/>
            <w:vAlign w:val="bottom"/>
          </w:tcPr>
          <w:p>
            <w:pPr>
              <w:spacing w:after="0"/>
              <w:rPr>
                <w:sz w:val="24"/>
                <w:szCs w:val="24"/>
                <w:color w:val="auto"/>
              </w:rPr>
            </w:pPr>
          </w:p>
        </w:tc>
      </w:tr>
      <w:tr>
        <w:trPr>
          <w:trHeight w:val="164"/>
        </w:trPr>
        <w:tc>
          <w:tcPr>
            <w:tcW w:w="1160" w:type="dxa"/>
            <w:vAlign w:val="bottom"/>
          </w:tcPr>
          <w:p>
            <w:pPr>
              <w:spacing w:after="0"/>
              <w:rPr>
                <w:sz w:val="14"/>
                <w:szCs w:val="14"/>
                <w:color w:val="auto"/>
              </w:rPr>
            </w:pPr>
          </w:p>
        </w:tc>
        <w:tc>
          <w:tcPr>
            <w:tcW w:w="8680" w:type="dxa"/>
            <w:vAlign w:val="bottom"/>
            <w:gridSpan w:val="21"/>
          </w:tcPr>
          <w:p>
            <w:pPr>
              <w:spacing w:after="0" w:line="163" w:lineRule="exact"/>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40" w:type="dxa"/>
            <w:vAlign w:val="bottom"/>
            <w:gridSpan w:val="5"/>
          </w:tcPr>
          <w:p>
            <w:pPr>
              <w:jc w:val="right"/>
              <w:spacing w:after="0" w:line="163"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4"/>
          </w:tcPr>
          <w:p>
            <w:pPr>
              <w:spacing w:after="0" w:line="176" w:lineRule="exact"/>
              <w:rPr>
                <w:rFonts w:ascii="Arial" w:cs="Arial" w:eastAsia="Arial" w:hAnsi="Arial"/>
                <w:sz w:val="17"/>
                <w:szCs w:val="17"/>
                <w:color w:val="0000EE"/>
                <w:w w:val="95"/>
              </w:rPr>
            </w:pPr>
            <w:hyperlink w:anchor="page15">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7060" w:type="dxa"/>
            <w:vAlign w:val="bottom"/>
            <w:gridSpan w:val="13"/>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15">
              <w:r>
                <w:rPr>
                  <w:rFonts w:ascii="Arial" w:cs="Arial" w:eastAsia="Arial" w:hAnsi="Arial"/>
                  <w:sz w:val="17"/>
                  <w:szCs w:val="17"/>
                  <w:color w:val="0000EE"/>
                  <w:w w:val="94"/>
                </w:rPr>
                <w:t>11</w:t>
              </w:r>
            </w:hyperlink>
          </w:p>
        </w:tc>
      </w:tr>
      <w:tr>
        <w:trPr>
          <w:trHeight w:val="177"/>
        </w:trPr>
        <w:tc>
          <w:tcPr>
            <w:tcW w:w="1160" w:type="dxa"/>
            <w:vAlign w:val="bottom"/>
          </w:tcPr>
          <w:p>
            <w:pPr>
              <w:spacing w:after="0"/>
              <w:rPr>
                <w:sz w:val="15"/>
                <w:szCs w:val="15"/>
                <w:color w:val="auto"/>
              </w:rPr>
            </w:pPr>
          </w:p>
        </w:tc>
        <w:tc>
          <w:tcPr>
            <w:tcW w:w="430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57">
              <w:r>
                <w:rPr>
                  <w:rFonts w:ascii="Arial" w:cs="Arial" w:eastAsia="Arial" w:hAnsi="Arial"/>
                  <w:sz w:val="17"/>
                  <w:szCs w:val="17"/>
                  <w:color w:val="0000EE"/>
                  <w:w w:val="99"/>
                </w:rPr>
                <w:t>Cautionary Note Regarding Forward-Looking Statements</w:t>
              </w:r>
            </w:hyperlink>
          </w:p>
        </w:tc>
        <w:tc>
          <w:tcPr>
            <w:tcW w:w="438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53</w:t>
              </w:r>
            </w:hyperlink>
          </w:p>
        </w:tc>
      </w:tr>
      <w:tr>
        <w:trPr>
          <w:trHeight w:val="177"/>
        </w:trPr>
        <w:tc>
          <w:tcPr>
            <w:tcW w:w="1160" w:type="dxa"/>
            <w:vAlign w:val="bottom"/>
          </w:tcPr>
          <w:p>
            <w:pPr>
              <w:spacing w:after="0"/>
              <w:rPr>
                <w:sz w:val="15"/>
                <w:szCs w:val="15"/>
                <w:color w:val="auto"/>
              </w:rPr>
            </w:pPr>
          </w:p>
        </w:tc>
        <w:tc>
          <w:tcPr>
            <w:tcW w:w="1260" w:type="dxa"/>
            <w:vAlign w:val="bottom"/>
            <w:tcBorders>
              <w:bottom w:val="single" w:sz="8" w:color="0000EE"/>
            </w:tcBorders>
            <w:gridSpan w:val="7"/>
          </w:tcPr>
          <w:p>
            <w:pPr>
              <w:spacing w:after="0" w:line="176" w:lineRule="exact"/>
              <w:rPr>
                <w:rFonts w:ascii="Arial" w:cs="Arial" w:eastAsia="Arial" w:hAnsi="Arial"/>
                <w:sz w:val="17"/>
                <w:szCs w:val="17"/>
                <w:color w:val="0000EE"/>
                <w:w w:val="98"/>
              </w:rPr>
            </w:pPr>
            <w:hyperlink w:anchor="page59">
              <w:r>
                <w:rPr>
                  <w:rFonts w:ascii="Arial" w:cs="Arial" w:eastAsia="Arial" w:hAnsi="Arial"/>
                  <w:sz w:val="17"/>
                  <w:szCs w:val="17"/>
                  <w:color w:val="0000EE"/>
                  <w:w w:val="98"/>
                </w:rPr>
                <w:t>Use of Proceeds</w:t>
              </w:r>
            </w:hyperlink>
          </w:p>
        </w:tc>
        <w:tc>
          <w:tcPr>
            <w:tcW w:w="7420" w:type="dxa"/>
            <w:vAlign w:val="bottom"/>
            <w:gridSpan w:val="1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9">
              <w:r>
                <w:rPr>
                  <w:rFonts w:ascii="Arial" w:cs="Arial" w:eastAsia="Arial" w:hAnsi="Arial"/>
                  <w:sz w:val="17"/>
                  <w:szCs w:val="17"/>
                  <w:color w:val="0000EE"/>
                  <w:w w:val="94"/>
                </w:rPr>
                <w:t>55</w:t>
              </w:r>
            </w:hyperlink>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6"/>
          </w:tcPr>
          <w:p>
            <w:pPr>
              <w:spacing w:after="0" w:line="176" w:lineRule="exact"/>
              <w:rPr>
                <w:rFonts w:ascii="Arial" w:cs="Arial" w:eastAsia="Arial" w:hAnsi="Arial"/>
                <w:sz w:val="17"/>
                <w:szCs w:val="17"/>
                <w:color w:val="0000EE"/>
                <w:w w:val="98"/>
              </w:rPr>
            </w:pPr>
            <w:hyperlink w:anchor="page61">
              <w:r>
                <w:rPr>
                  <w:rFonts w:ascii="Arial" w:cs="Arial" w:eastAsia="Arial" w:hAnsi="Arial"/>
                  <w:sz w:val="17"/>
                  <w:szCs w:val="17"/>
                  <w:color w:val="0000EE"/>
                  <w:w w:val="98"/>
                </w:rPr>
                <w:t>Dividend Policy</w:t>
              </w:r>
            </w:hyperlink>
          </w:p>
        </w:tc>
        <w:tc>
          <w:tcPr>
            <w:tcW w:w="7520" w:type="dxa"/>
            <w:vAlign w:val="bottom"/>
            <w:gridSpan w:val="15"/>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57</w:t>
              </w:r>
            </w:hyperlink>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5"/>
          </w:tcPr>
          <w:p>
            <w:pPr>
              <w:spacing w:after="0" w:line="176" w:lineRule="exact"/>
              <w:rPr>
                <w:rFonts w:ascii="Arial" w:cs="Arial" w:eastAsia="Arial" w:hAnsi="Arial"/>
                <w:sz w:val="17"/>
                <w:szCs w:val="17"/>
                <w:color w:val="0000EE"/>
                <w:w w:val="97"/>
              </w:rPr>
            </w:pPr>
            <w:hyperlink w:anchor="page62">
              <w:r>
                <w:rPr>
                  <w:rFonts w:ascii="Arial" w:cs="Arial" w:eastAsia="Arial" w:hAnsi="Arial"/>
                  <w:sz w:val="17"/>
                  <w:szCs w:val="17"/>
                  <w:color w:val="0000EE"/>
                  <w:w w:val="97"/>
                </w:rPr>
                <w:t>Capitalization</w:t>
              </w:r>
            </w:hyperlink>
          </w:p>
        </w:tc>
        <w:tc>
          <w:tcPr>
            <w:tcW w:w="7660" w:type="dxa"/>
            <w:vAlign w:val="bottom"/>
            <w:gridSpan w:val="16"/>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58</w:t>
              </w:r>
            </w:hyperlink>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6" w:lineRule="exact"/>
              <w:rPr>
                <w:rFonts w:ascii="Arial" w:cs="Arial" w:eastAsia="Arial" w:hAnsi="Arial"/>
                <w:sz w:val="17"/>
                <w:szCs w:val="17"/>
                <w:color w:val="0000EE"/>
                <w:w w:val="95"/>
              </w:rPr>
            </w:pPr>
            <w:hyperlink w:anchor="page64">
              <w:r>
                <w:rPr>
                  <w:rFonts w:ascii="Arial" w:cs="Arial" w:eastAsia="Arial" w:hAnsi="Arial"/>
                  <w:sz w:val="17"/>
                  <w:szCs w:val="17"/>
                  <w:color w:val="0000EE"/>
                  <w:w w:val="95"/>
                </w:rPr>
                <w:t>Dilution</w:t>
              </w:r>
            </w:hyperlink>
          </w:p>
        </w:tc>
        <w:tc>
          <w:tcPr>
            <w:tcW w:w="8120" w:type="dxa"/>
            <w:vAlign w:val="bottom"/>
            <w:gridSpan w:val="19"/>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60</w:t>
              </w:r>
            </w:hyperlink>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w:anchor="page67">
              <w:r>
                <w:rPr>
                  <w:rFonts w:ascii="Arial" w:cs="Arial" w:eastAsia="Arial" w:hAnsi="Arial"/>
                  <w:sz w:val="17"/>
                  <w:szCs w:val="17"/>
                  <w:color w:val="0000EE"/>
                  <w:w w:val="99"/>
                </w:rPr>
                <w:t>Selected Financial Data</w:t>
              </w:r>
            </w:hyperlink>
          </w:p>
        </w:tc>
        <w:tc>
          <w:tcPr>
            <w:tcW w:w="6880" w:type="dxa"/>
            <w:vAlign w:val="bottom"/>
            <w:gridSpan w:val="11"/>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7">
              <w:r>
                <w:rPr>
                  <w:rFonts w:ascii="Arial" w:cs="Arial" w:eastAsia="Arial" w:hAnsi="Arial"/>
                  <w:sz w:val="17"/>
                  <w:szCs w:val="17"/>
                  <w:color w:val="0000EE"/>
                  <w:w w:val="94"/>
                </w:rPr>
                <w:t>63</w:t>
              </w:r>
            </w:hyperlink>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20"/>
          </w:tcPr>
          <w:p>
            <w:pPr>
              <w:spacing w:after="0" w:line="176" w:lineRule="exact"/>
              <w:rPr>
                <w:rFonts w:ascii="Arial" w:cs="Arial" w:eastAsia="Arial" w:hAnsi="Arial"/>
                <w:sz w:val="17"/>
                <w:szCs w:val="17"/>
                <w:color w:val="0000EE"/>
                <w:w w:val="99"/>
              </w:rPr>
            </w:pPr>
            <w:hyperlink w:anchor="page69">
              <w:r>
                <w:rPr>
                  <w:rFonts w:ascii="Arial" w:cs="Arial" w:eastAsia="Arial" w:hAnsi="Arial"/>
                  <w:sz w:val="17"/>
                  <w:szCs w:val="17"/>
                  <w:color w:val="0000EE"/>
                  <w:w w:val="99"/>
                </w:rPr>
                <w:t>Management's Discussion and Analysis of Financial Condition and Results of Operations</w:t>
              </w:r>
            </w:hyperlink>
          </w:p>
        </w:tc>
        <w:tc>
          <w:tcPr>
            <w:tcW w:w="19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9">
              <w:r>
                <w:rPr>
                  <w:rFonts w:ascii="Arial" w:cs="Arial" w:eastAsia="Arial" w:hAnsi="Arial"/>
                  <w:sz w:val="17"/>
                  <w:szCs w:val="17"/>
                  <w:color w:val="0000EE"/>
                  <w:w w:val="94"/>
                </w:rPr>
                <w:t>65</w:t>
              </w:r>
            </w:hyperlink>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84">
              <w:r>
                <w:rPr>
                  <w:rFonts w:ascii="Arial" w:cs="Arial" w:eastAsia="Arial" w:hAnsi="Arial"/>
                  <w:sz w:val="17"/>
                  <w:szCs w:val="17"/>
                  <w:color w:val="0000EE"/>
                </w:rPr>
                <w:t>Business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84">
              <w:r>
                <w:rPr>
                  <w:rFonts w:ascii="Arial" w:cs="Arial" w:eastAsia="Arial" w:hAnsi="Arial"/>
                  <w:sz w:val="17"/>
                  <w:szCs w:val="17"/>
                  <w:color w:val="0000EE"/>
                </w:rPr>
                <w:t>80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Management</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119</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2860" w:type="dxa"/>
            <w:vAlign w:val="bottom"/>
            <w:gridSpan w:val="13"/>
          </w:tcPr>
          <w:p>
            <w:pPr>
              <w:spacing w:after="0" w:line="176" w:lineRule="exact"/>
              <w:rPr>
                <w:rFonts w:ascii="Arial" w:cs="Arial" w:eastAsia="Arial" w:hAnsi="Arial"/>
                <w:sz w:val="17"/>
                <w:szCs w:val="17"/>
                <w:color w:val="0000EE"/>
                <w:w w:val="99"/>
              </w:rPr>
            </w:pPr>
            <w:hyperlink w:anchor="page131">
              <w:r>
                <w:rPr>
                  <w:rFonts w:ascii="Arial" w:cs="Arial" w:eastAsia="Arial" w:hAnsi="Arial"/>
                  <w:sz w:val="17"/>
                  <w:szCs w:val="17"/>
                  <w:color w:val="0000EE"/>
                  <w:w w:val="99"/>
                </w:rPr>
                <w:t>Executive and Director Compensation</w:t>
              </w:r>
            </w:hyperlink>
          </w:p>
        </w:tc>
        <w:tc>
          <w:tcPr>
            <w:tcW w:w="5820" w:type="dxa"/>
            <w:vAlign w:val="bottom"/>
            <w:gridSpan w:val="8"/>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31">
              <w:r>
                <w:rPr>
                  <w:rFonts w:ascii="Arial" w:cs="Arial" w:eastAsia="Arial" w:hAnsi="Arial"/>
                  <w:sz w:val="17"/>
                  <w:szCs w:val="17"/>
                  <w:color w:val="0000EE"/>
                </w:rPr>
                <w:t>127</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39">
              <w:r>
                <w:rPr>
                  <w:rFonts w:ascii="Arial" w:cs="Arial" w:eastAsia="Arial" w:hAnsi="Arial"/>
                  <w:sz w:val="17"/>
                  <w:szCs w:val="17"/>
                  <w:color w:val="0000EE"/>
                  <w:w w:val="99"/>
                </w:rPr>
                <w:t>Certain Relationships and Related Party Transactions</w:t>
              </w:r>
            </w:hyperlink>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39">
              <w:r>
                <w:rPr>
                  <w:rFonts w:ascii="Arial" w:cs="Arial" w:eastAsia="Arial" w:hAnsi="Arial"/>
                  <w:sz w:val="17"/>
                  <w:szCs w:val="17"/>
                  <w:color w:val="0000EE"/>
                </w:rPr>
                <w:t>135</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9"/>
          </w:tcPr>
          <w:p>
            <w:pPr>
              <w:spacing w:after="0" w:line="176" w:lineRule="exact"/>
              <w:rPr>
                <w:rFonts w:ascii="Arial" w:cs="Arial" w:eastAsia="Arial" w:hAnsi="Arial"/>
                <w:sz w:val="17"/>
                <w:szCs w:val="17"/>
                <w:color w:val="0000EE"/>
                <w:w w:val="98"/>
              </w:rPr>
            </w:pPr>
            <w:hyperlink w:anchor="page142">
              <w:r>
                <w:rPr>
                  <w:rFonts w:ascii="Arial" w:cs="Arial" w:eastAsia="Arial" w:hAnsi="Arial"/>
                  <w:sz w:val="17"/>
                  <w:szCs w:val="17"/>
                  <w:color w:val="0000EE"/>
                  <w:w w:val="98"/>
                </w:rPr>
                <w:t>Principal Stockholders</w:t>
              </w:r>
            </w:hyperlink>
          </w:p>
        </w:tc>
        <w:tc>
          <w:tcPr>
            <w:tcW w:w="2360" w:type="dxa"/>
            <w:vAlign w:val="bottom"/>
            <w:gridSpan w:val="7"/>
          </w:tcPr>
          <w:p>
            <w:pPr>
              <w:spacing w:after="0"/>
              <w:rPr>
                <w:sz w:val="15"/>
                <w:szCs w:val="15"/>
                <w:color w:val="auto"/>
              </w:rPr>
            </w:pPr>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42">
              <w:r>
                <w:rPr>
                  <w:rFonts w:ascii="Arial" w:cs="Arial" w:eastAsia="Arial" w:hAnsi="Arial"/>
                  <w:sz w:val="17"/>
                  <w:szCs w:val="17"/>
                  <w:color w:val="0000EE"/>
                </w:rPr>
                <w:t>138</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Description of Capital Stock</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141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Shares Eligible for Future Sale</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147</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w w:val="99"/>
              </w:rPr>
            </w:pPr>
            <w:hyperlink w:anchor="page154">
              <w:r>
                <w:rPr>
                  <w:rFonts w:ascii="Arial" w:cs="Arial" w:eastAsia="Arial" w:hAnsi="Arial"/>
                  <w:sz w:val="17"/>
                  <w:szCs w:val="17"/>
                  <w:color w:val="0000EE"/>
                  <w:w w:val="99"/>
                </w:rPr>
                <w:t>Material U.S. Federal Income Tax Considerations for Non-U.S. Holders</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54">
              <w:r>
                <w:rPr>
                  <w:rFonts w:ascii="Arial" w:cs="Arial" w:eastAsia="Arial" w:hAnsi="Arial"/>
                  <w:sz w:val="17"/>
                  <w:szCs w:val="17"/>
                  <w:color w:val="0000EE"/>
                </w:rPr>
                <w:t>150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rPr>
            </w:pPr>
            <w:hyperlink w:anchor="page158">
              <w:r>
                <w:rPr>
                  <w:rFonts w:ascii="Arial" w:cs="Arial" w:eastAsia="Arial" w:hAnsi="Arial"/>
                  <w:sz w:val="17"/>
                  <w:szCs w:val="17"/>
                  <w:color w:val="0000EE"/>
                </w:rPr>
                <w:t>Underwriting</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58">
              <w:r>
                <w:rPr>
                  <w:rFonts w:ascii="Arial" w:cs="Arial" w:eastAsia="Arial" w:hAnsi="Arial"/>
                  <w:sz w:val="17"/>
                  <w:szCs w:val="17"/>
                  <w:color w:val="0000EE"/>
                </w:rPr>
                <w:t>154</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Legal Matters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160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5"/>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Experts</w:t>
              </w:r>
            </w:hyperlink>
          </w:p>
        </w:tc>
        <w:tc>
          <w:tcPr>
            <w:tcW w:w="7660" w:type="dxa"/>
            <w:vAlign w:val="bottom"/>
            <w:gridSpan w:val="16"/>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160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Where You Can Find More Information</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160</w:t>
              </w:r>
            </w:hyperlink>
          </w:p>
        </w:tc>
      </w:tr>
      <w:tr>
        <w:trPr>
          <w:trHeight w:val="177"/>
        </w:trPr>
        <w:tc>
          <w:tcPr>
            <w:tcW w:w="1160" w:type="dxa"/>
            <w:vAlign w:val="bottom"/>
          </w:tcPr>
          <w:p>
            <w:pPr>
              <w:spacing w:after="0"/>
              <w:rPr>
                <w:sz w:val="15"/>
                <w:szCs w:val="15"/>
                <w:color w:val="auto"/>
              </w:rPr>
            </w:pPr>
          </w:p>
        </w:tc>
        <w:tc>
          <w:tcPr>
            <w:tcW w:w="290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Index to Financial Statements</w:t>
              </w:r>
            </w:hyperlink>
          </w:p>
        </w:tc>
        <w:tc>
          <w:tcPr>
            <w:tcW w:w="578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76" w:lineRule="exact"/>
              <w:rPr>
                <w:rFonts w:ascii="Arial" w:cs="Arial" w:eastAsia="Arial" w:hAnsi="Arial"/>
                <w:sz w:val="17"/>
                <w:szCs w:val="17"/>
                <w:color w:val="0000EE"/>
                <w:w w:val="93"/>
              </w:rPr>
            </w:pPr>
            <w:hyperlink w:anchor="page165">
              <w:r>
                <w:rPr>
                  <w:rFonts w:ascii="Arial" w:cs="Arial" w:eastAsia="Arial" w:hAnsi="Arial"/>
                  <w:sz w:val="17"/>
                  <w:szCs w:val="17"/>
                  <w:color w:val="0000EE"/>
                  <w:w w:val="93"/>
                </w:rPr>
                <w:t>F-1</w:t>
              </w:r>
            </w:hyperlink>
          </w:p>
        </w:tc>
      </w:tr>
      <w:tr>
        <w:trPr>
          <w:trHeight w:val="216"/>
        </w:trPr>
        <w:tc>
          <w:tcPr>
            <w:tcW w:w="1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r>
    </w:tbl>
    <w:p>
      <w:pPr>
        <w:spacing w:after="0" w:line="200" w:lineRule="exact"/>
        <w:rPr>
          <w:sz w:val="20"/>
          <w:szCs w:val="20"/>
          <w:color w:val="auto"/>
        </w:rPr>
      </w:pPr>
    </w:p>
    <w:p>
      <w:pPr>
        <w:spacing w:after="0" w:line="307" w:lineRule="exact"/>
        <w:rPr>
          <w:sz w:val="20"/>
          <w:szCs w:val="20"/>
          <w:color w:val="auto"/>
        </w:rPr>
      </w:pPr>
    </w:p>
    <w:p>
      <w:pPr>
        <w:ind w:right="40" w:firstLine="473"/>
        <w:spacing w:after="0" w:line="259" w:lineRule="auto"/>
        <w:rPr>
          <w:sz w:val="20"/>
          <w:szCs w:val="20"/>
          <w:color w:val="auto"/>
        </w:rPr>
      </w:pPr>
      <w:r>
        <w:rPr>
          <w:rFonts w:ascii="Arial" w:cs="Arial" w:eastAsia="Arial" w:hAnsi="Arial"/>
          <w:sz w:val="17"/>
          <w:szCs w:val="17"/>
          <w:b w:val="1"/>
          <w:bCs w:val="1"/>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116840</wp:posOffset>
            </wp:positionV>
            <wp:extent cx="139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0" w:firstLine="474"/>
        <w:spacing w:after="0" w:line="245" w:lineRule="auto"/>
        <w:rPr>
          <w:sz w:val="20"/>
          <w:szCs w:val="20"/>
          <w:color w:val="auto"/>
        </w:rPr>
      </w:pPr>
      <w:r>
        <w:rPr>
          <w:rFonts w:ascii="Arial" w:cs="Arial" w:eastAsia="Arial" w:hAnsi="Arial"/>
          <w:sz w:val="17"/>
          <w:szCs w:val="17"/>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9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37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firstLine="473"/>
        <w:spacing w:after="0" w:line="248"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"Blueprint," "Blueprint Medicines," "we," the "Company" and similar designations refer to Blueprint Medicines Corporation.</w:t>
      </w: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Blueprint Medicines Overview</w:t>
      </w:r>
    </w:p>
    <w:p>
      <w:pPr>
        <w:spacing w:after="0" w:line="231" w:lineRule="exact"/>
        <w:rPr>
          <w:sz w:val="20"/>
          <w:szCs w:val="20"/>
          <w:color w:val="auto"/>
        </w:rPr>
      </w:pPr>
    </w:p>
    <w:p>
      <w:pPr>
        <w:ind w:left="240" w:firstLine="474"/>
        <w:spacing w:after="0" w:line="244"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 enables us to drug known kinases that have been difficult to inhibit selectively and also identify, characterize and drug novel kinase targets. By focusin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for patients with systemic mastocytosis and defined subsets of patients with gastrointestinal stromal tumors. Our other lead drug candidate is BLU-554, which targets FGFR4, for a defined subset of patients with hepatocellular carcinoma. Both drug candidates have demonstrated proof of concept in pre-clinical models and are expected to enter the clinic in mid-2015. We are also developing a drug candidate to target both RET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376"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Kinases are enzymes that function in many signaling pathways. Abnormal activation of kinases has been shown to drive several key activities of cancer cells, including growth, survival, metabolism, cell motility and angiogenesis. For many of the known kinases, there is a strong link between genetic alterations in a kinase and disease, including specific forms of cancer and rare genetic diseases. Approved kinase drugs, such as imatinib, have demonstrated significant benefit to patients, and small molecule kinase drugs achieved over $14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resistant mutants. Finally, as of 2014, kinase drugs approved by the U.S. Food and Drug Administration, or FDA, target less than five percent of the 518 kinases that constitute the kinome. In addition, th function of the majority of the kinome is unknown. Taken together, this represents a substantial opportunity for developing novel and transformative drugs for cancer, rare genetic diseases and other disease areas.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189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left="240" w:firstLine="474"/>
        <w:spacing w:after="0" w:line="252"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w:t>
      </w:r>
    </w:p>
    <w:p>
      <w:pPr>
        <w:spacing w:after="0" w:line="193" w:lineRule="exact"/>
        <w:rPr>
          <w:sz w:val="20"/>
          <w:szCs w:val="20"/>
          <w:color w:val="auto"/>
        </w:rPr>
      </w:pPr>
    </w:p>
    <w:p>
      <w:pPr>
        <w:ind w:left="240" w:firstLine="470"/>
        <w:spacing w:after="0" w:line="242"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 novel target discovery engine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by Blueprint Medicines' scientists as kinase inhibitors and enriched for drug-like properties. Another aspect of our platform is predicting resistance mutations. While treatment of patients with genomically-defined cancers with a targeted therapy typically results in a significant anti-tumor response, frequently the response is not durable due to mutations that arise in response to therapy. Through our structural and cell biology expertise, we predict mutations in kinases that render the enzyme insensitive to inhibition by an approved drug or compound in development. We have used this process of predicting resistance to inform the design of several of our next generation drugs. Using this platform, we have produced a drug pipeline of several promising drug candidates that target genomically-defined patient subsets.</w:t>
      </w:r>
    </w:p>
    <w:p>
      <w:pPr>
        <w:spacing w:after="0" w:line="206" w:lineRule="exact"/>
        <w:rPr>
          <w:sz w:val="20"/>
          <w:szCs w:val="20"/>
          <w:color w:val="auto"/>
        </w:rPr>
      </w:pPr>
    </w:p>
    <w:p>
      <w:pPr>
        <w:ind w:left="240" w:firstLine="464"/>
        <w:spacing w:after="0" w:line="245" w:lineRule="auto"/>
        <w:rPr>
          <w:sz w:val="20"/>
          <w:szCs w:val="20"/>
          <w:color w:val="auto"/>
        </w:rPr>
      </w:pPr>
      <w:r>
        <w:rPr>
          <w:rFonts w:ascii="Arial" w:cs="Arial" w:eastAsia="Arial" w:hAnsi="Arial"/>
          <w:sz w:val="17"/>
          <w:szCs w:val="17"/>
          <w:color w:val="auto"/>
        </w:rPr>
        <w:t>As we advance our drug candidates through clinical development, we will enrich our Phase 1 trials by selecting patients most likely to respond t our drug candidates to confirm mechanistic proof of concept. We are collaborating with corporate partners to create companion diagnostics and to develop assays to measure target engagement and early response. We expect these approaches to enable early determination of efficacy, allowing fo clear decision points in clinical trials.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drug candidates. Our most advanced drug candidates are summarized in the table below.</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5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ind w:left="1220"/>
              <w:spacing w:after="0" w:line="159" w:lineRule="exact"/>
              <w:rPr>
                <w:sz w:val="20"/>
                <w:szCs w:val="20"/>
                <w:color w:val="auto"/>
              </w:rPr>
            </w:pPr>
            <w:r>
              <w:rPr>
                <w:rFonts w:ascii="Arial" w:cs="Arial" w:eastAsia="Arial" w:hAnsi="Arial"/>
                <w:sz w:val="14"/>
                <w:szCs w:val="14"/>
                <w:b w:val="1"/>
                <w:bCs w:val="1"/>
                <w:color w:val="auto"/>
              </w:rPr>
              <w:t>Stage of</w:t>
            </w:r>
          </w:p>
        </w:tc>
      </w:tr>
      <w:tr>
        <w:trPr>
          <w:trHeight w:val="190"/>
        </w:trPr>
        <w:tc>
          <w:tcPr>
            <w:tcW w:w="2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Drug Candidates</w:t>
            </w:r>
          </w:p>
        </w:tc>
        <w:tc>
          <w:tcPr>
            <w:tcW w:w="24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Genomic Drivers</w:t>
            </w:r>
          </w:p>
        </w:tc>
        <w:tc>
          <w:tcPr>
            <w:tcW w:w="32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Initial Diseases</w:t>
            </w: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Development</w:t>
            </w:r>
          </w:p>
        </w:tc>
      </w:tr>
      <w:tr>
        <w:trPr>
          <w:trHeight w:val="160"/>
        </w:trPr>
        <w:tc>
          <w:tcPr>
            <w:tcW w:w="580" w:type="dxa"/>
            <w:vAlign w:val="bottom"/>
          </w:tcPr>
          <w:p>
            <w:pPr>
              <w:ind w:left="20"/>
              <w:spacing w:after="0"/>
              <w:rPr>
                <w:sz w:val="20"/>
                <w:szCs w:val="20"/>
                <w:color w:val="auto"/>
              </w:rPr>
            </w:pPr>
            <w:r>
              <w:rPr>
                <w:rFonts w:ascii="Arial" w:cs="Arial" w:eastAsia="Arial" w:hAnsi="Arial"/>
                <w:sz w:val="14"/>
                <w:szCs w:val="14"/>
                <w:color w:val="auto"/>
                <w:w w:val="97"/>
              </w:rPr>
              <w:t>BLU-285</w:t>
            </w:r>
          </w:p>
        </w:tc>
        <w:tc>
          <w:tcPr>
            <w:tcW w:w="2360" w:type="dxa"/>
            <w:vAlign w:val="bottom"/>
          </w:tcPr>
          <w:p>
            <w:pPr>
              <w:ind w:left="20"/>
              <w:spacing w:after="0"/>
              <w:rPr>
                <w:sz w:val="20"/>
                <w:szCs w:val="20"/>
                <w:color w:val="auto"/>
              </w:rPr>
            </w:pPr>
            <w:r>
              <w:rPr>
                <w:rFonts w:ascii="Arial" w:cs="Arial" w:eastAsia="Arial" w:hAnsi="Arial"/>
                <w:sz w:val="14"/>
                <w:szCs w:val="14"/>
                <w:color w:val="auto"/>
              </w:rPr>
              <w:t>(KIT Exon 17 inhibitor)</w:t>
            </w:r>
          </w:p>
        </w:tc>
        <w:tc>
          <w:tcPr>
            <w:tcW w:w="2400" w:type="dxa"/>
            <w:vAlign w:val="bottom"/>
          </w:tcPr>
          <w:p>
            <w:pPr>
              <w:spacing w:after="0"/>
              <w:rPr>
                <w:sz w:val="20"/>
                <w:szCs w:val="20"/>
                <w:color w:val="auto"/>
              </w:rPr>
            </w:pPr>
            <w:r>
              <w:rPr>
                <w:rFonts w:ascii="Arial" w:cs="Arial" w:eastAsia="Arial" w:hAnsi="Arial"/>
                <w:sz w:val="14"/>
                <w:szCs w:val="14"/>
                <w:color w:val="auto"/>
              </w:rPr>
              <w:t>KIT D816V</w:t>
            </w:r>
          </w:p>
        </w:tc>
        <w:tc>
          <w:tcPr>
            <w:tcW w:w="3280" w:type="dxa"/>
            <w:vAlign w:val="bottom"/>
          </w:tcPr>
          <w:p>
            <w:pPr>
              <w:ind w:left="540"/>
              <w:spacing w:after="0"/>
              <w:rPr>
                <w:sz w:val="20"/>
                <w:szCs w:val="20"/>
                <w:color w:val="auto"/>
              </w:rPr>
            </w:pPr>
            <w:r>
              <w:rPr>
                <w:rFonts w:ascii="Arial" w:cs="Arial" w:eastAsia="Arial" w:hAnsi="Arial"/>
                <w:sz w:val="14"/>
                <w:szCs w:val="14"/>
                <w:color w:val="auto"/>
              </w:rPr>
              <w:t>Systemic Mastocytosis, or SM</w:t>
            </w:r>
          </w:p>
        </w:tc>
        <w:tc>
          <w:tcPr>
            <w:tcW w:w="2680" w:type="dxa"/>
            <w:vAlign w:val="bottom"/>
          </w:tcPr>
          <w:p>
            <w:pPr>
              <w:ind w:left="180"/>
              <w:spacing w:after="0"/>
              <w:rPr>
                <w:sz w:val="20"/>
                <w:szCs w:val="20"/>
                <w:color w:val="auto"/>
              </w:rPr>
            </w:pPr>
            <w:r>
              <w:rPr>
                <w:rFonts w:ascii="Arial" w:cs="Arial" w:eastAsia="Arial" w:hAnsi="Arial"/>
                <w:sz w:val="14"/>
                <w:szCs w:val="14"/>
                <w:color w:val="auto"/>
              </w:rPr>
              <w:t>Investigational New Drug application, or</w:t>
            </w:r>
          </w:p>
        </w:tc>
      </w:tr>
      <w:tr>
        <w:trPr>
          <w:trHeight w:val="174"/>
        </w:trPr>
        <w:tc>
          <w:tcPr>
            <w:tcW w:w="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IND, enabling activities</w:t>
            </w:r>
          </w:p>
        </w:tc>
      </w:tr>
      <w:tr>
        <w:trPr>
          <w:trHeight w:val="188"/>
        </w:trPr>
        <w:tc>
          <w:tcPr>
            <w:tcW w:w="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Gastrointestinal Stromal Tumors, or GIST</w:t>
            </w:r>
          </w:p>
        </w:tc>
        <w:tc>
          <w:tcPr>
            <w:tcW w:w="2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IND-enabling activities</w:t>
            </w:r>
          </w:p>
        </w:tc>
      </w:tr>
      <w:tr>
        <w:trPr>
          <w:trHeight w:val="178"/>
        </w:trPr>
        <w:tc>
          <w:tcPr>
            <w:tcW w:w="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KIT Exon 17 mutants</w:t>
            </w: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GIST</w:t>
            </w:r>
          </w:p>
        </w:tc>
        <w:tc>
          <w:tcPr>
            <w:tcW w:w="2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IND-enabling activities</w:t>
            </w:r>
          </w:p>
        </w:tc>
      </w:tr>
      <w:tr>
        <w:trPr>
          <w:trHeight w:val="177"/>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7"/>
              </w:rPr>
              <w:t>BLU-554</w:t>
            </w: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(FGFR4 inhibitor)</w:t>
            </w: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Aberrant FGFR4 signaling</w:t>
            </w: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Hepatocellular Carcinoma, or HCC</w:t>
            </w:r>
          </w:p>
        </w:tc>
        <w:tc>
          <w:tcPr>
            <w:tcW w:w="2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IND-enabling activities</w:t>
            </w:r>
          </w:p>
        </w:tc>
      </w:tr>
      <w:tr>
        <w:trPr>
          <w:trHeight w:val="160"/>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RET fusions and predicted RET resistant</w:t>
            </w:r>
          </w:p>
        </w:tc>
        <w:tc>
          <w:tcPr>
            <w:tcW w:w="2400" w:type="dxa"/>
            <w:vAlign w:val="bottom"/>
          </w:tcPr>
          <w:p>
            <w:pPr>
              <w:spacing w:after="0"/>
              <w:rPr>
                <w:sz w:val="20"/>
                <w:szCs w:val="20"/>
                <w:color w:val="auto"/>
              </w:rPr>
            </w:pPr>
            <w:r>
              <w:rPr>
                <w:rFonts w:ascii="Arial" w:cs="Arial" w:eastAsia="Arial" w:hAnsi="Arial"/>
                <w:sz w:val="14"/>
                <w:szCs w:val="14"/>
                <w:color w:val="auto"/>
              </w:rPr>
              <w:t>RET fusions*</w:t>
            </w:r>
          </w:p>
        </w:tc>
        <w:tc>
          <w:tcPr>
            <w:tcW w:w="3280" w:type="dxa"/>
            <w:vAlign w:val="bottom"/>
          </w:tcPr>
          <w:p>
            <w:pPr>
              <w:ind w:left="540"/>
              <w:spacing w:after="0"/>
              <w:rPr>
                <w:sz w:val="20"/>
                <w:szCs w:val="20"/>
                <w:color w:val="auto"/>
              </w:rPr>
            </w:pPr>
            <w:r>
              <w:rPr>
                <w:rFonts w:ascii="Arial" w:cs="Arial" w:eastAsia="Arial" w:hAnsi="Arial"/>
                <w:sz w:val="14"/>
                <w:szCs w:val="14"/>
                <w:color w:val="auto"/>
              </w:rPr>
              <w:t>Non-small cell lung cancer Other solid</w:t>
            </w:r>
          </w:p>
        </w:tc>
        <w:tc>
          <w:tcPr>
            <w:tcW w:w="2680" w:type="dxa"/>
            <w:vAlign w:val="bottom"/>
          </w:tcPr>
          <w:p>
            <w:pPr>
              <w:ind w:left="180"/>
              <w:spacing w:after="0"/>
              <w:rPr>
                <w:sz w:val="20"/>
                <w:szCs w:val="20"/>
                <w:color w:val="auto"/>
              </w:rPr>
            </w:pPr>
            <w:r>
              <w:rPr>
                <w:rFonts w:ascii="Arial" w:cs="Arial" w:eastAsia="Arial" w:hAnsi="Arial"/>
                <w:sz w:val="14"/>
                <w:szCs w:val="14"/>
                <w:color w:val="auto"/>
              </w:rPr>
              <w:t>Lead optimization</w:t>
            </w:r>
          </w:p>
        </w:tc>
      </w:tr>
      <w:tr>
        <w:trPr>
          <w:trHeight w:val="174"/>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mutants</w:t>
            </w:r>
          </w:p>
        </w:tc>
        <w:tc>
          <w:tcPr>
            <w:tcW w:w="23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tumors</w:t>
            </w:r>
          </w:p>
        </w:tc>
        <w:tc>
          <w:tcPr>
            <w:tcW w:w="2680" w:type="dxa"/>
            <w:vAlign w:val="bottom"/>
            <w:tcBorders>
              <w:bottom w:val="single" w:sz="8" w:color="auto"/>
            </w:tcBorders>
          </w:tcPr>
          <w:p>
            <w:pPr>
              <w:spacing w:after="0"/>
              <w:rPr>
                <w:sz w:val="15"/>
                <w:szCs w:val="15"/>
                <w:color w:val="auto"/>
              </w:rPr>
            </w:pPr>
          </w:p>
        </w:tc>
      </w:tr>
    </w:tbl>
    <w:p>
      <w:pPr>
        <w:spacing w:after="0" w:line="214" w:lineRule="exact"/>
        <w:rPr>
          <w:sz w:val="20"/>
          <w:szCs w:val="20"/>
          <w:color w:val="auto"/>
        </w:rPr>
      </w:pPr>
    </w:p>
    <w:p>
      <w:pPr>
        <w:ind w:left="760" w:right="20" w:hanging="528"/>
        <w:spacing w:after="0" w:line="245"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 encodes the kinase domain is joined to part of another gene. RET fusion proteins are always active and are thought to be drivers in several cancers.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31" w:lineRule="exact"/>
        <w:rPr>
          <w:sz w:val="20"/>
          <w:szCs w:val="20"/>
          <w:color w:val="auto"/>
        </w:rPr>
      </w:pPr>
    </w:p>
    <w:p>
      <w:pPr>
        <w:ind w:left="240" w:firstLine="474"/>
        <w:spacing w:after="0" w:line="252"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 of the tyrosine kinase domain. BLU-285 also potently and selectively inhibits PDGFRa D842V. Due to the high degree of structural similarity 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523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52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40"/>
        <w:spacing w:after="0" w:line="261" w:lineRule="auto"/>
        <w:rPr>
          <w:sz w:val="20"/>
          <w:szCs w:val="20"/>
          <w:color w:val="auto"/>
        </w:rPr>
      </w:pPr>
      <w:r>
        <w:rPr>
          <w:rFonts w:ascii="Arial" w:cs="Arial" w:eastAsia="Arial" w:hAnsi="Arial"/>
          <w:sz w:val="17"/>
          <w:szCs w:val="17"/>
          <w:color w:val="auto"/>
        </w:rPr>
        <w:t>the kinase domains of KIT and PDGFRa, BLU-285 is able to inhibit both KIT Exon 17 mutants and the PDGFRa D842V mutant with minimal inhibition other kinases. BLU-285 is a highly targeted therapeutic candidate for genomically-selected patients with diseases driven by these mutations, including SM and genomically-defined patient subsets within GIST, which are KIT and PDGFR mediated diseases.</w:t>
      </w:r>
    </w:p>
    <w:p>
      <w:pPr>
        <w:spacing w:after="0" w:line="187" w:lineRule="exact"/>
        <w:rPr>
          <w:sz w:val="20"/>
          <w:szCs w:val="20"/>
          <w:color w:val="auto"/>
        </w:rPr>
      </w:pPr>
    </w:p>
    <w:p>
      <w:pPr>
        <w:ind w:left="240" w:right="220" w:firstLine="474"/>
        <w:spacing w:after="0" w:line="245"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Imanitib also inhibits PDGFR, which is a driver of disease in a subset of GIST. However, a meaningful percentage of patients harbor mutations in KIT and PDGFR that are not targeted by imatinib and fail to respond to treatment with the drug. We plan to initially develop BLU-285 for targeted patient populations that harbor these mutations and currently lack adequate treatments.</w:t>
      </w:r>
    </w:p>
    <w:p>
      <w:pPr>
        <w:spacing w:after="0" w:line="198"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For SM, we demonstrated significant anti-tumor efficacy of BLU-285 in a mouse mastocytoma xenograft model where tumor growth is driven by KIT Exon 17 mutation. For GIST, we also demonstrated significant anti-tumor efficacy with BLU-285 in an imanitib resistant patient-derived xenograft model with a KIT Exon 17 resistance mutation, which is a model believed to be highly predictive of clinical response. We are completing the 28-day Good Laboratory Practice, or GLP, toxicology studies, which are expected to identify the dose limiting toxicity and anticipated first-in-human dose for BLU-285.</w:t>
      </w:r>
    </w:p>
    <w:p>
      <w:pPr>
        <w:spacing w:after="0" w:line="199"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color w:val="auto"/>
        </w:rPr>
        <w:t>We plan to file two INDs for BLU-285, one in SM and one in GIST, in mid-2015. Our Phase 1 clinical trials in these indications will test the safety and tolerability of BLU-285 in multiple ascending doses with the goal of establishing a maximum tolerated dose, or MTD, or a recommended dose if th MTD is not achieved. All patients in the SM trial will be tested retrospectively for KIT D816V mutational status. Patients in the GIST trial will be tested retrospectively for both KIT Exon 17 mutations and PDGFRa D842V. Once the MTD is reached, or a recommended dose is established, we will open expansion cohorts with genomically-selected patients.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namely FGFR1-3. Aberrantly active FGFR4 signaling is a driver of disease in a subset of patient with HCC, a disease with high unmet need and no approved genomically-targeted therapies. We plan to initially develop BLU-554 for a genomically-defined patient population within HCC with aberrantly active FGFR4 signaling.</w:t>
      </w:r>
    </w:p>
    <w:p>
      <w:pPr>
        <w:spacing w:after="0" w:line="198" w:lineRule="exact"/>
        <w:rPr>
          <w:sz w:val="20"/>
          <w:szCs w:val="20"/>
          <w:color w:val="auto"/>
        </w:rPr>
      </w:pPr>
    </w:p>
    <w:p>
      <w:pPr>
        <w:ind w:left="240" w:right="40" w:firstLine="474"/>
        <w:spacing w:after="0" w:line="243" w:lineRule="auto"/>
        <w:rPr>
          <w:sz w:val="20"/>
          <w:szCs w:val="20"/>
          <w:color w:val="auto"/>
        </w:rPr>
      </w:pPr>
      <w:r>
        <w:rPr>
          <w:rFonts w:ascii="Arial" w:cs="Arial" w:eastAsia="Arial" w:hAnsi="Arial"/>
          <w:sz w:val="17"/>
          <w:szCs w:val="17"/>
          <w:color w:val="auto"/>
        </w:rPr>
        <w:t>BLU-554 has shown proof of concept in several different pre-clinical models of HCC with aberrantly active FGFR4 signaling. The administration of BLU-554 in an HCC cell-line xenograft model resulted in robust dose-dependent tumor growth inhibition. At the highest dose, BLU-554 was well-tolerated and induced complete remission in a subset of mice for at least 30 days after cessation of treatment. Further, in a patient-derived HCC xenograft model, which we believe to be highly predictive of clinical response, treatment with BLU-554 led to dose-dependent tumor growth inhibition. We are completing the 28-day GLP toxicology studies, which are expected to identify the dose limiting toxicity and anticipated first-in-human dose for BLU-554.</w:t>
      </w:r>
    </w:p>
    <w:p>
      <w:pPr>
        <w:spacing w:after="0" w:line="202"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IND-enabling studies are nearly completed, and we anticipate our Phase 1 clinical trial will start in mid-2015. Our Phase 1 clinical trial in patients with HCC will test the safety and tolerability of BLU-554 in multiple ascending doses with the goal of establishing an MTD or a recommended dose if th MTD is not achieved. Once the MTD is reached, or a recommended dose is established, we will open expansion cohorts with genomically-selected patients.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289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628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 suggests that RET is a driver of disease in a broad set of cancers including non-small cell lung cancer, and cancers of the thyroid, colon and breast.</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Team</w:t>
      </w:r>
    </w:p>
    <w:p>
      <w:pPr>
        <w:spacing w:after="0" w:line="231" w:lineRule="exact"/>
        <w:rPr>
          <w:sz w:val="20"/>
          <w:szCs w:val="20"/>
          <w:color w:val="auto"/>
        </w:rPr>
      </w:pPr>
    </w:p>
    <w:p>
      <w:pPr>
        <w:ind w:left="240" w:firstLine="470"/>
        <w:spacing w:after="0" w:line="243" w:lineRule="auto"/>
        <w:rPr>
          <w:sz w:val="20"/>
          <w:szCs w:val="20"/>
          <w:color w:val="auto"/>
        </w:rPr>
      </w:pPr>
      <w:r>
        <w:rPr>
          <w:rFonts w:ascii="Arial" w:cs="Arial" w:eastAsia="Arial" w:hAnsi="Arial"/>
          <w:sz w:val="17"/>
          <w:szCs w:val="17"/>
          <w:color w:val="auto"/>
        </w:rPr>
        <w:t>To execute on this opportunity, we assembled an experienced management team, board of directors and scientific founders who bring extensive industry experience to the Company. Our management team has broad capabilities and successful track records in oncology and rare genetic disease through previous experience at Algeta ASA, Genzyme 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 the lives of patients while building a fully-integrated biopharmaceutical company.</w:t>
      </w:r>
    </w:p>
    <w:p>
      <w:pPr>
        <w:spacing w:after="0" w:line="201" w:lineRule="exact"/>
        <w:rPr>
          <w:sz w:val="20"/>
          <w:szCs w:val="20"/>
          <w:color w:val="auto"/>
        </w:rPr>
      </w:pPr>
    </w:p>
    <w:p>
      <w:pPr>
        <w:ind w:left="240" w:right="640" w:firstLine="474"/>
        <w:spacing w:after="0" w:line="252" w:lineRule="auto"/>
        <w:rPr>
          <w:sz w:val="20"/>
          <w:szCs w:val="20"/>
          <w:color w:val="auto"/>
        </w:rPr>
      </w:pPr>
      <w:r>
        <w:rPr>
          <w:rFonts w:ascii="Arial" w:cs="Arial" w:eastAsia="Arial" w:hAnsi="Arial"/>
          <w:sz w:val="17"/>
          <w:szCs w:val="17"/>
          <w:color w:val="auto"/>
        </w:rPr>
        <w:t>Our investors include funds managed by Fidelity Biosciences and Third Rock Ventures as well as other blue-chip public investors in the biopharmaceutical space.</w:t>
      </w:r>
    </w:p>
    <w:p>
      <w:pPr>
        <w:spacing w:after="0" w:line="369"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to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left="240" w:right="82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86"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 </w:t>
      </w:r>
      <w:r>
        <w:rPr>
          <w:rFonts w:ascii="Arial" w:cs="Arial" w:eastAsia="Arial" w:hAnsi="Arial"/>
          <w:sz w:val="17"/>
          <w:szCs w:val="17"/>
          <w:color w:val="auto"/>
        </w:rPr>
        <w:t>Maintaining intense focus on improving patients' lives.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280" w:right="740" w:hanging="524"/>
        <w:spacing w:after="0" w:line="27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53"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 </w:t>
      </w:r>
      <w:r>
        <w:rPr>
          <w:rFonts w:ascii="Arial" w:cs="Arial" w:eastAsia="Arial" w:hAnsi="Arial"/>
          <w:sz w:val="17"/>
          <w:szCs w:val="17"/>
          <w:color w:val="auto"/>
        </w:rPr>
        <w:t>Pursuing transformative therapies that we believe will make a difference.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905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90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strategy was created to enable us to achieve our mission. The key tenants of our strategy include the following:</w:t>
      </w:r>
    </w:p>
    <w:p>
      <w:pPr>
        <w:spacing w:after="0" w:line="204" w:lineRule="exact"/>
        <w:rPr>
          <w:sz w:val="20"/>
          <w:szCs w:val="20"/>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our lead drug candidates, BLU-285 and BLU-554, through clinical development.</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Build a pipeline of kinase drugs for genomically-defined drivers of disease.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Continuously invest in our proprietary platform to ensure future growth.</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Maintain the Blueprint culture as we grow our business.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Evaluate strategic collaborations to maximize value.</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240" w:firstLine="474"/>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93" w:lineRule="exact"/>
        <w:rPr>
          <w:sz w:val="20"/>
          <w:szCs w:val="20"/>
          <w:color w:val="auto"/>
        </w:rPr>
      </w:pPr>
    </w:p>
    <w:p>
      <w:pPr>
        <w:ind w:left="1280" w:right="1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anticipate that we will incur continued losses for the foreseeable future.</w:t>
      </w:r>
    </w:p>
    <w:p>
      <w:pPr>
        <w:spacing w:after="0" w:line="192" w:lineRule="exact"/>
        <w:rPr>
          <w:rFonts w:ascii="Arial" w:cs="Arial" w:eastAsia="Arial" w:hAnsi="Arial"/>
          <w:sz w:val="17"/>
          <w:szCs w:val="17"/>
          <w:color w:val="auto"/>
        </w:rPr>
      </w:pPr>
    </w:p>
    <w:p>
      <w:pPr>
        <w:ind w:left="1280" w:right="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79" w:lineRule="exact"/>
        <w:rPr>
          <w:rFonts w:ascii="Arial" w:cs="Arial" w:eastAsia="Arial" w:hAnsi="Arial"/>
          <w:sz w:val="17"/>
          <w:szCs w:val="17"/>
          <w:color w:val="auto"/>
        </w:rPr>
      </w:pPr>
    </w:p>
    <w:p>
      <w:pPr>
        <w:ind w:left="1280" w:right="22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p>
    <w:p>
      <w:pPr>
        <w:spacing w:after="0" w:line="185"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approach to the discovery and development of drug candidates that inhibit kinases is unproven, and we do not know whether we wil be able to develop any drugs of commercial value.</w:t>
      </w:r>
    </w:p>
    <w:p>
      <w:pPr>
        <w:spacing w:after="0" w:line="192"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Genomically defined diseases may have relatively low prevalence and it may be difficult to identify patients with the genomic driver of th disease, which may lead to delays in enrollment for our trials.</w:t>
      </w:r>
    </w:p>
    <w:p>
      <w:pPr>
        <w:spacing w:after="0" w:line="179"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spacing w:after="0" w:line="179" w:lineRule="exact"/>
        <w:rPr>
          <w:rFonts w:ascii="Arial" w:cs="Arial" w:eastAsia="Arial" w:hAnsi="Arial"/>
          <w:sz w:val="17"/>
          <w:szCs w:val="17"/>
          <w:color w:val="auto"/>
        </w:rPr>
      </w:pPr>
    </w:p>
    <w:p>
      <w:pPr>
        <w:ind w:left="1280" w:right="6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both for our drug candidates and for the related companion diagnostics, we will not be able to commercialize, or will be delayed in commercializing, our product candidates, and our ability to generate revenue will be materially impaired.</w:t>
      </w:r>
    </w:p>
    <w:p>
      <w:pPr>
        <w:spacing w:after="0" w:line="198"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drug candidates may cause undesirable side effects that could delay or prevent their regulatory approval, limit the commercial profil of an approved label, or result in significant negative consequences following marketing approval, if any.</w:t>
      </w:r>
    </w:p>
    <w:p>
      <w:pPr>
        <w:spacing w:after="0" w:line="179" w:lineRule="exact"/>
        <w:rPr>
          <w:rFonts w:ascii="Arial" w:cs="Arial" w:eastAsia="Arial" w:hAnsi="Arial"/>
          <w:sz w:val="17"/>
          <w:szCs w:val="17"/>
          <w:color w:val="auto"/>
        </w:rPr>
      </w:pPr>
    </w:p>
    <w:p>
      <w:pPr>
        <w:jc w:val="both"/>
        <w:ind w:left="1280" w:right="42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498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549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5" w:lineRule="exact"/>
        <w:rPr>
          <w:rFonts w:ascii="Arial" w:cs="Arial" w:eastAsia="Arial" w:hAnsi="Arial"/>
          <w:sz w:val="17"/>
          <w:szCs w:val="17"/>
          <w:color w:val="auto"/>
        </w:rPr>
      </w:pPr>
    </w:p>
    <w:p>
      <w:pPr>
        <w:jc w:val="both"/>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adequately protect our proprietary technology or obtain and maintain patent protection for our technology and drugs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for as long as we continue to be an "emerging growth company," we are permitted to, and intend to, rely on exemptions from certain disclosure requirements. In particular, we have provided only two years of audited financial statements and we have not included all of the executive compensation related information that would be required in this prospectus if we were not an emerging growth company. In addition, the JOBS Act provides that an "emergin growth company" can take advantage of an extended transition period for complying with new or revised accounting standards, delaying the adoption of these accounting standards until they would apply to private companies. However, we are electing not to take advantage of such extended transitio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 complying with new or revised accounting standards is irrevocable. We could be an "emerging growth company" for up to five years from completion o our initial public offering, or until the earliest of (i) the last day of the first fiscal year in which our annual gross revenues exceed $1 billion, (ii) the date that we become a "large accelerated filer" as defined in Rule 12b-2 under the Securities Exchange Act of 1934, as amended, or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8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Corporate History and Information</w:t>
      </w:r>
    </w:p>
    <w:p>
      <w:pPr>
        <w:spacing w:after="0" w:line="231" w:lineRule="exact"/>
        <w:rPr>
          <w:sz w:val="20"/>
          <w:szCs w:val="20"/>
          <w:color w:val="auto"/>
        </w:rPr>
      </w:pPr>
    </w:p>
    <w:p>
      <w:pPr>
        <w:ind w:left="240" w:right="100" w:firstLine="474"/>
        <w:spacing w:after="0" w:line="245" w:lineRule="auto"/>
        <w:rPr>
          <w:sz w:val="20"/>
          <w:szCs w:val="20"/>
          <w:color w:val="auto"/>
        </w:rPr>
      </w:pPr>
      <w:r>
        <w:rPr>
          <w:rFonts w:ascii="Arial" w:cs="Arial" w:eastAsia="Arial" w:hAnsi="Arial"/>
          <w:sz w:val="17"/>
          <w:szCs w:val="17"/>
          <w:color w:val="auto"/>
        </w:rPr>
        <w:t>We were incorporated in Delaware in October 2008 under the name ImmunoCo, Inc. In May 2010, we changed our name to Hoyle Pharmaceuticals, Inc., and in June 2011, we changed our name again to Blueprint Medicines Corporation. Our principal executive offices are located 215 First Street, Cambridge, Massachusetts 02142, and our telephone number is (617) 374-7580. Our website address is http://www.blueprintmedicines.com. The information contained in, or that can be accessed through, our website is not part of this prospectus.</w:t>
      </w:r>
    </w:p>
    <w:p>
      <w:pPr>
        <w:spacing w:after="0" w:line="198"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 xml:space="preserve">We are filing various U.S. federal trademark registrations and applications, and we own unregistered trademarks and servicemarks, including BLUEPRINT MEDICINES and our corporate logo. All other trademarks or trade names referred to in this prospectus are the property of their respectiv owners. Solely for convenience, the trademarks and trade names in this prospectus may be referred to without the ® and </w:t>
      </w:r>
      <w:r>
        <w:rPr>
          <w:rFonts w:ascii="Arial" w:cs="Arial" w:eastAsia="Arial" w:hAnsi="Arial"/>
          <w:sz w:val="17"/>
          <w:szCs w:val="17"/>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 This prospectus also includes other trademarks of other persons.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394970</wp:posOffset>
            </wp:positionV>
            <wp:extent cx="7314565" cy="6280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28078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Common stock offered by us</w:t>
      </w:r>
    </w:p>
    <w:p>
      <w:pPr>
        <w:spacing w:after="0" w:line="211" w:lineRule="exact"/>
        <w:rPr>
          <w:sz w:val="20"/>
          <w:szCs w:val="20"/>
          <w:color w:val="auto"/>
        </w:rPr>
      </w:pPr>
    </w:p>
    <w:p>
      <w:pPr>
        <w:ind w:left="1560" w:right="280" w:hanging="174"/>
        <w:spacing w:after="0" w:line="252" w:lineRule="auto"/>
        <w:rPr>
          <w:sz w:val="20"/>
          <w:szCs w:val="20"/>
          <w:color w:val="auto"/>
        </w:rPr>
      </w:pPr>
      <w:r>
        <w:rPr>
          <w:rFonts w:ascii="Arial" w:cs="Arial" w:eastAsia="Arial" w:hAnsi="Arial"/>
          <w:sz w:val="17"/>
          <w:szCs w:val="17"/>
          <w:color w:val="auto"/>
        </w:rPr>
        <w:t>Common stock to be outstanding after this offering</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Option to purchase additional shares</w:t>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THE OFFERING</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shares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an option for a period of 30 days to purchase up</w:t>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additional shares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this offering will be approximately</w:t>
      </w:r>
    </w:p>
    <w:p>
      <w:pPr>
        <w:spacing w:after="0" w:line="1" w:lineRule="exact"/>
        <w:rPr>
          <w:sz w:val="20"/>
          <w:szCs w:val="20"/>
          <w:color w:val="auto"/>
        </w:rPr>
      </w:pPr>
    </w:p>
    <w:p>
      <w:pPr>
        <w:ind w:right="1260"/>
        <w:spacing w:after="0" w:line="241" w:lineRule="auto"/>
        <w:rPr>
          <w:sz w:val="20"/>
          <w:szCs w:val="20"/>
          <w:color w:val="auto"/>
        </w:rPr>
      </w:pPr>
      <w:r>
        <w:rPr>
          <w:rFonts w:ascii="Arial" w:cs="Arial" w:eastAsia="Arial" w:hAnsi="Arial"/>
          <w:sz w:val="17"/>
          <w:szCs w:val="17"/>
          <w:color w:val="auto"/>
        </w:rPr>
        <w:t>$ million, or approximately $ million if the underwriters fully exercise their option to purchase additional shares, at an assumed initial public</w:t>
      </w:r>
    </w:p>
    <w:p>
      <w:pPr>
        <w:spacing w:after="0" w:line="1" w:lineRule="exact"/>
        <w:rPr>
          <w:sz w:val="20"/>
          <w:szCs w:val="20"/>
          <w:color w:val="auto"/>
        </w:rPr>
      </w:pPr>
    </w:p>
    <w:p>
      <w:pPr>
        <w:ind w:right="1080"/>
        <w:spacing w:after="0" w:line="241" w:lineRule="auto"/>
        <w:rPr>
          <w:sz w:val="20"/>
          <w:szCs w:val="20"/>
          <w:color w:val="auto"/>
        </w:rPr>
      </w:pPr>
      <w:r>
        <w:rPr>
          <w:rFonts w:ascii="Arial" w:cs="Arial" w:eastAsia="Arial" w:hAnsi="Arial"/>
          <w:sz w:val="17"/>
          <w:szCs w:val="17"/>
          <w:color w:val="auto"/>
        </w:rPr>
        <w:t>offering price of $ per share, the midpoint of the estimated price range set forth on the cover page of this prospectus, after deducting the estimated underwriting discounts and commissions and estimated offering expenses payable by us. We intend to use the net proceeds from this offering as follows:</w:t>
      </w:r>
    </w:p>
    <w:p>
      <w:pPr>
        <w:spacing w:after="0" w:line="1"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to fund our Phase 1 clinical trials of BLU-285 in SM and</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color w:val="auto"/>
        </w:rPr>
        <w:t>GIST; approximately $</w:t>
      </w:r>
      <w:r>
        <w:rPr>
          <w:sz w:val="20"/>
          <w:szCs w:val="20"/>
          <w:color w:val="auto"/>
        </w:rPr>
        <w:tab/>
      </w:r>
      <w:r>
        <w:rPr>
          <w:rFonts w:ascii="Arial" w:cs="Arial" w:eastAsia="Arial" w:hAnsi="Arial"/>
          <w:sz w:val="17"/>
          <w:szCs w:val="17"/>
          <w:color w:val="auto"/>
        </w:rPr>
        <w:t>to fund our Phase 1 clinical trial of BLU-554 in</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color w:val="auto"/>
        </w:rPr>
        <w:t>HCC; approximately $</w:t>
      </w:r>
      <w:r>
        <w:rPr>
          <w:sz w:val="20"/>
          <w:szCs w:val="20"/>
          <w:color w:val="auto"/>
        </w:rPr>
        <w:tab/>
      </w:r>
      <w:r>
        <w:rPr>
          <w:rFonts w:ascii="Arial" w:cs="Arial" w:eastAsia="Arial" w:hAnsi="Arial"/>
          <w:sz w:val="16"/>
          <w:szCs w:val="16"/>
          <w:color w:val="auto"/>
        </w:rPr>
        <w:t>to fund new and ongoing research activities</w:t>
      </w:r>
    </w:p>
    <w:p>
      <w:pPr>
        <w:spacing w:after="0" w:line="1" w:lineRule="exact"/>
        <w:rPr>
          <w:sz w:val="20"/>
          <w:szCs w:val="20"/>
          <w:color w:val="auto"/>
        </w:rPr>
      </w:pPr>
    </w:p>
    <w:p>
      <w:pPr>
        <w:ind w:right="1320"/>
        <w:spacing w:after="0" w:line="252" w:lineRule="auto"/>
        <w:rPr>
          <w:sz w:val="20"/>
          <w:szCs w:val="20"/>
          <w:color w:val="auto"/>
        </w:rPr>
      </w:pPr>
      <w:r>
        <w:rPr>
          <w:rFonts w:ascii="Arial" w:cs="Arial" w:eastAsia="Arial" w:hAnsi="Arial"/>
          <w:sz w:val="17"/>
          <w:szCs w:val="17"/>
          <w:color w:val="auto"/>
        </w:rPr>
        <w:t>including for our RET program; and the balance for working capital and other general corporate purposes. See "Use of Proceeds" for additional information.</w:t>
      </w:r>
    </w:p>
    <w:p>
      <w:pPr>
        <w:spacing w:after="0" w:line="193" w:lineRule="exact"/>
        <w:rPr>
          <w:sz w:val="20"/>
          <w:szCs w:val="20"/>
          <w:color w:val="auto"/>
        </w:rPr>
      </w:pPr>
    </w:p>
    <w:p>
      <w:pPr>
        <w:sectPr>
          <w:pgSz w:w="11900" w:h="16838" w:orient="portrait"/>
          <w:cols w:equalWidth="0" w:num="2">
            <w:col w:w="4160" w:space="160"/>
            <w:col w:w="7200"/>
          </w:cols>
          <w:pgMar w:left="240" w:top="143" w:right="139" w:bottom="1440" w:gutter="0" w:footer="0" w:header="0"/>
          <w:type w:val="continuous"/>
        </w:sectPr>
      </w:pPr>
    </w:p>
    <w:p>
      <w:pPr>
        <w:ind w:left="1380"/>
        <w:spacing w:after="0"/>
        <w:tabs>
          <w:tab w:leader="none" w:pos="4300" w:val="left"/>
        </w:tabs>
        <w:rPr>
          <w:sz w:val="20"/>
          <w:szCs w:val="20"/>
          <w:color w:val="auto"/>
        </w:rPr>
      </w:pPr>
      <w:r>
        <w:rPr>
          <w:rFonts w:ascii="Arial" w:cs="Arial" w:eastAsia="Arial" w:hAnsi="Arial"/>
          <w:sz w:val="17"/>
          <w:szCs w:val="17"/>
          <w:color w:val="auto"/>
        </w:rPr>
        <w:t>Risk factors</w:t>
      </w:r>
      <w:r>
        <w:rPr>
          <w:sz w:val="20"/>
          <w:szCs w:val="20"/>
          <w:color w:val="auto"/>
        </w:rPr>
        <w:tab/>
      </w:r>
      <w:r>
        <w:rPr>
          <w:rFonts w:ascii="Arial" w:cs="Arial" w:eastAsia="Arial" w:hAnsi="Arial"/>
          <w:sz w:val="16"/>
          <w:szCs w:val="16"/>
          <w:color w:val="auto"/>
        </w:rPr>
        <w:t>You should read carefully the "Risk Factors" beginning on page 11 and other</w:t>
      </w:r>
    </w:p>
    <w:p>
      <w:pPr>
        <w:spacing w:after="0" w:line="1" w:lineRule="exact"/>
        <w:rPr>
          <w:sz w:val="20"/>
          <w:szCs w:val="20"/>
          <w:color w:val="auto"/>
        </w:rPr>
      </w:pPr>
    </w:p>
    <w:p>
      <w:pPr>
        <w:ind w:left="4320" w:right="1120"/>
        <w:spacing w:after="0" w:line="252" w:lineRule="auto"/>
        <w:rPr>
          <w:sz w:val="20"/>
          <w:szCs w:val="20"/>
          <w:color w:val="auto"/>
        </w:rPr>
      </w:pPr>
      <w:r>
        <w:rPr>
          <w:rFonts w:ascii="Arial" w:cs="Arial" w:eastAsia="Arial" w:hAnsi="Arial"/>
          <w:sz w:val="17"/>
          <w:szCs w:val="17"/>
          <w:color w:val="auto"/>
        </w:rPr>
        <w:t>information included in this prospectus for a discussion of factors that you should consider before deciding to invest in shares of our common stock.</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Proposed NASDAQ Global Market</w:t>
      </w:r>
    </w:p>
    <w:p>
      <w:pPr>
        <w:spacing w:after="0" w:line="1" w:lineRule="exact"/>
        <w:rPr>
          <w:sz w:val="20"/>
          <w:szCs w:val="20"/>
          <w:color w:val="auto"/>
        </w:rPr>
      </w:pPr>
    </w:p>
    <w:p>
      <w:pPr>
        <w:ind w:left="1560"/>
        <w:spacing w:after="0"/>
        <w:tabs>
          <w:tab w:leader="none" w:pos="4300" w:val="left"/>
        </w:tabs>
        <w:rPr>
          <w:sz w:val="20"/>
          <w:szCs w:val="20"/>
          <w:color w:val="auto"/>
        </w:rPr>
      </w:pPr>
      <w:r>
        <w:rPr>
          <w:rFonts w:ascii="Arial" w:cs="Arial" w:eastAsia="Arial" w:hAnsi="Arial"/>
          <w:sz w:val="17"/>
          <w:szCs w:val="17"/>
          <w:color w:val="auto"/>
        </w:rPr>
        <w:t>symbol</w:t>
      </w:r>
      <w:r>
        <w:rPr>
          <w:sz w:val="20"/>
          <w:szCs w:val="20"/>
          <w:color w:val="auto"/>
        </w:rPr>
        <w:tab/>
      </w:r>
      <w:r>
        <w:rPr>
          <w:rFonts w:ascii="Arial" w:cs="Arial" w:eastAsia="Arial" w:hAnsi="Arial"/>
          <w:sz w:val="17"/>
          <w:szCs w:val="17"/>
          <w:color w:val="auto"/>
        </w:rPr>
        <w:t>"BPMC."</w:t>
      </w:r>
    </w:p>
    <w:p>
      <w:pPr>
        <w:spacing w:after="0" w:line="211" w:lineRule="exact"/>
        <w:rPr>
          <w:sz w:val="20"/>
          <w:szCs w:val="20"/>
          <w:color w:val="auto"/>
        </w:rPr>
      </w:pPr>
    </w:p>
    <w:p>
      <w:pPr>
        <w:ind w:left="240" w:right="8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and assuming conversion of all of our outstanding shares of convertible preferred stock upon closing of this offering.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24" w:lineRule="exact"/>
        <w:rPr>
          <w:sz w:val="20"/>
          <w:szCs w:val="20"/>
          <w:color w:val="auto"/>
        </w:rPr>
      </w:pPr>
    </w:p>
    <w:p>
      <w:pPr>
        <w:ind w:left="128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 average exercise price of $0.37 per share;</w:t>
      </w:r>
    </w:p>
    <w:p>
      <w:pPr>
        <w:spacing w:after="0" w:line="179" w:lineRule="exact"/>
        <w:rPr>
          <w:rFonts w:ascii="Arial" w:cs="Arial" w:eastAsia="Arial" w:hAnsi="Arial"/>
          <w:sz w:val="17"/>
          <w:szCs w:val="17"/>
          <w:color w:val="auto"/>
        </w:rPr>
      </w:pPr>
    </w:p>
    <w:p>
      <w:pPr>
        <w:ind w:left="1280" w:right="40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179" w:lineRule="exact"/>
        <w:rPr>
          <w:rFonts w:ascii="Arial" w:cs="Arial" w:eastAsia="Arial" w:hAnsi="Arial"/>
          <w:sz w:val="17"/>
          <w:szCs w:val="17"/>
          <w:color w:val="auto"/>
        </w:rPr>
      </w:pPr>
    </w:p>
    <w:p>
      <w:pPr>
        <w:ind w:left="1280" w:right="30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109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00" w:hanging="524"/>
        <w:spacing w:after="0" w:line="252" w:lineRule="auto"/>
        <w:tabs>
          <w:tab w:leader="none" w:pos="18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and Incentive Plan, or 2015 Stock Option Plan, which will become effective upon the completion of this offering; and</w:t>
      </w:r>
    </w:p>
    <w:p>
      <w:pPr>
        <w:spacing w:after="0" w:line="179" w:lineRule="exact"/>
        <w:rPr>
          <w:rFonts w:ascii="Arial" w:cs="Arial" w:eastAsia="Arial" w:hAnsi="Arial"/>
          <w:sz w:val="17"/>
          <w:szCs w:val="17"/>
          <w:color w:val="auto"/>
        </w:rPr>
      </w:pPr>
    </w:p>
    <w:p>
      <w:pPr>
        <w:ind w:left="1280" w:hanging="524"/>
        <w:spacing w:after="0" w:line="252" w:lineRule="auto"/>
        <w:tabs>
          <w:tab w:leader="none" w:pos="18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Employee Stock Purchase Plan, or 2015 ESPP which will become effective upon the completion of this offering.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Except as otherwise indicated, all information contained in this prospectus assumes or gives effect to:</w:t>
      </w:r>
    </w:p>
    <w:p>
      <w:pPr>
        <w:spacing w:after="0" w:line="211" w:lineRule="exact"/>
        <w:rPr>
          <w:sz w:val="20"/>
          <w:szCs w:val="20"/>
          <w:color w:val="auto"/>
        </w:rPr>
      </w:pPr>
    </w:p>
    <w:p>
      <w:pPr>
        <w:ind w:left="1280" w:right="480" w:hanging="524"/>
        <w:spacing w:after="0" w:line="25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85,071,252 shares of common stock upon the completion of this offering;</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or warrants described above after December 31, 2014;</w:t>
      </w:r>
    </w:p>
    <w:p>
      <w:pPr>
        <w:spacing w:after="0" w:line="198"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option purchase up to an additional</w:t>
      </w:r>
      <w:r>
        <w:rPr>
          <w:sz w:val="20"/>
          <w:szCs w:val="20"/>
          <w:color w:val="auto"/>
        </w:rPr>
        <w:tab/>
      </w:r>
      <w:r>
        <w:rPr>
          <w:rFonts w:ascii="Arial" w:cs="Arial" w:eastAsia="Arial" w:hAnsi="Arial"/>
          <w:sz w:val="16"/>
          <w:szCs w:val="16"/>
          <w:color w:val="auto"/>
        </w:rPr>
        <w:t>shares of our common stock in this offering;</w:t>
      </w:r>
    </w:p>
    <w:p>
      <w:pPr>
        <w:spacing w:after="0" w:line="198" w:lineRule="exact"/>
        <w:rPr>
          <w:sz w:val="20"/>
          <w:szCs w:val="20"/>
          <w:color w:val="auto"/>
        </w:rPr>
      </w:pPr>
    </w:p>
    <w:p>
      <w:pPr>
        <w:ind w:left="1280" w:right="400" w:hanging="524"/>
        <w:spacing w:after="0" w:line="25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adoption of our amended and restated certificate of incorporation and amended and restated by-laws, both of which we will file immediately prior to the completion of this offering; and</w:t>
      </w:r>
    </w:p>
    <w:p>
      <w:pPr>
        <w:spacing w:after="0" w:line="179" w:lineRule="exact"/>
        <w:rPr>
          <w:sz w:val="20"/>
          <w:szCs w:val="20"/>
          <w:color w:val="auto"/>
        </w:rPr>
      </w:pPr>
    </w:p>
    <w:p>
      <w:pPr>
        <w:ind w:left="1280" w:right="440" w:hanging="519"/>
        <w:spacing w:after="0" w:line="252" w:lineRule="auto"/>
        <w:tabs>
          <w:tab w:leader="none" w:pos="1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one-for- reverse stock split of our common stock, which will become effective prior to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80"/>
          </w:cols>
          <w:pgMar w:left="240" w:top="143" w:right="17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4990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499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firstLine="470"/>
        <w:spacing w:after="0" w:line="244"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appearing at the end of this prospectus and the "Selected Financial Data" and "Management's Discussion and Analysis of Financial Condition and Results of Operations" sections of this prospectus. We have derived the statement of operations data for the years ended December 31, 2013 and 2014 and the balance sheet data a of December 31, 2014 from our audited financial statements included elsewhere in this prospectus. Our historical results are not necessarily indicative of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2013</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center"/>
              <w:ind w:right="115"/>
              <w:spacing w:after="0" w:line="126" w:lineRule="exact"/>
              <w:rPr>
                <w:sz w:val="20"/>
                <w:szCs w:val="20"/>
                <w:color w:val="auto"/>
              </w:rPr>
            </w:pPr>
            <w:r>
              <w:rPr>
                <w:rFonts w:ascii="Arial" w:cs="Arial" w:eastAsia="Arial" w:hAnsi="Arial"/>
                <w:sz w:val="14"/>
                <w:szCs w:val="14"/>
                <w:b w:val="1"/>
                <w:bCs w:val="1"/>
                <w:color w:val="auto"/>
                <w:w w:val="99"/>
              </w:rPr>
              <w:t>thousands,</w:t>
            </w:r>
          </w:p>
        </w:tc>
        <w:tc>
          <w:tcPr>
            <w:tcW w:w="19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10"/>
          </w:tcPr>
          <w:p>
            <w:pPr>
              <w:jc w:val="center"/>
              <w:ind w:right="1880"/>
              <w:spacing w:after="0"/>
              <w:rPr>
                <w:sz w:val="20"/>
                <w:szCs w:val="20"/>
                <w:color w:val="auto"/>
              </w:rPr>
            </w:pPr>
            <w:r>
              <w:rPr>
                <w:rFonts w:ascii="Arial" w:cs="Arial" w:eastAsia="Arial" w:hAnsi="Arial"/>
                <w:sz w:val="14"/>
                <w:szCs w:val="14"/>
                <w:b w:val="1"/>
                <w:bCs w:val="1"/>
                <w:color w:val="auto"/>
                <w:w w:val="99"/>
              </w:rPr>
              <w:t>except per share data)</w:t>
            </w: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31,844</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7,890</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9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14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(453)</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1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(4.26)</w:t>
            </w:r>
          </w:p>
        </w:tc>
        <w:tc>
          <w:tcPr>
            <w:tcW w:w="200" w:type="dxa"/>
            <w:vAlign w:val="bottom"/>
            <w:shd w:val="clear" w:color="auto" w:fill="CCEEFF"/>
          </w:tcPr>
          <w:p>
            <w:pPr>
              <w:jc w:val="center"/>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(5.89)</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140" w:type="dxa"/>
            <w:vAlign w:val="bottom"/>
          </w:tcPr>
          <w:p>
            <w:pPr>
              <w:spacing w:after="0"/>
              <w:rPr>
                <w:sz w:val="16"/>
                <w:szCs w:val="16"/>
                <w:color w:val="auto"/>
              </w:rPr>
            </w:pPr>
          </w:p>
        </w:tc>
        <w:tc>
          <w:tcPr>
            <w:tcW w:w="8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5,582</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7,815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(0.56)</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71,962</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9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80" w:type="dxa"/>
            <w:vAlign w:val="bottom"/>
            <w:gridSpan w:val="2"/>
          </w:tcPr>
          <w:p>
            <w:pPr>
              <w:jc w:val="right"/>
              <w:ind w:right="2135"/>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808080"/>
            </w:tcBorders>
          </w:tcPr>
          <w:p>
            <w:pPr>
              <w:spacing w:after="0"/>
              <w:rPr>
                <w:sz w:val="18"/>
                <w:szCs w:val="18"/>
                <w:color w:val="auto"/>
              </w:rPr>
            </w:pPr>
          </w:p>
        </w:tc>
        <w:tc>
          <w:tcPr>
            <w:tcW w:w="6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948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594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5"/>
          </w:tcPr>
          <w:p>
            <w:pPr>
              <w:jc w:val="center"/>
              <w:ind w:right="1140"/>
              <w:spacing w:after="0"/>
              <w:rPr>
                <w:sz w:val="20"/>
                <w:szCs w:val="20"/>
                <w:color w:val="auto"/>
              </w:rPr>
            </w:pPr>
            <w:r>
              <w:rPr>
                <w:rFonts w:ascii="Arial" w:cs="Arial" w:eastAsia="Arial" w:hAnsi="Arial"/>
                <w:sz w:val="17"/>
                <w:szCs w:val="17"/>
                <w:b w:val="1"/>
                <w:bCs w:val="1"/>
                <w:color w:val="auto"/>
                <w:w w:val="99"/>
              </w:rPr>
              <w:t>As of December 31, 2014</w:t>
            </w:r>
          </w:p>
        </w:tc>
      </w:tr>
      <w:tr>
        <w:trPr>
          <w:trHeight w:val="173"/>
        </w:trPr>
        <w:tc>
          <w:tcPr>
            <w:tcW w:w="8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w w:val="99"/>
              </w:rPr>
              <w:t>Pro forma</w:t>
            </w:r>
          </w:p>
        </w:tc>
        <w:tc>
          <w:tcPr>
            <w:tcW w:w="140" w:type="dxa"/>
            <w:vAlign w:val="bottom"/>
          </w:tcPr>
          <w:p>
            <w:pPr>
              <w:spacing w:after="0"/>
              <w:rPr>
                <w:sz w:val="15"/>
                <w:szCs w:val="15"/>
                <w:color w:val="auto"/>
              </w:rPr>
            </w:pPr>
          </w:p>
        </w:tc>
      </w:tr>
      <w:tr>
        <w:trPr>
          <w:trHeight w:val="214"/>
        </w:trPr>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Actual</w:t>
            </w:r>
          </w:p>
        </w:tc>
        <w:tc>
          <w:tcPr>
            <w:tcW w:w="160" w:type="dxa"/>
            <w:vAlign w:val="bottom"/>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Pro forma(2)</w:t>
            </w:r>
          </w:p>
        </w:tc>
        <w:tc>
          <w:tcPr>
            <w:tcW w:w="16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as adjusted(3)(4)(5)</w:t>
            </w:r>
          </w:p>
        </w:tc>
        <w:tc>
          <w:tcPr>
            <w:tcW w:w="140" w:type="dxa"/>
            <w:vAlign w:val="bottom"/>
          </w:tcPr>
          <w:p>
            <w:pPr>
              <w:spacing w:after="0"/>
              <w:rPr>
                <w:sz w:val="18"/>
                <w:szCs w:val="18"/>
                <w:color w:val="auto"/>
              </w:rPr>
            </w:pPr>
          </w:p>
        </w:tc>
      </w:tr>
      <w:tr>
        <w:trPr>
          <w:trHeight w:val="190"/>
        </w:trPr>
        <w:tc>
          <w:tcPr>
            <w:tcW w:w="8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   47,240</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47,240</w:t>
            </w:r>
          </w:p>
        </w:tc>
        <w:tc>
          <w:tcPr>
            <w:tcW w:w="1720" w:type="dxa"/>
            <w:vAlign w:val="bottom"/>
          </w:tcPr>
          <w:p>
            <w:pPr>
              <w:jc w:val="right"/>
              <w:ind w:right="1535"/>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41,510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41,510</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49,925</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49,925</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7,338</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7,338</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365</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114,811</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7"/>
        </w:trPr>
        <w:tc>
          <w:tcPr>
            <w:tcW w:w="376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(79,382)</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35,794</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4"/>
        </w:trPr>
        <w:tc>
          <w:tcPr>
            <w:tcW w:w="8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6" w:lineRule="exact"/>
        <w:rPr>
          <w:sz w:val="20"/>
          <w:szCs w:val="20"/>
          <w:color w:val="auto"/>
        </w:rPr>
      </w:pPr>
    </w:p>
    <w:p>
      <w:pPr>
        <w:ind w:left="2460" w:right="380" w:hanging="515"/>
        <w:spacing w:after="0" w:line="246" w:lineRule="auto"/>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85" w:lineRule="exact"/>
        <w:rPr>
          <w:rFonts w:ascii="Arial" w:cs="Arial" w:eastAsia="Arial" w:hAnsi="Arial"/>
          <w:sz w:val="17"/>
          <w:szCs w:val="17"/>
          <w:color w:val="auto"/>
        </w:rPr>
      </w:pPr>
    </w:p>
    <w:p>
      <w:pPr>
        <w:ind w:left="2460" w:hanging="515"/>
        <w:spacing w:after="0" w:line="246" w:lineRule="auto"/>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 forma balance sheet data give effect to the automatic conversion of all outstanding shares of our convertible preferre stock into an aggregate of 85,071,252 shares of our common stock and the conversion of our preferred stock warrants into warrants to purchase 233,333 shares of our common stock upon the completion of this offering.</w:t>
      </w:r>
    </w:p>
    <w:p>
      <w:pPr>
        <w:spacing w:after="0" w:line="185" w:lineRule="exact"/>
        <w:rPr>
          <w:rFonts w:ascii="Arial" w:cs="Arial" w:eastAsia="Arial" w:hAnsi="Arial"/>
          <w:sz w:val="17"/>
          <w:szCs w:val="17"/>
          <w:color w:val="auto"/>
        </w:rPr>
      </w:pPr>
    </w:p>
    <w:p>
      <w:pPr>
        <w:ind w:left="2460" w:hanging="515"/>
        <w:spacing w:after="0"/>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 forma as adjusted to reflect the pro forma adjustments described in (2) above, and to further reflect the sale of share</w:t>
      </w:r>
    </w:p>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7060" w:type="dxa"/>
            <w:vAlign w:val="bottom"/>
            <w:gridSpan w:val="3"/>
          </w:tcPr>
          <w:p>
            <w:pPr>
              <w:ind w:left="140"/>
              <w:spacing w:after="0"/>
              <w:rPr>
                <w:sz w:val="20"/>
                <w:szCs w:val="20"/>
                <w:color w:val="auto"/>
              </w:rPr>
            </w:pPr>
            <w:r>
              <w:rPr>
                <w:rFonts w:ascii="Arial" w:cs="Arial" w:eastAsia="Arial" w:hAnsi="Arial"/>
                <w:sz w:val="17"/>
                <w:szCs w:val="17"/>
                <w:color w:val="auto"/>
              </w:rPr>
              <w:t>of our common stock offered in this offering, assuming an initial public offering price of $</w:t>
            </w:r>
          </w:p>
        </w:tc>
        <w:tc>
          <w:tcPr>
            <w:tcW w:w="2140" w:type="dxa"/>
            <w:vAlign w:val="bottom"/>
          </w:tcPr>
          <w:p>
            <w:pPr>
              <w:ind w:left="320"/>
              <w:spacing w:after="0"/>
              <w:rPr>
                <w:sz w:val="20"/>
                <w:szCs w:val="20"/>
                <w:color w:val="auto"/>
              </w:rPr>
            </w:pPr>
            <w:r>
              <w:rPr>
                <w:rFonts w:ascii="Arial" w:cs="Arial" w:eastAsia="Arial" w:hAnsi="Arial"/>
                <w:sz w:val="17"/>
                <w:szCs w:val="17"/>
                <w:color w:val="auto"/>
              </w:rPr>
              <w:t>per share, the midpoint</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rPr>
              <w:t>the estimated price range set forth on the cover page of this prospectus, after deducting underwriting discounts and</w:t>
            </w:r>
          </w:p>
        </w:tc>
      </w:tr>
      <w:tr>
        <w:trPr>
          <w:trHeight w:val="204"/>
        </w:trPr>
        <w:tc>
          <w:tcPr>
            <w:tcW w:w="380" w:type="dxa"/>
            <w:vAlign w:val="bottom"/>
          </w:tcPr>
          <w:p>
            <w:pPr>
              <w:spacing w:after="0"/>
              <w:rPr>
                <w:sz w:val="17"/>
                <w:szCs w:val="17"/>
                <w:color w:val="auto"/>
              </w:rPr>
            </w:pPr>
          </w:p>
        </w:tc>
        <w:tc>
          <w:tcPr>
            <w:tcW w:w="6080" w:type="dxa"/>
            <w:vAlign w:val="bottom"/>
            <w:gridSpan w:val="2"/>
          </w:tcPr>
          <w:p>
            <w:pPr>
              <w:ind w:left="140"/>
              <w:spacing w:after="0"/>
              <w:rPr>
                <w:sz w:val="20"/>
                <w:szCs w:val="20"/>
                <w:color w:val="auto"/>
              </w:rPr>
            </w:pPr>
            <w:r>
              <w:rPr>
                <w:rFonts w:ascii="Arial" w:cs="Arial" w:eastAsia="Arial" w:hAnsi="Arial"/>
                <w:sz w:val="17"/>
                <w:szCs w:val="17"/>
                <w:color w:val="auto"/>
              </w:rPr>
              <w:t>commissions and estimated offering expenses payable by us.</w:t>
            </w:r>
          </w:p>
        </w:tc>
        <w:tc>
          <w:tcPr>
            <w:tcW w:w="9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99"/>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(4)</w:t>
            </w:r>
          </w:p>
        </w:tc>
        <w:tc>
          <w:tcPr>
            <w:tcW w:w="6080" w:type="dxa"/>
            <w:vAlign w:val="bottom"/>
            <w:gridSpan w:val="2"/>
          </w:tcPr>
          <w:p>
            <w:pPr>
              <w:ind w:left="14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3120" w:type="dxa"/>
            <w:vAlign w:val="bottom"/>
            <w:gridSpan w:val="2"/>
          </w:tcPr>
          <w:p>
            <w:pPr>
              <w:ind w:left="300"/>
              <w:spacing w:after="0"/>
              <w:rPr>
                <w:sz w:val="20"/>
                <w:szCs w:val="20"/>
                <w:color w:val="auto"/>
              </w:rPr>
            </w:pPr>
            <w:r>
              <w:rPr>
                <w:rFonts w:ascii="Arial" w:cs="Arial" w:eastAsia="Arial" w:hAnsi="Arial"/>
                <w:sz w:val="17"/>
                <w:szCs w:val="17"/>
                <w:color w:val="auto"/>
              </w:rPr>
              <w:t>per share, the midpoint of the</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w w:val="99"/>
              </w:rPr>
              <w:t>estimated price range set forth on the cover page of this prospectus, would increase (decrease) the pro forma as adjuste</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rPr>
              <w:t>amount of each of cash and cash equivalents, working capital, total assets and total stockholders' (deficit) equity by</w:t>
            </w:r>
          </w:p>
        </w:tc>
      </w:tr>
      <w:tr>
        <w:trPr>
          <w:trHeight w:val="197"/>
        </w:trPr>
        <w:tc>
          <w:tcPr>
            <w:tcW w:w="38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7"/>
                <w:szCs w:val="17"/>
                <w:color w:val="auto"/>
              </w:rPr>
              <w:t>approximately $</w:t>
            </w:r>
          </w:p>
        </w:tc>
        <w:tc>
          <w:tcPr>
            <w:tcW w:w="7520" w:type="dxa"/>
            <w:vAlign w:val="bottom"/>
            <w:gridSpan w:val="3"/>
          </w:tcPr>
          <w:p>
            <w:pPr>
              <w:ind w:left="340"/>
              <w:spacing w:after="0"/>
              <w:rPr>
                <w:sz w:val="20"/>
                <w:szCs w:val="20"/>
                <w:color w:val="auto"/>
              </w:rPr>
            </w:pPr>
            <w:r>
              <w:rPr>
                <w:rFonts w:ascii="Arial" w:cs="Arial" w:eastAsia="Arial" w:hAnsi="Arial"/>
                <w:sz w:val="17"/>
                <w:szCs w:val="17"/>
                <w:color w:val="auto"/>
                <w:w w:val="99"/>
              </w:rPr>
              <w:t>million, assuming that the number of shares offered by us, as set forth on the cover page of this</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rPr>
              <w:t>prospectus, remains the same and after deducting underwriting discounts and commissions and estimated offering</w:t>
            </w:r>
          </w:p>
        </w:tc>
      </w:tr>
      <w:tr>
        <w:trPr>
          <w:trHeight w:val="204"/>
        </w:trPr>
        <w:tc>
          <w:tcPr>
            <w:tcW w:w="380" w:type="dxa"/>
            <w:vAlign w:val="bottom"/>
          </w:tcPr>
          <w:p>
            <w:pPr>
              <w:spacing w:after="0"/>
              <w:rPr>
                <w:sz w:val="17"/>
                <w:szCs w:val="17"/>
                <w:color w:val="auto"/>
              </w:rPr>
            </w:pPr>
          </w:p>
        </w:tc>
        <w:tc>
          <w:tcPr>
            <w:tcW w:w="6080" w:type="dxa"/>
            <w:vAlign w:val="bottom"/>
            <w:gridSpan w:val="2"/>
          </w:tcPr>
          <w:p>
            <w:pPr>
              <w:ind w:left="140"/>
              <w:spacing w:after="0"/>
              <w:rPr>
                <w:sz w:val="20"/>
                <w:szCs w:val="20"/>
                <w:color w:val="auto"/>
              </w:rPr>
            </w:pPr>
            <w:r>
              <w:rPr>
                <w:rFonts w:ascii="Arial" w:cs="Arial" w:eastAsia="Arial" w:hAnsi="Arial"/>
                <w:sz w:val="17"/>
                <w:szCs w:val="17"/>
                <w:color w:val="auto"/>
              </w:rPr>
              <w:t>expenses payable by us.</w:t>
            </w:r>
          </w:p>
        </w:tc>
        <w:tc>
          <w:tcPr>
            <w:tcW w:w="9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ind w:left="2460" w:hanging="515"/>
        <w:spacing w:after="0" w:line="232" w:lineRule="auto"/>
        <w:tabs>
          <w:tab w:leader="none" w:pos="2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1,000,000 share increase in the number of shares offered by us together with a concomitant $1.00 increase in the</w:t>
      </w:r>
    </w:p>
    <w:p>
      <w:pPr>
        <w:spacing w:after="0" w:line="197" w:lineRule="exact"/>
        <w:rPr>
          <w:sz w:val="20"/>
          <w:szCs w:val="20"/>
          <w:color w:val="auto"/>
        </w:rPr>
      </w:pPr>
    </w:p>
    <w:p>
      <w:pPr>
        <w:ind w:left="2460"/>
        <w:spacing w:after="0" w:line="241" w:lineRule="auto"/>
        <w:rPr>
          <w:sz w:val="20"/>
          <w:szCs w:val="20"/>
          <w:color w:val="auto"/>
        </w:rPr>
      </w:pPr>
      <w:r>
        <w:rPr>
          <w:rFonts w:ascii="Arial" w:cs="Arial" w:eastAsia="Arial" w:hAnsi="Arial"/>
          <w:sz w:val="17"/>
          <w:szCs w:val="17"/>
          <w:color w:val="auto"/>
        </w:rPr>
        <w:t>assumed initial public offering price of $ per share, the midpoint of the price range set forth on the cover page of this prospectus, would increase the pro forma as adjusted amount of each of cash and cash equivalents, and total stockholders' (deficit) equity by approximately $ million, after deducting underwriting discounts and commissions</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and estimated offering expenses payable by us.</w:t>
      </w:r>
    </w:p>
    <w:p>
      <w:pPr>
        <w:spacing w:after="0" w:line="198" w:lineRule="exact"/>
        <w:rPr>
          <w:sz w:val="20"/>
          <w:szCs w:val="20"/>
          <w:color w:val="auto"/>
        </w:rPr>
      </w:pPr>
    </w:p>
    <w:p>
      <w:pPr>
        <w:ind w:left="2460" w:hanging="515"/>
        <w:spacing w:after="0"/>
        <w:tabs>
          <w:tab w:leader="none" w:pos="2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40" w:firstLine="473"/>
        <w:spacing w:after="0" w:line="24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11"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73"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have not yet demonstrated our ability to initiate or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0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We have funded our operations to date through proceeds from sales of convertible preferred stock and, to a lesser extent, through a loan and security agreement, or Loan and Security Agreement, that we entered into with Silicon Valley Bank in May 2013. From our inception through December 31, 2014, we had raised an aggregate of $125.1 million of gross proceeds from such transactions. As of December 31, 2014, our cash and cash equivalents and investments were $47.2 million. We have incurred net losses in each year since our inception, and we had an accumulated deficit of $82.2 million as of December 31, 2014. Our net losses were $20.9 million and $40.3 million for the years ended December 31, 2013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expect our research and development expenses to significantly increase in connection with beginning clinical trials of our drug candidates. In addition, if we obtain marketing approval for our drug candidates, we will incur significant sales, marketing and outsourced-manufacturing 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202" w:lineRule="exact"/>
        <w:rPr>
          <w:sz w:val="20"/>
          <w:szCs w:val="20"/>
          <w:color w:val="auto"/>
        </w:rPr>
      </w:pPr>
    </w:p>
    <w:p>
      <w:pPr>
        <w:jc w:val="both"/>
        <w:ind w:right="200" w:firstLine="474"/>
        <w:spacing w:after="0" w:line="245"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lead drug candidates, BLU-285 and BLU-554, and we do not know and do not expect to generate any revenue from the sale of drugs in the near future. We do not expect to generate significant revenue unless and until we obtain marketing approval of, and begin to sell, BLU-285, BLU-554 or one of our other drug candidates. Our ability to generate revenue depends on a number of factors, including, but not limited to, our ability to:</w:t>
      </w:r>
    </w:p>
    <w:p>
      <w:pPr>
        <w:spacing w:after="0" w:line="198"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successfully complete clinical trials that meet their clinical endpoints;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commercialize our drug candidates, if approved, by developing a sales force or entering into collaborations with third parties;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1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7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of pharmaceutical drugs is capital-intensive. We are currently advancing our drug candidates through pre-clinical development and anticipate beginning clinical trials for our lead drug candidates, BLU-285 and BLU-554, in mid-2015. We expect our expenses to increase in connection with our ongoing activities, particularly as we continue the research and development of, initiate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our collaborators. We may also need to raise additional funds sooner if we choose to pursue additional indications and/or geographies for our drug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forced to delay, reduce or eliminate certain of our research and development programs or future commercialization efforts.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expect that the net proceeds from this offering, together with our existing cash and cash equivalents, will be sufficient to fund our operations</w:t>
      </w:r>
    </w:p>
    <w:p>
      <w:pPr>
        <w:spacing w:after="0" w:line="1"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color w:val="auto"/>
        </w:rPr>
        <w:t>through at least</w:t>
      </w:r>
      <w:r>
        <w:rPr>
          <w:sz w:val="20"/>
          <w:szCs w:val="20"/>
          <w:color w:val="auto"/>
        </w:rPr>
        <w:tab/>
      </w:r>
      <w:r>
        <w:rPr>
          <w:rFonts w:ascii="Arial" w:cs="Arial" w:eastAsia="Arial" w:hAnsi="Arial"/>
          <w:sz w:val="17"/>
          <w:szCs w:val="17"/>
          <w:color w:val="auto"/>
        </w:rPr>
        <w:t>. Our future capital requirements will depend on and could increase significantly as a result of many factors, including:</w:t>
      </w:r>
    </w:p>
    <w:p>
      <w:pPr>
        <w:spacing w:after="0" w:line="211" w:lineRule="exact"/>
        <w:rPr>
          <w:sz w:val="20"/>
          <w:szCs w:val="20"/>
          <w:color w:val="auto"/>
        </w:rPr>
      </w:pPr>
    </w:p>
    <w:p>
      <w:pPr>
        <w:ind w:left="1060" w:right="6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obtain;</w:t>
      </w:r>
    </w:p>
    <w:p>
      <w:pPr>
        <w:spacing w:after="0" w:line="197" w:lineRule="exact"/>
        <w:rPr>
          <w:rFonts w:ascii="Arial" w:cs="Arial" w:eastAsia="Arial" w:hAnsi="Arial"/>
          <w:sz w:val="17"/>
          <w:szCs w:val="17"/>
          <w:color w:val="auto"/>
        </w:rPr>
      </w:pPr>
    </w:p>
    <w:p>
      <w:pPr>
        <w:ind w:left="1060" w:right="9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197" w:lineRule="exact"/>
        <w:rPr>
          <w:rFonts w:ascii="Arial" w:cs="Arial" w:eastAsia="Arial" w:hAnsi="Arial"/>
          <w:sz w:val="17"/>
          <w:szCs w:val="17"/>
          <w:color w:val="auto"/>
        </w:rPr>
      </w:pPr>
    </w:p>
    <w:p>
      <w:pPr>
        <w:ind w:left="1060" w:right="74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clearances to market our drug candidates.</w:t>
      </w:r>
    </w:p>
    <w:p>
      <w:pPr>
        <w:spacing w:after="0" w:line="193"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99"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79" w:lineRule="exact"/>
        <w:rPr>
          <w:sz w:val="20"/>
          <w:szCs w:val="20"/>
          <w:color w:val="auto"/>
        </w:rPr>
      </w:pPr>
    </w:p>
    <w:p>
      <w:pPr>
        <w:ind w:right="640"/>
        <w:spacing w:after="0" w:line="276"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private and public equity offerings, debt financings, collaborations, strategic alliances and licensing arrangements. We do not have any committed external source of funds, other than funds already borrowed under the Loan and Security Agreement.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0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If we raise funds through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You will suffer immediate and substantial dilution in the net tangible book value of the common stock you purchase in this offering. Assuming an</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initial public offering price of $ per share, the midpoint of the price range set forth on the cover page of this prospectus, purchasers of common stock in this offering will experience immediate dilution of $ per share in net tangible book value of the common stock. In addition, investors purchasing common stock in this offering will contribute % of the total amount invested by stockholders since inception but will only own % of</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shares of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r>
        <w:rPr>
          <w:rFonts w:ascii="Arial" w:cs="Arial" w:eastAsia="Arial" w:hAnsi="Arial"/>
          <w:sz w:val="17"/>
          <w:szCs w:val="17"/>
          <w:color w:val="auto"/>
        </w:rPr>
        <w:t>.</w:t>
      </w:r>
    </w:p>
    <w:p>
      <w:pPr>
        <w:spacing w:after="0" w:line="187"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very early in our development efforts, and all of our lead drug candidates are still in pre-clinical development. We have only recently identified lead drug candidates for two of our programs. We have invested substantially all of our efforts and financial resources in the identification and pre-clinical development of kinase inhibitors, including the development of our lead drug candidates, BLU-285 and BLU-554.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and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drug candidates will depend on several factors, including the following:</w:t>
      </w:r>
    </w:p>
    <w:p>
      <w:pPr>
        <w:spacing w:after="0" w:line="204"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our planned clinical trials or future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development of companion diagnostics for use with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97"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 for clinical supply and commercial manufacturing;</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launching commercial sales of our drug candidates, if and when approved, whether alone or in collaboration with others;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acceptance of the drug candidates, if and when approved, by patients, the medical community and third party payors;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the drug candidates following approval.</w:t>
      </w:r>
    </w:p>
    <w:p>
      <w:pPr>
        <w:spacing w:after="0" w:line="21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which would materially harm our business. If we do not receive regulatory approvals for our drug candidates, we may not be able to continue our operations.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All of our lead drug candidates are in pre-clinical development and their risk of failure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and future clinical trials may not be successful.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plan to commence a Phase 1 clinical trial of BLU-285 as a treatment for systemic mastocytosis, or SM, a Phase 1 clinical trial of BLU-285 as a treatment for gastrointestinal stromal tumor, or GIST, and a Phase 1 clinical trial of BLU-554 as a treatment for hepatocellular carcinoma, or HCC. Commencing each of these clinical trials is subject to finalizing the trial design based on ongoing discussions with the FDA and other regulatory authorities. Despite the guidance received from, and to be received from, these regulatory authorities, the FDA or other regulatory authorities could change their position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in Europe for each drug candidate and, consequently, the ultimate approval and commercial marketing of BLU-285, BLU-554 and our other drug candidates. We do not know whether any of our clinical trials will begin or be completed on schedule, if at all.</w:t>
      </w:r>
    </w:p>
    <w:p>
      <w:pPr>
        <w:spacing w:after="0" w:line="206" w:lineRule="exact"/>
        <w:rPr>
          <w:sz w:val="20"/>
          <w:szCs w:val="20"/>
          <w:color w:val="auto"/>
        </w:rPr>
      </w:pPr>
    </w:p>
    <w:p>
      <w:pPr>
        <w:ind w:right="340" w:firstLine="474"/>
        <w:spacing w:after="0" w:line="252" w:lineRule="auto"/>
        <w:rPr>
          <w:sz w:val="20"/>
          <w:szCs w:val="20"/>
          <w:color w:val="auto"/>
        </w:rPr>
      </w:pPr>
      <w:r>
        <w:rPr>
          <w:rFonts w:ascii="Arial" w:cs="Arial" w:eastAsia="Arial" w:hAnsi="Arial"/>
          <w:sz w:val="17"/>
          <w:szCs w:val="17"/>
          <w:color w:val="auto"/>
        </w:rPr>
        <w:t>We may experience delays in completing our pre-clinical studies and initiating or completing clinical trials, and we may experience numerous unforeseen events during, or as a result of,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future clinical trials that we could conduct that could delay or prevent our ability to receive marketing approval or commercialize our drug candidates, including:</w:t>
      </w:r>
    </w:p>
    <w:p>
      <w:pPr>
        <w:spacing w:after="0" w:line="193" w:lineRule="exact"/>
        <w:rPr>
          <w:sz w:val="20"/>
          <w:szCs w:val="20"/>
          <w:color w:val="auto"/>
        </w:rPr>
      </w:pPr>
    </w:p>
    <w:p>
      <w:pPr>
        <w:ind w:left="1060" w:right="14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92" w:lineRule="exact"/>
        <w:rPr>
          <w:rFonts w:ascii="Arial" w:cs="Arial" w:eastAsia="Arial" w:hAnsi="Arial"/>
          <w:sz w:val="17"/>
          <w:szCs w:val="17"/>
          <w:color w:val="auto"/>
        </w:rPr>
      </w:pPr>
    </w:p>
    <w:p>
      <w:pPr>
        <w:ind w:left="1060" w:right="16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85"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79"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8"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85"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 and</w:t>
      </w:r>
    </w:p>
    <w:p>
      <w:pPr>
        <w:spacing w:after="0" w:line="179"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99"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8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 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Patient enrollment may be affected by other factors including:</w:t>
      </w:r>
    </w:p>
    <w:p>
      <w:pPr>
        <w:spacing w:after="0" w:line="211"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eligibility criteria for the clinical trial in question;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under study;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97" w:lineRule="exact"/>
        <w:rPr>
          <w:rFonts w:ascii="Arial" w:cs="Arial" w:eastAsia="Arial" w:hAnsi="Arial"/>
          <w:sz w:val="17"/>
          <w:szCs w:val="17"/>
          <w:color w:val="auto"/>
        </w:rPr>
      </w:pPr>
    </w:p>
    <w:p>
      <w:pPr>
        <w:ind w:left="5620" w:right="4900" w:hanging="5091"/>
        <w:spacing w:after="0" w:line="509" w:lineRule="auto"/>
        <w:tabs>
          <w:tab w:leader="none" w:pos="10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Following our general drug development strategy, we have designed our planned Phase 1 clinical trials of each of BLU-285 and BLU-554,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87"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4"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development period, changes in or the enactment of additional statutes or regulations, or changes in regulatory review for each submitted NDA, Pre-Market Approval, or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99"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79" w:lineRule="exact"/>
        <w:rPr>
          <w:rFonts w:ascii="Arial" w:cs="Arial" w:eastAsia="Arial" w:hAnsi="Arial"/>
          <w:sz w:val="17"/>
          <w:szCs w:val="17"/>
          <w:color w:val="auto"/>
        </w:rPr>
      </w:pPr>
    </w:p>
    <w:p>
      <w:pPr>
        <w:ind w:left="1060" w:right="68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demonstrate that a drug candidate's clinical and other benefits outweigh its safety risks;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97" w:lineRule="exact"/>
        <w:rPr>
          <w:rFonts w:ascii="Arial" w:cs="Arial" w:eastAsia="Arial" w:hAnsi="Arial"/>
          <w:sz w:val="17"/>
          <w:szCs w:val="17"/>
          <w:color w:val="auto"/>
        </w:rPr>
      </w:pPr>
    </w:p>
    <w:p>
      <w:pPr>
        <w:ind w:left="1060" w:right="84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data collected from clinical trials of our drug candidates may not be sufficient to support the submission of an NDA or other submission or to obtain regulatory approval in the United States or elsewhere;</w:t>
      </w:r>
    </w:p>
    <w:p>
      <w:pPr>
        <w:spacing w:after="0" w:line="179"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92"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93"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9"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73"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drug candidates, as is the case with all oncology drugs, it is likely that there may be side effects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Further, our drug candidates could cause undesirable side effects in clinical trials related to on-target toxicity. For example, the FGF19/FGFR4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20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98"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a contraindication;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97"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92" w:lineRule="exact"/>
        <w:rPr>
          <w:rFonts w:ascii="Arial" w:cs="Arial" w:eastAsia="Arial" w:hAnsi="Arial"/>
          <w:sz w:val="17"/>
          <w:szCs w:val="17"/>
          <w:color w:val="auto"/>
        </w:rPr>
      </w:pPr>
    </w:p>
    <w:p>
      <w:pPr>
        <w:ind w:left="1060" w:right="480" w:hanging="531"/>
        <w:spacing w:after="0" w:line="246"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decide to remove such drug candidates from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drug candidates;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Fast Track Designation for some of our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2"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i w:val="1"/>
          <w:iCs w:val="1"/>
          <w:color w:val="auto"/>
        </w:rPr>
        <w:t>We may seek Orphan Drug Designation for some of our drug candidates, and we may be unsuccessful or may be unable to maintain the benefits associated with Orphan Drug Designation, including the potential for market exclusivity.</w:t>
      </w:r>
    </w:p>
    <w:p>
      <w:pPr>
        <w:spacing w:after="0" w:line="17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part of our business strategy, we may seek Orphan Drug Designation for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Similarly, in Europe, the European Medicines Agency's, or EMA,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20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intend to seek Orphan Drug Designation for our drug candidates, we may never receive such designations. Even if we do receive such designations, there is no guarantee that we will enjoy the benefits of those designations.</w:t>
      </w:r>
    </w:p>
    <w:p>
      <w:pPr>
        <w:spacing w:after="0" w:line="18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9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99"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drug, withdrawal of the drug from the market, or voluntary or mandatory drug recalls;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97"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drug license approvals;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drug seizure or detention, or refusal to permit the import or export of drugs;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development platform to build a pipeline of drug candidates.</w:t>
      </w:r>
    </w:p>
    <w:p>
      <w:pPr>
        <w:spacing w:after="0" w:line="231"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81"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Commercialization</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ind w:right="60" w:firstLine="470"/>
        <w:spacing w:after="0" w:line="241" w:lineRule="auto"/>
        <w:rPr>
          <w:sz w:val="20"/>
          <w:szCs w:val="20"/>
          <w:color w:val="auto"/>
        </w:rPr>
      </w:pPr>
      <w:r>
        <w:rPr>
          <w:rFonts w:ascii="Arial" w:cs="Arial" w:eastAsia="Arial" w:hAnsi="Arial"/>
          <w:sz w:val="17"/>
          <w:szCs w:val="17"/>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w:t>
      </w:r>
    </w:p>
    <w:p>
      <w:pPr>
        <w:spacing w:after="0" w:line="1" w:lineRule="exact"/>
        <w:rPr>
          <w:sz w:val="20"/>
          <w:szCs w:val="20"/>
          <w:color w:val="auto"/>
        </w:rPr>
      </w:pPr>
    </w:p>
    <w:p>
      <w:pPr>
        <w:jc w:val="both"/>
        <w:ind w:right="20" w:firstLine="5"/>
        <w:spacing w:after="0" w:line="254" w:lineRule="auto"/>
        <w:tabs>
          <w:tab w:leader="none" w:pos="2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500 addressable patients with PDGFRa D842V-driven, unresectable or metastatic GIST in the Major Markets and approximately 20,000 addressable patients in the Major Markets with unresectable or metastatic frontline GIST; and (iii) 60,000 first line and 20,000 second line addressable HCC patients with aberrantly active FGFR4, signaling in the Major Markets.</w:t>
      </w:r>
    </w:p>
    <w:p>
      <w:pPr>
        <w:spacing w:after="0" w:line="192"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total addressable market opportunity for BLU-285 for the treatment of patients with SM and GIST and BLU-554 for the treatment of HCC patients with aberrantly active FGFR4 signaling will ultimately depend upon, among other things, the diagnosis criteria included in the final label for each of BLU-285 and BLU-554,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BLU-285 receives marketing approval for advanced SM, GIST and/or for patients with GIST with the PDGFRa D842V mutation, it may face competition from other drug candidates in development for these indications, including drug candidates in development from AB Science S.A., Plexxikon Inc., a wholly-owned subsidiary of Daiichi Sankyo Company, Limited, Deciphera Pharmaceuticals, LLC, Novartis AG, AROG Pharmaceuticals, Inc. and ARIAD Pharmaceuticals, Inc. Further, if BLU-554 receives marketing approval for patients with HCC with FGF19 overexpression, it will face competition from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sorafenib, the only approved systemic medical therapy for HCC. In addition, we are aware of potentially competitive drug candidates in development by AstraZeneca plc, Bayer AG, Johnson &amp; Johnson, Novartis AG, Taiho Pharmaceutical Co., Ltd. and Xoma Ltd.</w:t>
      </w:r>
    </w:p>
    <w:p>
      <w:pPr>
        <w:spacing w:after="0" w:line="193"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third-party payors.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drug candidates that we may develop.</w:t>
      </w:r>
    </w:p>
    <w:p>
      <w:pPr>
        <w:spacing w:after="0" w:line="17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9"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drug candidates that we may develop;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any drug candidates that we may develop.</w:t>
      </w:r>
    </w:p>
    <w:p>
      <w:pPr>
        <w:spacing w:after="0" w:line="211" w:lineRule="exact"/>
        <w:rPr>
          <w:sz w:val="20"/>
          <w:szCs w:val="20"/>
          <w:color w:val="auto"/>
        </w:rPr>
      </w:pPr>
    </w:p>
    <w:p>
      <w:pPr>
        <w:ind w:right="100" w:firstLine="464"/>
        <w:spacing w:after="0" w:line="245"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740"/>
        <w:spacing w:after="0" w:line="276" w:lineRule="auto"/>
        <w:rPr>
          <w:sz w:val="20"/>
          <w:szCs w:val="20"/>
          <w:color w:val="auto"/>
        </w:rPr>
      </w:pPr>
      <w:r>
        <w:rPr>
          <w:rFonts w:ascii="Arial" w:cs="Arial" w:eastAsia="Arial" w:hAnsi="Arial"/>
          <w:sz w:val="17"/>
          <w:szCs w:val="17"/>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204" w:lineRule="exact"/>
        <w:rPr>
          <w:sz w:val="20"/>
          <w:szCs w:val="20"/>
          <w:color w:val="auto"/>
        </w:rPr>
      </w:pPr>
    </w:p>
    <w:p>
      <w:pPr>
        <w:ind w:left="1060" w:right="14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development of our drug candidates may be adversely affected if we are unable to appropriately select patients for enrollment in our clinical trials;</w:t>
      </w:r>
    </w:p>
    <w:p>
      <w:pPr>
        <w:spacing w:after="0" w:line="174" w:lineRule="exact"/>
        <w:rPr>
          <w:rFonts w:ascii="Arial" w:cs="Arial" w:eastAsia="Arial" w:hAnsi="Arial"/>
          <w:sz w:val="17"/>
          <w:szCs w:val="17"/>
          <w:color w:val="auto"/>
        </w:rPr>
      </w:pPr>
    </w:p>
    <w:p>
      <w:pPr>
        <w:ind w:left="1060" w:right="140" w:hanging="531"/>
        <w:spacing w:after="0" w:line="27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our drug candidates may not receive marketing approval if safe and effective use of a therapeutic drug candidate depends on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w:t>
      </w:r>
    </w:p>
    <w:p>
      <w:pPr>
        <w:spacing w:after="0" w:line="161"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business would be harmed, possibly materially.</w:t>
      </w:r>
    </w:p>
    <w:p>
      <w:pPr>
        <w:spacing w:after="0" w:line="21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73"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0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05"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and results of operations.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20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7"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infrastructure to sell, or participate in sales activities with our collaborators for, some of our drug candidates if and when they are approved.</w:t>
      </w:r>
    </w:p>
    <w:p>
      <w:pPr>
        <w:spacing w:after="0" w:line="21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Factors that may inhibit our efforts to commercialize our drug candidates on our own include:</w:t>
      </w:r>
    </w:p>
    <w:p>
      <w:pPr>
        <w:spacing w:after="0" w:line="211"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14" w:lineRule="exact"/>
        <w:rPr>
          <w:sz w:val="20"/>
          <w:szCs w:val="20"/>
          <w:color w:val="auto"/>
        </w:rPr>
      </w:pPr>
    </w:p>
    <w:p>
      <w:pPr>
        <w:ind w:left="1060" w:right="2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60"/>
        <w:spacing w:after="0" w:line="246" w:lineRule="auto"/>
        <w:rPr>
          <w:sz w:val="20"/>
          <w:szCs w:val="20"/>
          <w:color w:val="auto"/>
        </w:rPr>
      </w:pPr>
      <w:r>
        <w:rPr>
          <w:rFonts w:ascii="Arial" w:cs="Arial" w:eastAsia="Arial" w:hAnsi="Arial"/>
          <w:sz w:val="17"/>
          <w:szCs w:val="17"/>
          <w:color w:val="auto"/>
        </w:rPr>
        <w:t>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99" w:lineRule="exact"/>
        <w:rPr>
          <w:sz w:val="20"/>
          <w:szCs w:val="20"/>
          <w:color w:val="auto"/>
        </w:rPr>
      </w:pPr>
    </w:p>
    <w:p>
      <w:pPr>
        <w:ind w:left="1060" w:right="18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199"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7"/>
          <w:szCs w:val="17"/>
          <w:color w:val="auto"/>
        </w:rPr>
      </w:pPr>
    </w:p>
    <w:p>
      <w:pPr>
        <w:ind w:left="1060" w:right="28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6" w:lineRule="exact"/>
        <w:rPr>
          <w:rFonts w:ascii="Arial" w:cs="Arial" w:eastAsia="Arial" w:hAnsi="Arial"/>
          <w:sz w:val="17"/>
          <w:szCs w:val="17"/>
          <w:color w:val="auto"/>
        </w:rPr>
      </w:pPr>
    </w:p>
    <w:p>
      <w:pPr>
        <w:ind w:left="106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99" w:lineRule="exact"/>
        <w:rPr>
          <w:rFonts w:ascii="Arial" w:cs="Arial" w:eastAsia="Arial" w:hAnsi="Arial"/>
          <w:sz w:val="17"/>
          <w:szCs w:val="17"/>
          <w:color w:val="auto"/>
        </w:rPr>
      </w:pPr>
    </w:p>
    <w:p>
      <w:pPr>
        <w:ind w:left="1060" w:right="40" w:hanging="531"/>
        <w:spacing w:after="0" w:line="243"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20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201"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drug candidates in foreign markets;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because we are relying on third parties;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1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Foreign sales of our drug candidates could also be adversely affected by the imposition of governmental controls, political and economic instability, trade restrictions and changes in tariffs.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231" w:lineRule="exact"/>
        <w:rPr>
          <w:sz w:val="20"/>
          <w:szCs w:val="20"/>
          <w:color w:val="auto"/>
        </w:rPr>
      </w:pPr>
    </w:p>
    <w:p>
      <w:pPr>
        <w:jc w:val="both"/>
        <w:ind w:right="180" w:firstLine="474"/>
        <w:spacing w:after="0" w:line="246" w:lineRule="auto"/>
        <w:rPr>
          <w:sz w:val="20"/>
          <w:szCs w:val="20"/>
          <w:color w:val="auto"/>
        </w:rPr>
      </w:pPr>
      <w:r>
        <w:rPr>
          <w:rFonts w:ascii="Arial" w:cs="Arial" w:eastAsia="Arial" w:hAnsi="Arial"/>
          <w:sz w:val="17"/>
          <w:szCs w:val="17"/>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00"/>
        <w:spacing w:after="0" w:line="252" w:lineRule="auto"/>
        <w:rPr>
          <w:sz w:val="20"/>
          <w:szCs w:val="20"/>
          <w:color w:val="auto"/>
        </w:rPr>
      </w:pPr>
      <w:r>
        <w:rPr>
          <w:rFonts w:ascii="Arial" w:cs="Arial" w:eastAsia="Arial" w:hAnsi="Arial"/>
          <w:sz w:val="17"/>
          <w:szCs w:val="17"/>
          <w:color w:val="auto"/>
        </w:rPr>
        <w:t>conduct a clinical trial that compares the cost-effectiveness of our drug candidate to other available therapies. If reimbursement of our drugs is unavailable or limited in scope or amount, or if pricing is set at unsatisfactory levels, our business could be harmed, possibly materially.</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2" w:lineRule="exact"/>
        <w:rPr>
          <w:sz w:val="20"/>
          <w:szCs w:val="20"/>
          <w:color w:val="auto"/>
        </w:rPr>
      </w:pPr>
    </w:p>
    <w:p>
      <w:pPr>
        <w:ind w:right="540" w:firstLine="464"/>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3" w:lineRule="exact"/>
        <w:rPr>
          <w:sz w:val="20"/>
          <w:szCs w:val="20"/>
          <w:color w:val="auto"/>
        </w:rPr>
      </w:pPr>
    </w:p>
    <w:p>
      <w:pPr>
        <w:ind w:right="520" w:firstLine="474"/>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206" w:lineRule="exact"/>
        <w:rPr>
          <w:sz w:val="20"/>
          <w:szCs w:val="20"/>
          <w:color w:val="auto"/>
        </w:rPr>
      </w:pPr>
    </w:p>
    <w:p>
      <w:pPr>
        <w:ind w:right="640" w:firstLine="474"/>
        <w:spacing w:after="0" w:line="252"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recent business combinations among large pharmaceutical companies that have resulted in a reduced number of potential future collaborators.</w:t>
      </w:r>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202"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drug candidates. We expect to rely heavily on these parties for execution of clinical trials for our drug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20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9"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1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92"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98"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204"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 party manufacturers, reliance on third party manufacturers entails additional risks, including:</w:t>
      </w:r>
    </w:p>
    <w:p>
      <w:pPr>
        <w:spacing w:after="0" w:line="193"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99" w:lineRule="exact"/>
        <w:rPr>
          <w:sz w:val="20"/>
          <w:szCs w:val="20"/>
          <w:color w:val="auto"/>
        </w:rPr>
      </w:pPr>
    </w:p>
    <w:p>
      <w:pPr>
        <w:ind w:right="80" w:firstLine="464"/>
        <w:spacing w:after="0" w:line="24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98"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73"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for any reason.</w:t>
      </w:r>
    </w:p>
    <w:p>
      <w:pPr>
        <w:spacing w:after="0" w:line="20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7"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BLU-285 and BLU-554,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2"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own a patent and patent applications that relate to BLU-285 and BLU-554 as composition of matter. We also own applications relating to composition of matter for KIT Exon 17 inhibitors with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different compound families, composition of matter for FGFR4 inhibitors with multiple compound families, and composition of matter for inhibitors of the predicted RET resistance mutations, as well as methods of use for these novel compounds. The issued patent directed to BLU-554 composition of matter is expected to expire in 2033, and our pending patent applications, if issued, are projected to expire between 2034 and 2036.</w:t>
      </w:r>
    </w:p>
    <w:p>
      <w:pPr>
        <w:spacing w:after="0" w:line="199" w:lineRule="exact"/>
        <w:rPr>
          <w:sz w:val="20"/>
          <w:szCs w:val="20"/>
          <w:color w:val="auto"/>
        </w:rPr>
      </w:pPr>
    </w:p>
    <w:p>
      <w:pPr>
        <w:ind w:right="440" w:firstLine="464"/>
        <w:spacing w:after="0" w:line="252" w:lineRule="auto"/>
        <w:rPr>
          <w:sz w:val="20"/>
          <w:szCs w:val="20"/>
          <w:color w:val="auto"/>
        </w:rPr>
      </w:pPr>
      <w:r>
        <w:rPr>
          <w:rFonts w:ascii="Arial" w:cs="Arial" w:eastAsia="Arial" w:hAnsi="Arial"/>
          <w:sz w:val="17"/>
          <w:szCs w:val="17"/>
          <w:color w:val="auto"/>
        </w:rPr>
        <w:t>As of February 7, 2015, we owned four pending U.S. patent applications, nine pending foreign patent applications and three pending Patent Cooperation Treaty, or PCT, patent applications that relate to our KIT Exon 17 program.</w:t>
      </w:r>
    </w:p>
    <w:p>
      <w:pPr>
        <w:spacing w:after="0" w:line="193" w:lineRule="exact"/>
        <w:rPr>
          <w:sz w:val="20"/>
          <w:szCs w:val="20"/>
          <w:color w:val="auto"/>
        </w:rPr>
      </w:pPr>
    </w:p>
    <w:p>
      <w:pPr>
        <w:ind w:right="160" w:firstLine="464"/>
        <w:spacing w:after="0" w:line="252" w:lineRule="auto"/>
        <w:rPr>
          <w:sz w:val="20"/>
          <w:szCs w:val="20"/>
          <w:color w:val="auto"/>
        </w:rPr>
      </w:pPr>
      <w:r>
        <w:rPr>
          <w:rFonts w:ascii="Arial" w:cs="Arial" w:eastAsia="Arial" w:hAnsi="Arial"/>
          <w:sz w:val="17"/>
          <w:szCs w:val="17"/>
          <w:color w:val="auto"/>
        </w:rPr>
        <w:t>As of February 7, 2015, we owned one issued U.S. patent, three pending U.S. patent applications, 32 foreign patent applications corresponding to two of these pending U.S. applications, and two pending PCT patent applications that relate to our FGFR4 program.</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7, 2015, we owned one pending U.S. patent application that relates to our RET program.</w:t>
      </w:r>
    </w:p>
    <w:p>
      <w:pPr>
        <w:spacing w:after="0" w:line="211"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February 7, 2015, we owned eight pending U.S. patent applications and two PCT patent applications related to our platform.</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93"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4"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2"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8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03"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other intellectual property rights, which could be expensive, time consuming and unsuccessful.</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04" w:lineRule="exact"/>
        <w:rPr>
          <w:sz w:val="20"/>
          <w:szCs w:val="20"/>
          <w:color w:val="auto"/>
        </w:rPr>
      </w:pPr>
    </w:p>
    <w:p>
      <w:pPr>
        <w:ind w:right="20" w:firstLine="464"/>
        <w:spacing w:after="0" w:line="244"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6"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continuation of patent litigation or other proceedings could have a material adverse effect on our ability to compete in the marketplace.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ind w:right="60" w:firstLine="470"/>
        <w:spacing w:after="0" w:line="242"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effectively enforce our intellectual property rights throughout the world.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204" w:lineRule="exact"/>
        <w:rPr>
          <w:sz w:val="20"/>
          <w:szCs w:val="20"/>
          <w:color w:val="auto"/>
        </w:rPr>
      </w:pPr>
    </w:p>
    <w:p>
      <w:pPr>
        <w:jc w:val="both"/>
        <w:ind w:right="80" w:firstLine="474"/>
        <w:spacing w:after="0" w:line="245"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05"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05"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Risks Related to Employee Matters, Managing Growth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Risks Related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Jeffrey W. Albers, our President and Chief Executive Officer, Anthony L. Boral, our Senior Vice President, Clinical Development, Kyle D. Kuvalanka, our Chief Business Officer,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may limit their availability to us. If we are unable to continue to attract and retain high quality personnel, our ability to pursue our growth strategy will be limited.</w:t>
      </w:r>
    </w:p>
    <w:p>
      <w:pPr>
        <w:spacing w:after="0" w:line="193" w:lineRule="exact"/>
        <w:rPr>
          <w:sz w:val="20"/>
          <w:szCs w:val="20"/>
          <w:color w:val="auto"/>
        </w:rPr>
      </w:pPr>
    </w:p>
    <w:p>
      <w:pPr>
        <w:ind w:right="140" w:firstLine="474"/>
        <w:spacing w:after="0" w:line="242"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We will need to develop and expand our company, and we may encounter difficulties in managing this development and expansion, which could disrupt our operations.</w:t>
      </w:r>
    </w:p>
    <w:p>
      <w:pPr>
        <w:spacing w:after="0" w:line="173"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As of February 15, 2015, we had 59 full-time employees and no part-time employees,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86"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7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drugs, or form strategic alliances, in the future, and we may not realize the benefits of such acquisitions.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73"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201"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73"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98"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competitive drugs or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results of clinical trials of our drug candidates or those of our competitors;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level of expenses related to any of our drug candidates or clinical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9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17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Prior to this offering, there has been no public market for shares of our common stock. Although we anticipate that our common stock will be approved for listing on The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17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173" w:lineRule="exact"/>
        <w:rPr>
          <w:sz w:val="20"/>
          <w:szCs w:val="20"/>
          <w:color w:val="auto"/>
        </w:rPr>
      </w:pPr>
    </w:p>
    <w:p>
      <w:pPr>
        <w:ind w:right="440" w:firstLine="474"/>
        <w:spacing w:after="0" w:line="241"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Third Rock</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Ventures and entities affiliated with Fidelity Biosciences Corp., or Fidelity, will represent beneficial ownership, in the aggregate, of approximately %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206"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1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principal stockholders and their affiliates.</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31"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December 31, 2014, upon the completion of this offering, we will have</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outstanding a total of shares of common stock, assuming no exercise of the underwriters' option to purchase additional shares. Of these shares, as of the date of this prospectus, approximately shares of our common stock, plus any shares sold upon exercise of the underwriters' option to</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99" w:lineRule="exact"/>
        <w:rPr>
          <w:sz w:val="20"/>
          <w:szCs w:val="20"/>
          <w:color w:val="auto"/>
        </w:rPr>
      </w:pPr>
    </w:p>
    <w:p>
      <w:pPr>
        <w:ind w:right="380" w:firstLine="470"/>
        <w:spacing w:after="0" w:line="241"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 based upon the number of shares of common stock, on an as-converted basis, outstanding as of December 31, 2014, up to an</w:t>
      </w:r>
    </w:p>
    <w:p>
      <w:pPr>
        <w:spacing w:after="0" w:line="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additional shares of common stock will be eligible for sale in the public market, % of which shares are held by directors, executive officers and other affiliates and will be subject to certain limitations of Rule 144 under the Securities Act of 1933, as amended, or the Securities Act.</w:t>
      </w:r>
    </w:p>
    <w:p>
      <w:pPr>
        <w:spacing w:after="0" w:line="193"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completion of this offering,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98"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After this offering, the holders of approximately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17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73"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fund our Phase 1 clinical trials of BLU-285 in SM and GIST, our Phase 1 clinical trial of BLU-554 in HCC, and to fund new and ongoing research activities including for our RET program, working capital and other general corporate purposes,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 billion or more; (ii) 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1"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210"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5" w:lineRule="exact"/>
        <w:rPr>
          <w:rFonts w:ascii="Arial" w:cs="Arial" w:eastAsia="Arial" w:hAnsi="Arial"/>
          <w:sz w:val="17"/>
          <w:szCs w:val="17"/>
          <w:color w:val="auto"/>
        </w:rPr>
      </w:pPr>
    </w:p>
    <w:p>
      <w:pPr>
        <w:jc w:val="both"/>
        <w:ind w:left="1060" w:right="7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210"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9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9" w:lineRule="exact"/>
        <w:rPr>
          <w:sz w:val="20"/>
          <w:szCs w:val="20"/>
          <w:color w:val="auto"/>
        </w:rPr>
      </w:pPr>
    </w:p>
    <w:p>
      <w:pPr>
        <w:ind w:right="300" w:firstLine="474"/>
        <w:spacing w:after="0" w:line="245"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same new or revised accounting standards as other public companies that are not emerging growth companies.</w:t>
      </w:r>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7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the Company.</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This prospectus contains forward-looking statements that involve risks and uncertainties.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99"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revenues and capital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 and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 and to identify, hire and retain additional qualified professionals;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number of patients with the genomically defined diseases that our drug candidates are targeting;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or likelihood of regulatory filing and approvals;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commercialization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pricing and reimbursement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drug candidates and technology;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benefits of strategic collaboration agreements and our ability to enter into strategic arrangements;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or obtain additional grant funding;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21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Any forward-looking statements in this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in this prospectus. Given these uncertainties, you should not place undue reliance on these forward-looking statements. Except as required by law, we assume no obligation to update or revise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these forward-looking statements for any reason, even if new information becomes available in the future.</w:t>
      </w:r>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23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620"/>
        </w:trPr>
        <w:tc>
          <w:tcPr>
            <w:tcW w:w="3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360" w:type="dxa"/>
            <w:vAlign w:val="bottom"/>
            <w:gridSpan w:val="2"/>
          </w:tcPr>
          <w:p>
            <w:pPr>
              <w:ind w:left="2580"/>
              <w:spacing w:after="0"/>
              <w:rPr>
                <w:sz w:val="20"/>
                <w:szCs w:val="20"/>
                <w:color w:val="auto"/>
              </w:rPr>
            </w:pPr>
            <w:r>
              <w:rPr>
                <w:rFonts w:ascii="Arial" w:cs="Arial" w:eastAsia="Arial" w:hAnsi="Arial"/>
                <w:sz w:val="17"/>
                <w:szCs w:val="17"/>
                <w:b w:val="1"/>
                <w:bCs w:val="1"/>
                <w:color w:val="auto"/>
              </w:rPr>
              <w:t>USE OF PROCEEDS</w:t>
            </w:r>
          </w:p>
        </w:tc>
        <w:tc>
          <w:tcPr>
            <w:tcW w:w="4720" w:type="dxa"/>
            <w:vAlign w:val="bottom"/>
          </w:tcPr>
          <w:p>
            <w:pPr>
              <w:spacing w:after="0"/>
              <w:rPr>
                <w:sz w:val="24"/>
                <w:szCs w:val="24"/>
                <w:color w:val="auto"/>
              </w:rPr>
            </w:pPr>
          </w:p>
        </w:tc>
      </w:tr>
      <w:tr>
        <w:trPr>
          <w:trHeight w:val="399"/>
        </w:trPr>
        <w:tc>
          <w:tcPr>
            <w:tcW w:w="380" w:type="dxa"/>
            <w:vAlign w:val="bottom"/>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7"/>
                <w:szCs w:val="17"/>
                <w:color w:val="auto"/>
              </w:rPr>
              <w:t>We estimate that we will receive net proceeds of approximately $</w:t>
            </w:r>
          </w:p>
        </w:tc>
        <w:tc>
          <w:tcPr>
            <w:tcW w:w="5580" w:type="dxa"/>
            <w:vAlign w:val="bottom"/>
            <w:gridSpan w:val="2"/>
          </w:tcPr>
          <w:p>
            <w:pPr>
              <w:jc w:val="right"/>
              <w:ind w:right="495"/>
              <w:spacing w:after="0"/>
              <w:rPr>
                <w:sz w:val="20"/>
                <w:szCs w:val="20"/>
                <w:color w:val="auto"/>
              </w:rPr>
            </w:pPr>
            <w:r>
              <w:rPr>
                <w:rFonts w:ascii="Arial" w:cs="Arial" w:eastAsia="Arial" w:hAnsi="Arial"/>
                <w:sz w:val="17"/>
                <w:szCs w:val="17"/>
                <w:color w:val="auto"/>
              </w:rPr>
              <w:t>million from the sale of the shares of common stock offered in this</w:t>
            </w:r>
          </w:p>
        </w:tc>
      </w:tr>
      <w:tr>
        <w:trPr>
          <w:trHeight w:val="197"/>
        </w:trPr>
        <w:tc>
          <w:tcPr>
            <w:tcW w:w="2300" w:type="dxa"/>
            <w:vAlign w:val="bottom"/>
            <w:gridSpan w:val="3"/>
          </w:tcPr>
          <w:p>
            <w:pPr>
              <w:spacing w:after="0"/>
              <w:rPr>
                <w:sz w:val="20"/>
                <w:szCs w:val="20"/>
                <w:color w:val="auto"/>
              </w:rPr>
            </w:pPr>
            <w:r>
              <w:rPr>
                <w:rFonts w:ascii="Arial" w:cs="Arial" w:eastAsia="Arial" w:hAnsi="Arial"/>
                <w:sz w:val="17"/>
                <w:szCs w:val="17"/>
                <w:color w:val="auto"/>
              </w:rPr>
              <w:t>offering, or approximately $</w:t>
            </w:r>
          </w:p>
        </w:tc>
        <w:tc>
          <w:tcPr>
            <w:tcW w:w="9080" w:type="dxa"/>
            <w:vAlign w:val="bottom"/>
            <w:gridSpan w:val="3"/>
          </w:tcPr>
          <w:p>
            <w:pPr>
              <w:jc w:val="right"/>
              <w:spacing w:after="0"/>
              <w:rPr>
                <w:sz w:val="20"/>
                <w:szCs w:val="20"/>
                <w:color w:val="auto"/>
              </w:rPr>
            </w:pPr>
            <w:r>
              <w:rPr>
                <w:rFonts w:ascii="Arial" w:cs="Arial" w:eastAsia="Arial" w:hAnsi="Arial"/>
                <w:sz w:val="17"/>
                <w:szCs w:val="17"/>
                <w:color w:val="auto"/>
              </w:rPr>
              <w:t>million if the underwriters exercise their over-allotment option in full, based on an assumed initial public offering price</w:t>
            </w:r>
          </w:p>
        </w:tc>
      </w:tr>
      <w:tr>
        <w:trPr>
          <w:trHeight w:val="197"/>
        </w:trPr>
        <w:tc>
          <w:tcPr>
            <w:tcW w:w="380" w:type="dxa"/>
            <w:vAlign w:val="bottom"/>
          </w:tcPr>
          <w:p>
            <w:pPr>
              <w:spacing w:after="0"/>
              <w:rPr>
                <w:sz w:val="20"/>
                <w:szCs w:val="20"/>
                <w:color w:val="auto"/>
              </w:rPr>
            </w:pPr>
            <w:r>
              <w:rPr>
                <w:rFonts w:ascii="Arial" w:cs="Arial" w:eastAsia="Arial" w:hAnsi="Arial"/>
                <w:sz w:val="17"/>
                <w:szCs w:val="17"/>
                <w:color w:val="auto"/>
              </w:rPr>
              <w:t>of $</w:t>
            </w:r>
          </w:p>
        </w:tc>
        <w:tc>
          <w:tcPr>
            <w:tcW w:w="11000" w:type="dxa"/>
            <w:vAlign w:val="bottom"/>
            <w:gridSpan w:val="5"/>
          </w:tcPr>
          <w:p>
            <w:pPr>
              <w:jc w:val="right"/>
              <w:ind w:right="495"/>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 and after deducting the underwriting</w:t>
            </w:r>
          </w:p>
        </w:tc>
      </w:tr>
      <w:tr>
        <w:trPr>
          <w:trHeight w:val="204"/>
        </w:trPr>
        <w:tc>
          <w:tcPr>
            <w:tcW w:w="5800" w:type="dxa"/>
            <w:vAlign w:val="bottom"/>
            <w:gridSpan w:val="4"/>
          </w:tcPr>
          <w:p>
            <w:pPr>
              <w:spacing w:after="0"/>
              <w:rPr>
                <w:sz w:val="20"/>
                <w:szCs w:val="20"/>
                <w:color w:val="auto"/>
              </w:rPr>
            </w:pPr>
            <w:r>
              <w:rPr>
                <w:rFonts w:ascii="Arial" w:cs="Arial" w:eastAsia="Arial" w:hAnsi="Arial"/>
                <w:sz w:val="17"/>
                <w:szCs w:val="17"/>
                <w:color w:val="auto"/>
              </w:rPr>
              <w:t>discounts and commissions and estimated offering expenses payable by us.</w:t>
            </w:r>
          </w:p>
        </w:tc>
        <w:tc>
          <w:tcPr>
            <w:tcW w:w="8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399"/>
        </w:trPr>
        <w:tc>
          <w:tcPr>
            <w:tcW w:w="380" w:type="dxa"/>
            <w:vAlign w:val="bottom"/>
          </w:tcPr>
          <w:p>
            <w:pPr>
              <w:spacing w:after="0"/>
              <w:rPr>
                <w:sz w:val="24"/>
                <w:szCs w:val="24"/>
                <w:color w:val="auto"/>
              </w:rPr>
            </w:pPr>
          </w:p>
        </w:tc>
        <w:tc>
          <w:tcPr>
            <w:tcW w:w="6280" w:type="dxa"/>
            <w:vAlign w:val="bottom"/>
            <w:gridSpan w:val="4"/>
          </w:tcPr>
          <w:p>
            <w:pPr>
              <w:ind w:left="10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720" w:type="dxa"/>
            <w:vAlign w:val="bottom"/>
          </w:tcPr>
          <w:p>
            <w:pPr>
              <w:jc w:val="right"/>
              <w:spacing w:after="0"/>
              <w:rPr>
                <w:sz w:val="20"/>
                <w:szCs w:val="20"/>
                <w:color w:val="auto"/>
              </w:rPr>
            </w:pPr>
            <w:r>
              <w:rPr>
                <w:rFonts w:ascii="Arial" w:cs="Arial" w:eastAsia="Arial" w:hAnsi="Arial"/>
                <w:sz w:val="17"/>
                <w:szCs w:val="17"/>
                <w:color w:val="auto"/>
              </w:rPr>
              <w:t>per share, the midpoint of the estimated price range set forth</w:t>
            </w:r>
          </w:p>
        </w:tc>
      </w:tr>
    </w:tbl>
    <w:p>
      <w:pPr>
        <w:spacing w:after="0"/>
        <w:rPr>
          <w:sz w:val="20"/>
          <w:szCs w:val="20"/>
          <w:color w:val="auto"/>
        </w:rPr>
      </w:pPr>
      <w:r>
        <w:rPr>
          <w:rFonts w:ascii="Arial" w:cs="Arial" w:eastAsia="Arial" w:hAnsi="Arial"/>
          <w:sz w:val="17"/>
          <w:szCs w:val="17"/>
          <w:color w:val="auto"/>
        </w:rPr>
        <w:t>on the cover page of this prospectus, would increase (decrease) the net proceeds to us from this offering, after deducting the underwriting discounts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and commissions and estimated offering expenses payable by us, by approximately $ million, assuming that the number of shares offered by us, as set forth on the cover page of this prospectus, remains the same. We may also increase or decrease the number of shares we are offering. An increase (decrease) of 1,000,000 in the number of shares we are offering would increase (decrease) the net proceeds to us from this offering, after</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deducting the underwriting discounts and commissions and estimated offering expenses payable by us, by approximately $ million, assuming the initial public offering price stays the same. An increase of 1,000,000 in the number of shares we are offering, together with a $1.00 increase in the assumed initial public offering price of $ per share, the midpoint of the estimated price range set forth on the cover page of this prospectus, would increase the net proceeds to us from this offering, after deducting the underwriting discounts and commissions and estimated offering expenses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payable by us, by approximately $ million. A decrease of 1,000,000 in the number of shares we are offering, together with a $1.00 decrease in the assumed initial public offering price of $ per share, the midpoint of the estimated price range set forth on the cover page of this prospectus, would decrease the net proceeds to us from this offering, after deducting the underwriting discounts and commissions and estimated offering expenses</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payable by us, by approximately $ million. We do not expect that a change in the initial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99"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The principal purposes of this offering are to increase our financial flexibility, create a public market for our common stock and to facilitate our access to the public equity markets. We currently expect to use the net proceeds from this offering as follows:</w:t>
      </w:r>
    </w:p>
    <w:p>
      <w:pPr>
        <w:spacing w:after="0" w:line="193"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   million for our Phase 1 clinical trials of BLU-285 in SM and GIST;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   million for our Phase 1 clinical trial of BLU-554 in HCC;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   million for new and ongoing research activities, including for our RET program.</w:t>
      </w:r>
    </w:p>
    <w:p>
      <w:pPr>
        <w:spacing w:after="0" w:line="211" w:lineRule="exact"/>
        <w:rPr>
          <w:sz w:val="20"/>
          <w:szCs w:val="20"/>
          <w:color w:val="auto"/>
        </w:rPr>
      </w:pPr>
    </w:p>
    <w:p>
      <w:pPr>
        <w:ind w:right="480" w:firstLine="474"/>
        <w:spacing w:after="0" w:line="252" w:lineRule="auto"/>
        <w:rPr>
          <w:sz w:val="20"/>
          <w:szCs w:val="20"/>
          <w:color w:val="auto"/>
        </w:rPr>
      </w:pPr>
      <w:r>
        <w:rPr>
          <w:rFonts w:ascii="Arial" w:cs="Arial" w:eastAsia="Arial" w:hAnsi="Arial"/>
          <w:sz w:val="17"/>
          <w:szCs w:val="17"/>
          <w:color w:val="auto"/>
        </w:rPr>
        <w:t>We expect to use the remainder of the net proceeds from this offering for working capital and other general corporate purposes, which may include funding for the hiring of additional personnel, capital expenditures and the costs of operating as a public company.</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Based on our current plans, we believe our cash and cash equivalents, together with the net proceeds to us from this offering, will be sufficient to</w:t>
      </w:r>
    </w:p>
    <w:p>
      <w:pPr>
        <w:spacing w:after="0" w:line="1" w:lineRule="exact"/>
        <w:rPr>
          <w:sz w:val="20"/>
          <w:szCs w:val="20"/>
          <w:color w:val="auto"/>
        </w:rPr>
      </w:pPr>
    </w:p>
    <w:p>
      <w:pPr>
        <w:spacing w:after="0"/>
        <w:tabs>
          <w:tab w:leader="none" w:pos="3340" w:val="left"/>
        </w:tabs>
        <w:rPr>
          <w:sz w:val="20"/>
          <w:szCs w:val="20"/>
          <w:color w:val="auto"/>
        </w:rPr>
      </w:pPr>
      <w:r>
        <w:rPr>
          <w:rFonts w:ascii="Arial" w:cs="Arial" w:eastAsia="Arial" w:hAnsi="Arial"/>
          <w:sz w:val="17"/>
          <w:szCs w:val="17"/>
          <w:color w:val="auto"/>
        </w:rPr>
        <w:t>fund our operations through at least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280" w:firstLine="464"/>
        <w:spacing w:after="0" w:line="245" w:lineRule="auto"/>
        <w:rPr>
          <w:sz w:val="20"/>
          <w:szCs w:val="20"/>
          <w:color w:val="auto"/>
        </w:rPr>
      </w:pPr>
      <w:r>
        <w:rPr>
          <w:rFonts w:ascii="Arial" w:cs="Arial" w:eastAsia="Arial" w:hAnsi="Arial"/>
          <w:sz w:val="17"/>
          <w:szCs w:val="17"/>
          <w:color w:val="auto"/>
        </w:rPr>
        <w:t>Although we currently anticipate that we will use the net proceeds from this offering as described above, there may be circumstances where a reallocation of funds is necessary. The amounts and timing of our actual expenditures will depend upon numerous factors, including our sales and marketing and commercialization efforts, demand for our drugs, our operating costs and the other factors described under "Risk Factors" in this prospectus. Accordingly, our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will have flexibility in applying the net proceeds from this offering. An investor will not have the opportunity to evaluate the economic, financial or other information on which we base our decisions on how to use the proceeds.</w:t>
      </w:r>
    </w:p>
    <w:p>
      <w:pPr>
        <w:spacing w:after="0" w:line="193"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Although we may use a portion of the net proceeds of this offering for the acquisition or licensing, as the case may be, of additional technologies, other assets or businesses, or for other strategic investments or opportunities, we have no current understandings, agreements or commitments to do so.</w:t>
      </w:r>
    </w:p>
    <w:p>
      <w:pPr>
        <w:spacing w:after="0" w:line="199"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2014:</w:t>
      </w:r>
    </w:p>
    <w:p>
      <w:pPr>
        <w:spacing w:after="0" w:line="211"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basis to reflect the conversion of all outstanding shares of our convertible preferred stock into an aggregate of 85,071,252 shares of common stock and the conversion of our preferred stock warrants into warrants to purchase 233,333 shares of our common stock prior to the completion of this offering; and</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as adjusted basis to additionally reflect the issuance and sale by us of shares of our common stock in this offering, after</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deducting estimated underwriting discounts and commissions and estimated offering expenses payable by us, at an assumed initial</w:t>
      </w:r>
    </w:p>
    <w:p>
      <w:pPr>
        <w:spacing w:after="0" w:line="1"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7"/>
          <w:szCs w:val="17"/>
          <w:color w:val="auto"/>
        </w:rPr>
        <w:t>public offering price of $</w:t>
      </w:r>
      <w:r>
        <w:rPr>
          <w:sz w:val="20"/>
          <w:szCs w:val="20"/>
          <w:color w:val="auto"/>
        </w:rPr>
        <w:tab/>
      </w:r>
      <w:r>
        <w:rPr>
          <w:rFonts w:ascii="Arial" w:cs="Arial" w:eastAsia="Arial" w:hAnsi="Arial"/>
          <w:sz w:val="17"/>
          <w:szCs w:val="17"/>
          <w:color w:val="auto"/>
        </w:rPr>
        <w:t>per share, the midpoint of the estimated price range set forth on the cover page of this prospectus.</w:t>
      </w:r>
    </w:p>
    <w:p>
      <w:pPr>
        <w:spacing w:after="0" w:line="21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Our capitalization following the closing of this offering will be adjusted based on the actual initial public offering price and other terms of the offering determined at pricing. You should read this information together with our audited financial statements and related notes appearing elsewhere in this prospectus and the information set forth under the heading "Selected Financial Data" and "Management's Discussion and Analysis of Financial Condition and Results of Operations."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327"/>
              <w:spacing w:after="0"/>
              <w:rPr>
                <w:sz w:val="20"/>
                <w:szCs w:val="20"/>
                <w:color w:val="auto"/>
              </w:rPr>
            </w:pPr>
            <w:r>
              <w:rPr>
                <w:rFonts w:ascii="Arial" w:cs="Arial" w:eastAsia="Arial" w:hAnsi="Arial"/>
                <w:sz w:val="17"/>
                <w:szCs w:val="17"/>
                <w:b w:val="1"/>
                <w:bCs w:val="1"/>
                <w:color w:val="auto"/>
              </w:rPr>
              <w:t>As of December 31, 2014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80"/>
              <w:spacing w:after="0" w:line="173" w:lineRule="exact"/>
              <w:rPr>
                <w:sz w:val="20"/>
                <w:szCs w:val="20"/>
                <w:color w:val="auto"/>
              </w:rPr>
            </w:pPr>
            <w:r>
              <w:rPr>
                <w:rFonts w:ascii="Arial" w:cs="Arial" w:eastAsia="Arial" w:hAnsi="Arial"/>
                <w:sz w:val="17"/>
                <w:szCs w:val="17"/>
                <w:b w:val="1"/>
                <w:bCs w:val="1"/>
                <w:color w:val="auto"/>
                <w:w w:val="98"/>
              </w:rPr>
              <w:t>Pro forma as</w:t>
            </w:r>
          </w:p>
        </w:tc>
        <w:tc>
          <w:tcPr>
            <w:tcW w:w="0" w:type="dxa"/>
            <w:vAlign w:val="bottom"/>
          </w:tcPr>
          <w:p>
            <w:pPr>
              <w:spacing w:after="0"/>
              <w:rPr>
                <w:sz w:val="1"/>
                <w:szCs w:val="1"/>
                <w:color w:val="auto"/>
              </w:rPr>
            </w:pPr>
          </w:p>
        </w:tc>
      </w:tr>
      <w:tr>
        <w:trPr>
          <w:trHeight w:val="214"/>
        </w:trPr>
        <w:tc>
          <w:tcPr>
            <w:tcW w:w="6100" w:type="dxa"/>
            <w:vAlign w:val="bottom"/>
            <w:gridSpan w:val="4"/>
          </w:tcPr>
          <w:p>
            <w:pPr>
              <w:ind w:left="20"/>
              <w:spacing w:after="0"/>
              <w:rPr>
                <w:sz w:val="20"/>
                <w:szCs w:val="20"/>
                <w:color w:val="auto"/>
              </w:rPr>
            </w:pPr>
            <w:r>
              <w:rPr>
                <w:rFonts w:ascii="Arial" w:cs="Arial" w:eastAsia="Arial" w:hAnsi="Arial"/>
                <w:sz w:val="17"/>
                <w:szCs w:val="17"/>
                <w:b w:val="1"/>
                <w:bCs w:val="1"/>
                <w:color w:val="auto"/>
              </w:rPr>
              <w:t>(in thousands, except share and per share data)</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6"/>
              </w:rPr>
              <w:t>Actual</w:t>
            </w:r>
          </w:p>
        </w:tc>
        <w:tc>
          <w:tcPr>
            <w:tcW w:w="104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Pro forma</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9"/>
              </w:rPr>
              <w:t>adjusted(1)</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47,240</w:t>
            </w: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20"/>
              <w:spacing w:after="0"/>
              <w:rPr>
                <w:sz w:val="20"/>
                <w:szCs w:val="20"/>
                <w:color w:val="auto"/>
              </w:rPr>
            </w:pPr>
            <w:r>
              <w:rPr>
                <w:rFonts w:ascii="Arial" w:cs="Arial" w:eastAsia="Arial" w:hAnsi="Arial"/>
                <w:sz w:val="17"/>
                <w:szCs w:val="17"/>
                <w:color w:val="auto"/>
              </w:rPr>
              <w:t>Term loan payable, net of current portion</w:t>
            </w: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line="176" w:lineRule="exact"/>
              <w:rPr>
                <w:sz w:val="20"/>
                <w:szCs w:val="20"/>
                <w:color w:val="auto"/>
              </w:rPr>
            </w:pPr>
            <w:r>
              <w:rPr>
                <w:rFonts w:ascii="Arial" w:cs="Arial" w:eastAsia="Arial" w:hAnsi="Arial"/>
                <w:sz w:val="17"/>
                <w:szCs w:val="17"/>
                <w:color w:val="auto"/>
              </w:rPr>
              <w:t>7,338</w:t>
            </w:r>
          </w:p>
        </w:tc>
        <w:tc>
          <w:tcPr>
            <w:tcW w:w="112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Warrant to purchase convertible preferred stock</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4"/>
          </w:tcPr>
          <w:p>
            <w:pPr>
              <w:ind w:left="20"/>
              <w:spacing w:after="0"/>
              <w:rPr>
                <w:sz w:val="20"/>
                <w:szCs w:val="20"/>
                <w:color w:val="auto"/>
              </w:rPr>
            </w:pPr>
            <w:r>
              <w:rPr>
                <w:rFonts w:ascii="Arial" w:cs="Arial" w:eastAsia="Arial" w:hAnsi="Arial"/>
                <w:sz w:val="17"/>
                <w:szCs w:val="17"/>
                <w:color w:val="auto"/>
              </w:rPr>
              <w:t>Series A convertible preferred stock, $0.001 par value: 40,150,000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tcPr>
          <w:p>
            <w:pPr>
              <w:ind w:left="160"/>
              <w:spacing w:after="0"/>
              <w:rPr>
                <w:sz w:val="20"/>
                <w:szCs w:val="20"/>
                <w:color w:val="auto"/>
              </w:rPr>
            </w:pPr>
            <w:r>
              <w:rPr>
                <w:rFonts w:ascii="Arial" w:cs="Arial" w:eastAsia="Arial" w:hAnsi="Arial"/>
                <w:sz w:val="17"/>
                <w:szCs w:val="17"/>
                <w:color w:val="auto"/>
              </w:rPr>
              <w:t>authorized, 40,000,000 shares issued and outstanding, actual; no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39,958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Series B convertible preferred stock, $0.001 par value: 20,999,996 shares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authorized, 20,916,663 shares issued and outstanding, actual; no shares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shd w:val="clear" w:color="auto" w:fill="CCEEFF"/>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24,985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tcPr>
          <w:p>
            <w:pPr>
              <w:ind w:left="20"/>
              <w:spacing w:after="0"/>
              <w:rPr>
                <w:sz w:val="20"/>
                <w:szCs w:val="20"/>
                <w:color w:val="auto"/>
              </w:rPr>
            </w:pPr>
            <w:r>
              <w:rPr>
                <w:rFonts w:ascii="Arial" w:cs="Arial" w:eastAsia="Arial" w:hAnsi="Arial"/>
                <w:sz w:val="17"/>
                <w:szCs w:val="17"/>
                <w:color w:val="auto"/>
              </w:rPr>
              <w:t>Series C convertible preferred stock, $0.001 par value: 24,154,589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tcPr>
          <w:p>
            <w:pPr>
              <w:ind w:left="160"/>
              <w:spacing w:after="0"/>
              <w:rPr>
                <w:sz w:val="20"/>
                <w:szCs w:val="20"/>
                <w:color w:val="auto"/>
              </w:rPr>
            </w:pPr>
            <w:r>
              <w:rPr>
                <w:rFonts w:ascii="Arial" w:cs="Arial" w:eastAsia="Arial" w:hAnsi="Arial"/>
                <w:sz w:val="17"/>
                <w:szCs w:val="17"/>
                <w:color w:val="auto"/>
              </w:rPr>
              <w:t>authorized, 24,154,589 shares issued and outstanding, actual; no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49,868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Common stock, $0.001 par value; 110,000,000 shares authorized;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12,202,752, shares issued and 8,947,220 shares outstanding, actual;</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110,000,000 shares authorized, pro forma; 97,274,004 shares issued and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94,018,472 outstanding, pro forma;</w:t>
            </w: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shares authorized, pro forma as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w:t>
            </w:r>
          </w:p>
        </w:tc>
        <w:tc>
          <w:tcPr>
            <w:tcW w:w="5160" w:type="dxa"/>
            <w:vAlign w:val="bottom"/>
            <w:gridSpan w:val="3"/>
            <w:shd w:val="clear" w:color="auto" w:fill="CCEEFF"/>
          </w:tcPr>
          <w:p>
            <w:pPr>
              <w:ind w:left="520"/>
              <w:spacing w:after="0" w:line="194" w:lineRule="exact"/>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94</w:t>
            </w:r>
          </w:p>
        </w:tc>
        <w:tc>
          <w:tcPr>
            <w:tcW w:w="94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2,815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117,906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(82,206)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(82,206)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(82,206)</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160"/>
              <w:spacing w:after="0"/>
              <w:rPr>
                <w:sz w:val="20"/>
                <w:szCs w:val="20"/>
                <w:color w:val="auto"/>
              </w:rPr>
            </w:pPr>
            <w:r>
              <w:rPr>
                <w:rFonts w:ascii="Arial" w:cs="Arial" w:eastAsia="Arial" w:hAnsi="Arial"/>
                <w:sz w:val="17"/>
                <w:szCs w:val="17"/>
                <w:color w:val="auto"/>
              </w:rPr>
              <w:t>Total stockholders' (deficit) equity</w:t>
            </w: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7"/>
              </w:rPr>
              <w:t>(79,382)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35,794</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Total capitalization</w:t>
            </w:r>
          </w:p>
        </w:tc>
        <w:tc>
          <w:tcPr>
            <w:tcW w:w="2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43,132</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43,132</w:t>
            </w: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4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(1)</w:t>
            </w:r>
          </w:p>
        </w:tc>
        <w:tc>
          <w:tcPr>
            <w:tcW w:w="5980" w:type="dxa"/>
            <w:vAlign w:val="bottom"/>
            <w:gridSpan w:val="2"/>
          </w:tcPr>
          <w:p>
            <w:pPr>
              <w:ind w:left="16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3640" w:type="dxa"/>
            <w:vAlign w:val="bottom"/>
          </w:tcPr>
          <w:p>
            <w:pPr>
              <w:ind w:left="220"/>
              <w:spacing w:after="0"/>
              <w:rPr>
                <w:sz w:val="20"/>
                <w:szCs w:val="20"/>
                <w:color w:val="auto"/>
              </w:rPr>
            </w:pPr>
            <w:r>
              <w:rPr>
                <w:rFonts w:ascii="Arial" w:cs="Arial" w:eastAsia="Arial" w:hAnsi="Arial"/>
                <w:sz w:val="17"/>
                <w:szCs w:val="17"/>
                <w:color w:val="auto"/>
                <w:w w:val="99"/>
              </w:rPr>
              <w:t>per share, the midpoint of the estimated price</w:t>
            </w:r>
          </w:p>
        </w:tc>
      </w:tr>
      <w:tr>
        <w:trPr>
          <w:trHeight w:val="197"/>
        </w:trPr>
        <w:tc>
          <w:tcPr>
            <w:tcW w:w="380" w:type="dxa"/>
            <w:vAlign w:val="bottom"/>
          </w:tcPr>
          <w:p>
            <w:pPr>
              <w:spacing w:after="0"/>
              <w:rPr>
                <w:sz w:val="17"/>
                <w:szCs w:val="17"/>
                <w:color w:val="auto"/>
              </w:rPr>
            </w:pPr>
          </w:p>
        </w:tc>
        <w:tc>
          <w:tcPr>
            <w:tcW w:w="9620" w:type="dxa"/>
            <w:vAlign w:val="bottom"/>
            <w:gridSpan w:val="3"/>
          </w:tcPr>
          <w:p>
            <w:pPr>
              <w:ind w:left="160"/>
              <w:spacing w:after="0"/>
              <w:rPr>
                <w:sz w:val="20"/>
                <w:szCs w:val="20"/>
                <w:color w:val="auto"/>
              </w:rPr>
            </w:pPr>
            <w:r>
              <w:rPr>
                <w:rFonts w:ascii="Arial" w:cs="Arial" w:eastAsia="Arial" w:hAnsi="Arial"/>
                <w:sz w:val="17"/>
                <w:szCs w:val="17"/>
                <w:color w:val="auto"/>
              </w:rPr>
              <w:t>range set forth on the cover page of this prospectus, would increase (decrease) the amount of cash and cash equivalents,</w:t>
            </w:r>
          </w:p>
        </w:tc>
      </w:tr>
      <w:tr>
        <w:trPr>
          <w:trHeight w:val="197"/>
        </w:trPr>
        <w:tc>
          <w:tcPr>
            <w:tcW w:w="380" w:type="dxa"/>
            <w:vAlign w:val="bottom"/>
          </w:tcPr>
          <w:p>
            <w:pPr>
              <w:spacing w:after="0"/>
              <w:rPr>
                <w:sz w:val="17"/>
                <w:szCs w:val="17"/>
                <w:color w:val="auto"/>
              </w:rPr>
            </w:pPr>
          </w:p>
        </w:tc>
        <w:tc>
          <w:tcPr>
            <w:tcW w:w="9620" w:type="dxa"/>
            <w:vAlign w:val="bottom"/>
            <w:gridSpan w:val="3"/>
          </w:tcPr>
          <w:p>
            <w:pPr>
              <w:ind w:left="160"/>
              <w:spacing w:after="0"/>
              <w:rPr>
                <w:sz w:val="20"/>
                <w:szCs w:val="20"/>
                <w:color w:val="auto"/>
              </w:rPr>
            </w:pPr>
            <w:r>
              <w:rPr>
                <w:rFonts w:ascii="Arial" w:cs="Arial" w:eastAsia="Arial" w:hAnsi="Arial"/>
                <w:sz w:val="17"/>
                <w:szCs w:val="17"/>
                <w:color w:val="auto"/>
              </w:rPr>
              <w:t>additional paid-in capital, total stockholders' (deficit) equity and total capitalization on a pro forma as adjusted basis by</w:t>
            </w:r>
          </w:p>
        </w:tc>
      </w:tr>
      <w:tr>
        <w:trPr>
          <w:trHeight w:val="197"/>
        </w:trPr>
        <w:tc>
          <w:tcPr>
            <w:tcW w:w="380" w:type="dxa"/>
            <w:vAlign w:val="bottom"/>
          </w:tcPr>
          <w:p>
            <w:pPr>
              <w:spacing w:after="0"/>
              <w:rPr>
                <w:sz w:val="17"/>
                <w:szCs w:val="17"/>
                <w:color w:val="auto"/>
              </w:rPr>
            </w:pPr>
          </w:p>
        </w:tc>
        <w:tc>
          <w:tcPr>
            <w:tcW w:w="1600" w:type="dxa"/>
            <w:vAlign w:val="bottom"/>
          </w:tcPr>
          <w:p>
            <w:pPr>
              <w:ind w:left="160"/>
              <w:spacing w:after="0"/>
              <w:rPr>
                <w:sz w:val="20"/>
                <w:szCs w:val="20"/>
                <w:color w:val="auto"/>
              </w:rPr>
            </w:pPr>
            <w:r>
              <w:rPr>
                <w:rFonts w:ascii="Arial" w:cs="Arial" w:eastAsia="Arial" w:hAnsi="Arial"/>
                <w:sz w:val="17"/>
                <w:szCs w:val="17"/>
                <w:color w:val="auto"/>
              </w:rPr>
              <w:t>approximately $</w:t>
            </w:r>
          </w:p>
        </w:tc>
        <w:tc>
          <w:tcPr>
            <w:tcW w:w="8020" w:type="dxa"/>
            <w:vAlign w:val="bottom"/>
            <w:gridSpan w:val="2"/>
          </w:tcPr>
          <w:p>
            <w:pPr>
              <w:ind w:left="220"/>
              <w:spacing w:after="0"/>
              <w:rPr>
                <w:sz w:val="20"/>
                <w:szCs w:val="20"/>
                <w:color w:val="auto"/>
              </w:rPr>
            </w:pPr>
            <w:r>
              <w:rPr>
                <w:rFonts w:ascii="Arial" w:cs="Arial" w:eastAsia="Arial" w:hAnsi="Arial"/>
                <w:sz w:val="17"/>
                <w:szCs w:val="17"/>
                <w:color w:val="auto"/>
              </w:rPr>
              <w:t>million, assuming the number of shares offered by us, as set forth on the cover page of this prospectus,</w:t>
            </w:r>
          </w:p>
        </w:tc>
      </w:tr>
    </w:tbl>
    <w:p>
      <w:pPr>
        <w:ind w:left="1680" w:right="80"/>
        <w:spacing w:after="0" w:line="252" w:lineRule="auto"/>
        <w:rPr>
          <w:sz w:val="20"/>
          <w:szCs w:val="20"/>
          <w:color w:val="auto"/>
        </w:rPr>
      </w:pPr>
      <w:r>
        <w:rPr>
          <w:rFonts w:ascii="Arial" w:cs="Arial" w:eastAsia="Arial" w:hAnsi="Arial"/>
          <w:sz w:val="17"/>
          <w:szCs w:val="17"/>
          <w:color w:val="auto"/>
        </w:rPr>
        <w:t>remains the same and after deducting underwriting discounts and commissions and estimated offering expenses payable by us. Similarly, each increase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(decrease) of one million shares offered by us would increase (decrease) cash and cash equivalents, total stockholders' equity</w:t>
      </w:r>
    </w:p>
    <w:p>
      <w:pPr>
        <w:spacing w:after="0" w:line="1" w:lineRule="exact"/>
        <w:rPr>
          <w:sz w:val="20"/>
          <w:szCs w:val="20"/>
          <w:color w:val="auto"/>
        </w:rPr>
      </w:pPr>
    </w:p>
    <w:p>
      <w:pPr>
        <w:ind w:left="1680"/>
        <w:spacing w:after="0"/>
        <w:tabs>
          <w:tab w:leader="none" w:pos="8420" w:val="left"/>
        </w:tabs>
        <w:rPr>
          <w:sz w:val="20"/>
          <w:szCs w:val="20"/>
          <w:color w:val="auto"/>
        </w:rPr>
      </w:pPr>
      <w:r>
        <w:rPr>
          <w:rFonts w:ascii="Arial" w:cs="Arial" w:eastAsia="Arial" w:hAnsi="Arial"/>
          <w:sz w:val="17"/>
          <w:szCs w:val="17"/>
          <w:color w:val="auto"/>
        </w:rPr>
        <w:t>(deficit) and total capitalization on a pro forma as adjusted basis by approximately $</w:t>
      </w:r>
      <w:r>
        <w:rPr>
          <w:sz w:val="20"/>
          <w:szCs w:val="20"/>
          <w:color w:val="auto"/>
        </w:rPr>
        <w:tab/>
      </w:r>
      <w:r>
        <w:rPr>
          <w:rFonts w:ascii="Arial" w:cs="Arial" w:eastAsia="Arial" w:hAnsi="Arial"/>
          <w:sz w:val="17"/>
          <w:szCs w:val="17"/>
          <w:color w:val="auto"/>
        </w:rPr>
        <w:t>million, assuming the assumed initial</w:t>
      </w:r>
    </w:p>
    <w:p>
      <w:pPr>
        <w:spacing w:after="0" w:line="1" w:lineRule="exact"/>
        <w:rPr>
          <w:sz w:val="20"/>
          <w:szCs w:val="20"/>
          <w:color w:val="auto"/>
        </w:rPr>
      </w:pPr>
    </w:p>
    <w:p>
      <w:pPr>
        <w:jc w:val="both"/>
        <w:ind w:left="1680" w:right="40"/>
        <w:spacing w:after="0" w:line="241" w:lineRule="auto"/>
        <w:rPr>
          <w:sz w:val="20"/>
          <w:szCs w:val="20"/>
          <w:color w:val="auto"/>
        </w:rPr>
      </w:pPr>
      <w:r>
        <w:rPr>
          <w:rFonts w:ascii="Arial" w:cs="Arial" w:eastAsia="Arial" w:hAnsi="Arial"/>
          <w:sz w:val="17"/>
          <w:szCs w:val="17"/>
          <w:color w:val="auto"/>
        </w:rPr>
        <w:t>public offering price of $ per share, the midpoint of the estimated price range set forth on the cover page of this prospectus, remains the same, and after deducting underwriting discounts and commissions and estimated offering expenses payable by us. A one million share increase in the number of shares offered by us together with a concomitant $1.00 increase in the assumed</w:t>
      </w:r>
    </w:p>
    <w:p>
      <w:pPr>
        <w:spacing w:after="0" w:line="1" w:lineRule="exact"/>
        <w:rPr>
          <w:sz w:val="20"/>
          <w:szCs w:val="20"/>
          <w:color w:val="auto"/>
        </w:rPr>
      </w:pPr>
    </w:p>
    <w:p>
      <w:pPr>
        <w:ind w:left="1680" w:right="560"/>
        <w:spacing w:after="0" w:line="241" w:lineRule="auto"/>
        <w:rPr>
          <w:sz w:val="20"/>
          <w:szCs w:val="20"/>
          <w:color w:val="auto"/>
        </w:rPr>
      </w:pPr>
      <w:r>
        <w:rPr>
          <w:rFonts w:ascii="Arial" w:cs="Arial" w:eastAsia="Arial" w:hAnsi="Arial"/>
          <w:sz w:val="17"/>
          <w:szCs w:val="17"/>
          <w:color w:val="auto"/>
        </w:rPr>
        <w:t>initial public offering price of $ per share, the midpoint of the estimated price range set forth on the cover page of this prospectus, would increase each of cash and cash equivalents and total stockholders' (deficit) equity by approximately</w:t>
      </w:r>
    </w:p>
    <w:p>
      <w:pPr>
        <w:spacing w:after="0" w:line="1" w:lineRule="exact"/>
        <w:rPr>
          <w:sz w:val="20"/>
          <w:szCs w:val="20"/>
          <w:color w:val="auto"/>
        </w:rPr>
      </w:pPr>
    </w:p>
    <w:p>
      <w:pPr>
        <w:ind w:left="1680" w:right="200" w:hanging="9"/>
        <w:spacing w:after="0" w:line="256" w:lineRule="auto"/>
        <w:tabs>
          <w:tab w:leader="none" w:pos="2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million after deducting underwriting discounts and commissions and any estimated offering expenses payable by us. Conversely, a one million share decrease in the number of shares offered by us together with a concomitant $1.00 decrease in</w:t>
      </w:r>
    </w:p>
    <w:p>
      <w:pPr>
        <w:ind w:left="1680" w:right="40"/>
        <w:spacing w:after="0" w:line="241" w:lineRule="auto"/>
        <w:rPr>
          <w:rFonts w:ascii="Arial" w:cs="Arial" w:eastAsia="Arial" w:hAnsi="Arial"/>
          <w:sz w:val="16"/>
          <w:szCs w:val="16"/>
          <w:color w:val="auto"/>
        </w:rPr>
      </w:pPr>
      <w:r>
        <w:rPr>
          <w:rFonts w:ascii="Arial" w:cs="Arial" w:eastAsia="Arial" w:hAnsi="Arial"/>
          <w:sz w:val="17"/>
          <w:szCs w:val="17"/>
          <w:color w:val="auto"/>
        </w:rPr>
        <w:t>the assumed initial public offering price of $ per share, the midpoint of the estimated price range set forth on the cover page of this prospectus, would decrease each of cash and cash equivalents and total stockholders' (deficit) equity by approximately</w:t>
      </w:r>
    </w:p>
    <w:p>
      <w:pPr>
        <w:ind w:left="1680" w:right="60" w:hanging="9"/>
        <w:spacing w:after="0" w:line="246" w:lineRule="auto"/>
        <w:tabs>
          <w:tab w:leader="none" w:pos="22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million after deducting underwriting discounts and commissions and any estimated offering expenses payable by us. The pro forma as adjusted information discussed above is illustrative only and will be adjusted based on the actual initial public offering price and other terms of this offering determined at pricing.</w:t>
      </w:r>
    </w:p>
    <w:p>
      <w:pPr>
        <w:spacing w:after="0" w:line="199" w:lineRule="exact"/>
        <w:rPr>
          <w:sz w:val="20"/>
          <w:szCs w:val="20"/>
          <w:color w:val="auto"/>
        </w:rPr>
      </w:pPr>
    </w:p>
    <w:p>
      <w:pPr>
        <w:ind w:left="520" w:right="60" w:firstLine="470"/>
        <w:spacing w:after="0" w:line="245"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and assuming conversion of all of our outstanding shares of convertible preferred stock upon closing of this offering.</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right="2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weighted-average exercise price of $0.37 per share;</w:t>
      </w:r>
    </w:p>
    <w:p>
      <w:pPr>
        <w:spacing w:after="0" w:line="192"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179" w:lineRule="exact"/>
        <w:rPr>
          <w:rFonts w:ascii="Arial" w:cs="Arial" w:eastAsia="Arial" w:hAnsi="Arial"/>
          <w:sz w:val="17"/>
          <w:szCs w:val="17"/>
          <w:color w:val="auto"/>
        </w:rPr>
      </w:pPr>
    </w:p>
    <w:p>
      <w:pPr>
        <w:ind w:left="1060" w:right="38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179" w:lineRule="exact"/>
        <w:rPr>
          <w:rFonts w:ascii="Arial" w:cs="Arial" w:eastAsia="Arial" w:hAnsi="Arial"/>
          <w:sz w:val="17"/>
          <w:szCs w:val="17"/>
          <w:color w:val="auto"/>
        </w:rPr>
      </w:pPr>
    </w:p>
    <w:p>
      <w:pPr>
        <w:ind w:left="1060" w:hanging="531"/>
        <w:spacing w:after="0" w:line="252" w:lineRule="auto"/>
        <w:tabs>
          <w:tab w:leader="none" w:pos="19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60" w:hanging="531"/>
        <w:spacing w:after="0" w:line="252" w:lineRule="auto"/>
        <w:tabs>
          <w:tab w:leader="none" w:pos="19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ESPP, which will become effective upon the completion of this offering.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93" w:lineRule="exact"/>
        <w:rPr>
          <w:sz w:val="20"/>
          <w:szCs w:val="20"/>
          <w:color w:val="auto"/>
        </w:rPr>
      </w:pPr>
    </w:p>
    <w:p>
      <w:pPr>
        <w:ind w:right="160" w:firstLine="464"/>
        <w:spacing w:after="0" w:line="241" w:lineRule="auto"/>
        <w:rPr>
          <w:sz w:val="20"/>
          <w:szCs w:val="20"/>
          <w:color w:val="auto"/>
        </w:rPr>
      </w:pPr>
      <w:r>
        <w:rPr>
          <w:rFonts w:ascii="Arial" w:cs="Arial" w:eastAsia="Arial" w:hAnsi="Arial"/>
          <w:sz w:val="17"/>
          <w:szCs w:val="17"/>
          <w:color w:val="auto"/>
        </w:rPr>
        <w:t>As of December 31, 2014 we had a historical net tangible book value of $35.7 million, or $0.38 per share of common stock, taking into account the expected conversion of our outstanding convertible preferred stock into common stock prior to the completion of this offering. Without giving effect to the conversion of our outstanding convertible preferred stock into common stock, we had a historical net tangible book value of $(79.5) million, or $(8.88) per share of common stock, as of December 31, 2014. Historical net tangible book value per share is equal to our total tangible assets, excluding deferred costs, less total liabilities, including convertible preferred stock, divided by the number of outstanding shares of our common stock (excluding 2,339,042 shares of unvested restricted stock subject to repurchase by us and 916,490 stock options that were exercised prior to vesting). Investors participating in this offering will incur immediate and substantial dilution. After giving effect to (1) the conversion of all of our convertible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gridSpan w:val="2"/>
          </w:tcPr>
          <w:p>
            <w:pPr>
              <w:spacing w:after="0"/>
              <w:rPr>
                <w:sz w:val="20"/>
                <w:szCs w:val="20"/>
                <w:color w:val="auto"/>
              </w:rPr>
            </w:pPr>
            <w:r>
              <w:rPr>
                <w:rFonts w:ascii="Arial" w:cs="Arial" w:eastAsia="Arial" w:hAnsi="Arial"/>
                <w:sz w:val="17"/>
                <w:szCs w:val="17"/>
                <w:color w:val="auto"/>
              </w:rPr>
              <w:t>preferred stock into</w:t>
            </w:r>
          </w:p>
        </w:tc>
        <w:tc>
          <w:tcPr>
            <w:tcW w:w="120" w:type="dxa"/>
            <w:vAlign w:val="bottom"/>
          </w:tcPr>
          <w:p>
            <w:pPr>
              <w:spacing w:after="0"/>
              <w:rPr>
                <w:sz w:val="17"/>
                <w:szCs w:val="17"/>
                <w:color w:val="auto"/>
              </w:rPr>
            </w:pPr>
          </w:p>
        </w:tc>
        <w:tc>
          <w:tcPr>
            <w:tcW w:w="6920" w:type="dxa"/>
            <w:vAlign w:val="bottom"/>
            <w:gridSpan w:val="5"/>
          </w:tcPr>
          <w:p>
            <w:pPr>
              <w:ind w:left="780"/>
              <w:spacing w:after="0"/>
              <w:rPr>
                <w:sz w:val="20"/>
                <w:szCs w:val="20"/>
                <w:color w:val="auto"/>
              </w:rPr>
            </w:pPr>
            <w:r>
              <w:rPr>
                <w:rFonts w:ascii="Arial" w:cs="Arial" w:eastAsia="Arial" w:hAnsi="Arial"/>
                <w:sz w:val="17"/>
                <w:szCs w:val="17"/>
                <w:color w:val="auto"/>
              </w:rPr>
              <w:t>shares of common stock prior to the completion of this offering and (2) the sale of</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gridSpan w:val="3"/>
          </w:tcPr>
          <w:p>
            <w:pPr>
              <w:ind w:left="120"/>
              <w:spacing w:after="0"/>
              <w:rPr>
                <w:sz w:val="20"/>
                <w:szCs w:val="20"/>
                <w:color w:val="auto"/>
              </w:rPr>
            </w:pPr>
            <w:r>
              <w:rPr>
                <w:rFonts w:ascii="Arial" w:cs="Arial" w:eastAsia="Arial" w:hAnsi="Arial"/>
                <w:sz w:val="17"/>
                <w:szCs w:val="17"/>
                <w:color w:val="auto"/>
              </w:rPr>
              <w:t>shares of common</w:t>
            </w:r>
          </w:p>
        </w:tc>
      </w:tr>
      <w:tr>
        <w:trPr>
          <w:trHeight w:val="197"/>
        </w:trPr>
        <w:tc>
          <w:tcPr>
            <w:tcW w:w="11340" w:type="dxa"/>
            <w:vAlign w:val="bottom"/>
            <w:gridSpan w:val="14"/>
          </w:tcPr>
          <w:p>
            <w:pPr>
              <w:spacing w:after="0"/>
              <w:rPr>
                <w:sz w:val="20"/>
                <w:szCs w:val="20"/>
                <w:color w:val="auto"/>
              </w:rPr>
            </w:pPr>
            <w:r>
              <w:rPr>
                <w:rFonts w:ascii="Arial" w:cs="Arial" w:eastAsia="Arial" w:hAnsi="Arial"/>
                <w:sz w:val="17"/>
                <w:szCs w:val="17"/>
                <w:color w:val="auto"/>
              </w:rPr>
              <w:t>stock in this offering, after deducting estimated underwriting discounts and commissions and estimated offering expenses payable by us, at an</w:t>
            </w:r>
          </w:p>
        </w:tc>
      </w:tr>
      <w:tr>
        <w:trPr>
          <w:trHeight w:val="197"/>
        </w:trPr>
        <w:tc>
          <w:tcPr>
            <w:tcW w:w="3300" w:type="dxa"/>
            <w:vAlign w:val="bottom"/>
            <w:gridSpan w:val="4"/>
          </w:tcPr>
          <w:p>
            <w:pPr>
              <w:spacing w:after="0"/>
              <w:rPr>
                <w:sz w:val="20"/>
                <w:szCs w:val="20"/>
                <w:color w:val="auto"/>
              </w:rPr>
            </w:pPr>
            <w:r>
              <w:rPr>
                <w:rFonts w:ascii="Arial" w:cs="Arial" w:eastAsia="Arial" w:hAnsi="Arial"/>
                <w:sz w:val="17"/>
                <w:szCs w:val="17"/>
                <w:color w:val="auto"/>
              </w:rPr>
              <w:t>assumed initial public offering price of $</w:t>
            </w:r>
          </w:p>
        </w:tc>
        <w:tc>
          <w:tcPr>
            <w:tcW w:w="8040" w:type="dxa"/>
            <w:vAlign w:val="bottom"/>
            <w:gridSpan w:val="10"/>
          </w:tcPr>
          <w:p>
            <w:pPr>
              <w:ind w:left="300"/>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 our</w:t>
            </w:r>
          </w:p>
        </w:tc>
      </w:tr>
      <w:tr>
        <w:trPr>
          <w:trHeight w:val="197"/>
        </w:trPr>
        <w:tc>
          <w:tcPr>
            <w:tcW w:w="8120" w:type="dxa"/>
            <w:vAlign w:val="bottom"/>
            <w:gridSpan w:val="6"/>
          </w:tcPr>
          <w:p>
            <w:pPr>
              <w:spacing w:after="0"/>
              <w:rPr>
                <w:sz w:val="20"/>
                <w:szCs w:val="20"/>
                <w:color w:val="auto"/>
              </w:rPr>
            </w:pPr>
            <w:r>
              <w:rPr>
                <w:rFonts w:ascii="Arial" w:cs="Arial" w:eastAsia="Arial" w:hAnsi="Arial"/>
                <w:sz w:val="17"/>
                <w:szCs w:val="17"/>
                <w:color w:val="auto"/>
              </w:rPr>
              <w:t>pro forma as adjusted net tangible book value as of December 31, 2014 would have been approximately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00" w:type="dxa"/>
            <w:vAlign w:val="bottom"/>
            <w:gridSpan w:val="6"/>
          </w:tcPr>
          <w:p>
            <w:pPr>
              <w:ind w:left="20"/>
              <w:spacing w:after="0"/>
              <w:rPr>
                <w:sz w:val="20"/>
                <w:szCs w:val="20"/>
                <w:color w:val="auto"/>
              </w:rPr>
            </w:pPr>
            <w:r>
              <w:rPr>
                <w:rFonts w:ascii="Arial" w:cs="Arial" w:eastAsia="Arial" w:hAnsi="Arial"/>
                <w:sz w:val="17"/>
                <w:szCs w:val="17"/>
                <w:color w:val="auto"/>
              </w:rPr>
              <w:t>million, or approximately</w:t>
            </w:r>
          </w:p>
        </w:tc>
      </w:tr>
      <w:tr>
        <w:trPr>
          <w:trHeight w:val="197"/>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9840" w:type="dxa"/>
            <w:vAlign w:val="bottom"/>
            <w:gridSpan w:val="12"/>
          </w:tcPr>
          <w:p>
            <w:pPr>
              <w:ind w:left="440"/>
              <w:spacing w:after="0"/>
              <w:rPr>
                <w:sz w:val="20"/>
                <w:szCs w:val="20"/>
                <w:color w:val="auto"/>
              </w:rPr>
            </w:pPr>
            <w:r>
              <w:rPr>
                <w:rFonts w:ascii="Arial" w:cs="Arial" w:eastAsia="Arial" w:hAnsi="Arial"/>
                <w:sz w:val="17"/>
                <w:szCs w:val="17"/>
                <w:color w:val="auto"/>
              </w:rPr>
              <w:t>per share of common stock. This represents an immediate increase in pro forma as adjusted net tangible book value of $</w:t>
            </w:r>
          </w:p>
        </w:tc>
        <w:tc>
          <w:tcPr>
            <w:tcW w:w="1220" w:type="dxa"/>
            <w:vAlign w:val="bottom"/>
          </w:tcPr>
          <w:p>
            <w:pPr>
              <w:ind w:left="300"/>
              <w:spacing w:after="0"/>
              <w:rPr>
                <w:sz w:val="20"/>
                <w:szCs w:val="20"/>
                <w:color w:val="auto"/>
              </w:rPr>
            </w:pPr>
            <w:r>
              <w:rPr>
                <w:rFonts w:ascii="Arial" w:cs="Arial" w:eastAsia="Arial" w:hAnsi="Arial"/>
                <w:sz w:val="17"/>
                <w:szCs w:val="17"/>
                <w:color w:val="auto"/>
                <w:w w:val="99"/>
              </w:rPr>
              <w:t>per share to</w:t>
            </w:r>
          </w:p>
        </w:tc>
      </w:tr>
      <w:tr>
        <w:trPr>
          <w:trHeight w:val="204"/>
        </w:trPr>
        <w:tc>
          <w:tcPr>
            <w:tcW w:w="4600" w:type="dxa"/>
            <w:vAlign w:val="bottom"/>
            <w:gridSpan w:val="5"/>
          </w:tcPr>
          <w:p>
            <w:pPr>
              <w:spacing w:after="0"/>
              <w:rPr>
                <w:sz w:val="20"/>
                <w:szCs w:val="20"/>
                <w:color w:val="auto"/>
              </w:rPr>
            </w:pPr>
            <w:r>
              <w:rPr>
                <w:rFonts w:ascii="Arial" w:cs="Arial" w:eastAsia="Arial" w:hAnsi="Arial"/>
                <w:sz w:val="17"/>
                <w:szCs w:val="17"/>
                <w:color w:val="auto"/>
              </w:rPr>
              <w:t>our existing stockholders and an immediate dilution of $</w:t>
            </w:r>
          </w:p>
        </w:tc>
        <w:tc>
          <w:tcPr>
            <w:tcW w:w="4040" w:type="dxa"/>
            <w:vAlign w:val="bottom"/>
            <w:gridSpan w:val="3"/>
          </w:tcPr>
          <w:p>
            <w:pPr>
              <w:ind w:left="220"/>
              <w:spacing w:after="0"/>
              <w:rPr>
                <w:sz w:val="20"/>
                <w:szCs w:val="20"/>
                <w:color w:val="auto"/>
              </w:rPr>
            </w:pPr>
            <w:r>
              <w:rPr>
                <w:rFonts w:ascii="Arial" w:cs="Arial" w:eastAsia="Arial" w:hAnsi="Arial"/>
                <w:sz w:val="17"/>
                <w:szCs w:val="17"/>
                <w:color w:val="auto"/>
              </w:rPr>
              <w:t>per share to investors participating in this offering.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6"/>
        </w:trPr>
        <w:tc>
          <w:tcPr>
            <w:tcW w:w="280" w:type="dxa"/>
            <w:vAlign w:val="bottom"/>
          </w:tcPr>
          <w:p>
            <w:pPr>
              <w:spacing w:after="0"/>
              <w:rPr>
                <w:sz w:val="24"/>
                <w:szCs w:val="24"/>
                <w:color w:val="auto"/>
              </w:rPr>
            </w:pPr>
          </w:p>
        </w:tc>
        <w:tc>
          <w:tcPr>
            <w:tcW w:w="4320" w:type="dxa"/>
            <w:vAlign w:val="bottom"/>
            <w:gridSpan w:val="4"/>
          </w:tcPr>
          <w:p>
            <w:pPr>
              <w:ind w:left="200"/>
              <w:spacing w:after="0"/>
              <w:rPr>
                <w:sz w:val="20"/>
                <w:szCs w:val="20"/>
                <w:color w:val="auto"/>
              </w:rPr>
            </w:pPr>
            <w:r>
              <w:rPr>
                <w:rFonts w:ascii="Arial" w:cs="Arial" w:eastAsia="Arial" w:hAnsi="Arial"/>
                <w:sz w:val="17"/>
                <w:szCs w:val="17"/>
                <w:color w:val="auto"/>
              </w:rPr>
              <w:t>The following table illustrates this per share dilution:</w:t>
            </w: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9"/>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520" w:type="dxa"/>
            <w:vAlign w:val="bottom"/>
            <w:gridSpan w:val="4"/>
          </w:tcPr>
          <w:p>
            <w:pPr>
              <w:ind w:left="120"/>
              <w:spacing w:after="0"/>
              <w:rPr>
                <w:sz w:val="20"/>
                <w:szCs w:val="20"/>
                <w:color w:val="auto"/>
              </w:rPr>
            </w:pPr>
            <w:r>
              <w:rPr>
                <w:rFonts w:ascii="Arial" w:cs="Arial" w:eastAsia="Arial" w:hAnsi="Arial"/>
                <w:sz w:val="17"/>
                <w:szCs w:val="17"/>
                <w:color w:val="auto"/>
              </w:rPr>
              <w:t>Historical net tangible book value per share as of December 31, 2014</w:t>
            </w:r>
          </w:p>
        </w:tc>
        <w:tc>
          <w:tcPr>
            <w:tcW w:w="920" w:type="dxa"/>
            <w:vAlign w:val="bottom"/>
            <w:gridSpan w:val="4"/>
          </w:tcPr>
          <w:p>
            <w:pPr>
              <w:jc w:val="right"/>
              <w:ind w:right="100"/>
              <w:spacing w:after="0"/>
              <w:rPr>
                <w:sz w:val="20"/>
                <w:szCs w:val="20"/>
                <w:color w:val="auto"/>
              </w:rPr>
            </w:pPr>
            <w:r>
              <w:rPr>
                <w:rFonts w:ascii="Arial" w:cs="Arial" w:eastAsia="Arial" w:hAnsi="Arial"/>
                <w:sz w:val="17"/>
                <w:szCs w:val="17"/>
                <w:color w:val="auto"/>
              </w:rPr>
              <w:t>$  (8.88)</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attributable to the conversion of outstanding convertible preferred stock,</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reclassification of convertible preferred stock warrants and payment of accrued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4"/>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dividends</w:t>
            </w:r>
          </w:p>
        </w:tc>
        <w:tc>
          <w:tcPr>
            <w:tcW w:w="130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520" w:type="dxa"/>
            <w:vAlign w:val="bottom"/>
            <w:gridSpan w:val="4"/>
          </w:tcPr>
          <w:p>
            <w:pPr>
              <w:ind w:left="120"/>
              <w:spacing w:after="0" w:line="189" w:lineRule="exact"/>
              <w:rPr>
                <w:sz w:val="20"/>
                <w:szCs w:val="20"/>
                <w:color w:val="auto"/>
              </w:rPr>
            </w:pPr>
            <w:r>
              <w:rPr>
                <w:rFonts w:ascii="Arial" w:cs="Arial" w:eastAsia="Arial" w:hAnsi="Arial"/>
                <w:sz w:val="17"/>
                <w:szCs w:val="17"/>
                <w:color w:val="auto"/>
              </w:rPr>
              <w:t>Pro forma net tangible book value per share as of December 31, 2014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0"/>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520" w:type="dxa"/>
            <w:vAlign w:val="bottom"/>
            <w:gridSpan w:val="4"/>
          </w:tcPr>
          <w:p>
            <w:pPr>
              <w:ind w:left="120"/>
              <w:spacing w:after="0" w:line="189" w:lineRule="exact"/>
              <w:rPr>
                <w:sz w:val="20"/>
                <w:szCs w:val="20"/>
                <w:color w:val="auto"/>
              </w:rPr>
            </w:pPr>
            <w:r>
              <w:rPr>
                <w:rFonts w:ascii="Arial" w:cs="Arial" w:eastAsia="Arial" w:hAnsi="Arial"/>
                <w:sz w:val="17"/>
                <w:szCs w:val="17"/>
                <w:color w:val="auto"/>
              </w:rPr>
              <w:t>Pro forma net tangible book value per share after this offering</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w:t>
            </w: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right="14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estimated price range set forth on the cover page of this prospectus, would increase (decrease) the pro forma as adjusted net tangible book value, by $ per share and the dilution to new investors by $ per share, assuming the number of shares offered by us, as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remains the same, and after deducting underwriting discounts and commissions and estimated expenses payable by us. An increase of one million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gridSpan w:val="3"/>
          </w:tcPr>
          <w:p>
            <w:pPr>
              <w:spacing w:after="0"/>
              <w:rPr>
                <w:sz w:val="20"/>
                <w:szCs w:val="20"/>
                <w:color w:val="auto"/>
              </w:rPr>
            </w:pPr>
            <w:r>
              <w:rPr>
                <w:rFonts w:ascii="Arial" w:cs="Arial" w:eastAsia="Arial" w:hAnsi="Arial"/>
                <w:sz w:val="17"/>
                <w:szCs w:val="17"/>
                <w:color w:val="auto"/>
              </w:rPr>
              <w:t>shares offered by us would increase the pro forma as adjusted net tangible book value by $</w:t>
            </w:r>
          </w:p>
        </w:tc>
        <w:tc>
          <w:tcPr>
            <w:tcW w:w="4240" w:type="dxa"/>
            <w:vAlign w:val="bottom"/>
          </w:tcPr>
          <w:p>
            <w:pPr>
              <w:ind w:left="320"/>
              <w:spacing w:after="0"/>
              <w:rPr>
                <w:sz w:val="20"/>
                <w:szCs w:val="20"/>
                <w:color w:val="auto"/>
              </w:rPr>
            </w:pPr>
            <w:r>
              <w:rPr>
                <w:rFonts w:ascii="Arial" w:cs="Arial" w:eastAsia="Arial" w:hAnsi="Arial"/>
                <w:sz w:val="17"/>
                <w:szCs w:val="17"/>
                <w:color w:val="auto"/>
              </w:rPr>
              <w:t>per share and the dilution to new investors by</w:t>
            </w:r>
          </w:p>
        </w:tc>
      </w:tr>
      <w:tr>
        <w:trPr>
          <w:trHeight w:val="197"/>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5200" w:type="dxa"/>
            <w:vAlign w:val="bottom"/>
          </w:tcPr>
          <w:p>
            <w:pPr>
              <w:ind w:left="320"/>
              <w:spacing w:after="0"/>
              <w:rPr>
                <w:sz w:val="20"/>
                <w:szCs w:val="20"/>
                <w:color w:val="auto"/>
              </w:rPr>
            </w:pPr>
            <w:r>
              <w:rPr>
                <w:rFonts w:ascii="Arial" w:cs="Arial" w:eastAsia="Arial" w:hAnsi="Arial"/>
                <w:sz w:val="17"/>
                <w:szCs w:val="17"/>
                <w:color w:val="auto"/>
              </w:rPr>
              <w:t>per share, assuming the assumed initial public offering price of $</w:t>
            </w:r>
          </w:p>
        </w:tc>
        <w:tc>
          <w:tcPr>
            <w:tcW w:w="5820" w:type="dxa"/>
            <w:vAlign w:val="bottom"/>
            <w:gridSpan w:val="2"/>
          </w:tcPr>
          <w:p>
            <w:pPr>
              <w:ind w:left="580"/>
              <w:spacing w:after="0"/>
              <w:rPr>
                <w:sz w:val="20"/>
                <w:szCs w:val="20"/>
                <w:color w:val="auto"/>
              </w:rPr>
            </w:pPr>
            <w:r>
              <w:rPr>
                <w:rFonts w:ascii="Arial" w:cs="Arial" w:eastAsia="Arial" w:hAnsi="Arial"/>
                <w:sz w:val="17"/>
                <w:szCs w:val="17"/>
                <w:color w:val="auto"/>
              </w:rPr>
              <w:t>per share, the midpoint of the estimated price range set forth on the</w:t>
            </w:r>
          </w:p>
        </w:tc>
      </w:tr>
      <w:tr>
        <w:trPr>
          <w:trHeight w:val="204"/>
        </w:trPr>
        <w:tc>
          <w:tcPr>
            <w:tcW w:w="5600" w:type="dxa"/>
            <w:vAlign w:val="bottom"/>
            <w:gridSpan w:val="2"/>
          </w:tcPr>
          <w:p>
            <w:pPr>
              <w:spacing w:after="0"/>
              <w:rPr>
                <w:sz w:val="20"/>
                <w:szCs w:val="20"/>
                <w:color w:val="auto"/>
              </w:rPr>
            </w:pPr>
            <w:r>
              <w:rPr>
                <w:rFonts w:ascii="Arial" w:cs="Arial" w:eastAsia="Arial" w:hAnsi="Arial"/>
                <w:sz w:val="17"/>
                <w:szCs w:val="17"/>
                <w:color w:val="auto"/>
              </w:rPr>
              <w:t>cover page of this prospectus, remains the same and after deducting</w:t>
            </w:r>
          </w:p>
        </w:tc>
        <w:tc>
          <w:tcPr>
            <w:tcW w:w="15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406"/>
        </w:trPr>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580" w:type="dxa"/>
            <w:vAlign w:val="bottom"/>
          </w:tcPr>
          <w:p>
            <w:pPr>
              <w:jc w:val="right"/>
              <w:ind w:right="1295"/>
              <w:spacing w:after="0"/>
              <w:rPr>
                <w:sz w:val="20"/>
                <w:szCs w:val="20"/>
                <w:color w:val="auto"/>
              </w:rPr>
            </w:pPr>
            <w:r>
              <w:rPr>
                <w:rFonts w:ascii="Arial" w:cs="Arial" w:eastAsia="Arial" w:hAnsi="Arial"/>
                <w:sz w:val="17"/>
                <w:szCs w:val="17"/>
                <w:color w:val="auto"/>
                <w:w w:val="94"/>
              </w:rPr>
              <w:t>60</w:t>
            </w:r>
          </w:p>
        </w:tc>
        <w:tc>
          <w:tcPr>
            <w:tcW w:w="4240" w:type="dxa"/>
            <w:vAlign w:val="bottom"/>
          </w:tcPr>
          <w:p>
            <w:pPr>
              <w:spacing w:after="0"/>
              <w:rPr>
                <w:sz w:val="24"/>
                <w:szCs w:val="24"/>
                <w:color w:val="auto"/>
              </w:rPr>
            </w:pPr>
          </w:p>
        </w:tc>
      </w:tr>
      <w:tr>
        <w:trPr>
          <w:trHeight w:val="209"/>
        </w:trPr>
        <w:tc>
          <w:tcPr>
            <w:tcW w:w="400" w:type="dxa"/>
            <w:vAlign w:val="bottom"/>
            <w:tcBorders>
              <w:bottom w:val="single" w:sz="8" w:color="808080"/>
            </w:tcBorders>
          </w:tcPr>
          <w:p>
            <w:pPr>
              <w:spacing w:after="0"/>
              <w:rPr>
                <w:sz w:val="18"/>
                <w:szCs w:val="18"/>
                <w:color w:val="auto"/>
              </w:rPr>
            </w:pPr>
          </w:p>
        </w:tc>
        <w:tc>
          <w:tcPr>
            <w:tcW w:w="52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2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underwriting discounts and commissions and estimated expenses payable by us. Similarly, a decrease of one million shares offered by us would</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decrease the pro forma as adjusted net tangible book value by $ per share and the dilution to new investors by $ per share, assuming the assumed initial public offering price of $ per share, the midpoint of the estimated price range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remains the same and after deducting underwriting discounts and commissions and estimated expenses payable by us. A one million share increase in</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number of shares offered by us together with a concomitant $1.00 increase in the assumed initial public offering price of $ per share, the midpoint of the estimated price range set forth on the cover page of this prospectus, would increase the pro forma as adjusted net tangible book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 w:type="dxa"/>
            <w:vAlign w:val="bottom"/>
          </w:tcPr>
          <w:p>
            <w:pPr>
              <w:spacing w:after="0"/>
              <w:rPr>
                <w:sz w:val="20"/>
                <w:szCs w:val="20"/>
                <w:color w:val="auto"/>
              </w:rPr>
            </w:pPr>
            <w:r>
              <w:rPr>
                <w:rFonts w:ascii="Arial" w:cs="Arial" w:eastAsia="Arial" w:hAnsi="Arial"/>
                <w:sz w:val="17"/>
                <w:szCs w:val="17"/>
                <w:color w:val="auto"/>
              </w:rPr>
              <w:t>by $</w:t>
            </w:r>
          </w:p>
        </w:tc>
        <w:tc>
          <w:tcPr>
            <w:tcW w:w="4420" w:type="dxa"/>
            <w:vAlign w:val="bottom"/>
            <w:gridSpan w:val="4"/>
          </w:tcPr>
          <w:p>
            <w:pPr>
              <w:ind w:left="540"/>
              <w:spacing w:after="0"/>
              <w:rPr>
                <w:sz w:val="20"/>
                <w:szCs w:val="20"/>
                <w:color w:val="auto"/>
              </w:rPr>
            </w:pPr>
            <w:r>
              <w:rPr>
                <w:rFonts w:ascii="Arial" w:cs="Arial" w:eastAsia="Arial" w:hAnsi="Arial"/>
                <w:sz w:val="17"/>
                <w:szCs w:val="17"/>
                <w:color w:val="auto"/>
              </w:rPr>
              <w:t>per share and the dilution to new investors by $</w:t>
            </w:r>
          </w:p>
        </w:tc>
        <w:tc>
          <w:tcPr>
            <w:tcW w:w="6540" w:type="dxa"/>
            <w:vAlign w:val="bottom"/>
            <w:gridSpan w:val="4"/>
          </w:tcPr>
          <w:p>
            <w:pPr>
              <w:ind w:left="320"/>
              <w:spacing w:after="0"/>
              <w:rPr>
                <w:sz w:val="20"/>
                <w:szCs w:val="20"/>
                <w:color w:val="auto"/>
              </w:rPr>
            </w:pPr>
            <w:r>
              <w:rPr>
                <w:rFonts w:ascii="Arial" w:cs="Arial" w:eastAsia="Arial" w:hAnsi="Arial"/>
                <w:sz w:val="17"/>
                <w:szCs w:val="17"/>
                <w:color w:val="auto"/>
              </w:rPr>
              <w:t>per share, after deducting underwriting discounts and commissions and any</w:t>
            </w:r>
          </w:p>
        </w:tc>
      </w:tr>
      <w:tr>
        <w:trPr>
          <w:trHeight w:val="197"/>
        </w:trPr>
        <w:tc>
          <w:tcPr>
            <w:tcW w:w="11360" w:type="dxa"/>
            <w:vAlign w:val="bottom"/>
            <w:gridSpan w:val="9"/>
          </w:tcPr>
          <w:p>
            <w:pPr>
              <w:spacing w:after="0"/>
              <w:rPr>
                <w:sz w:val="20"/>
                <w:szCs w:val="20"/>
                <w:color w:val="auto"/>
              </w:rPr>
            </w:pPr>
            <w:r>
              <w:rPr>
                <w:rFonts w:ascii="Arial" w:cs="Arial" w:eastAsia="Arial" w:hAnsi="Arial"/>
                <w:sz w:val="17"/>
                <w:szCs w:val="17"/>
                <w:color w:val="auto"/>
              </w:rPr>
              <w:t>estimated offering expenses payable by us. Conversely, a one million share decrease in the number of shares offered by us together with a</w:t>
            </w:r>
          </w:p>
        </w:tc>
      </w:tr>
      <w:tr>
        <w:trPr>
          <w:trHeight w:val="197"/>
        </w:trPr>
        <w:tc>
          <w:tcPr>
            <w:tcW w:w="5940" w:type="dxa"/>
            <w:vAlign w:val="bottom"/>
            <w:gridSpan w:val="6"/>
          </w:tcPr>
          <w:p>
            <w:pPr>
              <w:spacing w:after="0"/>
              <w:rPr>
                <w:sz w:val="20"/>
                <w:szCs w:val="20"/>
                <w:color w:val="auto"/>
              </w:rPr>
            </w:pPr>
            <w:r>
              <w:rPr>
                <w:rFonts w:ascii="Arial" w:cs="Arial" w:eastAsia="Arial" w:hAnsi="Arial"/>
                <w:sz w:val="17"/>
                <w:szCs w:val="17"/>
                <w:color w:val="auto"/>
              </w:rPr>
              <w:t>concomitant $1.00 decrease in the assumed initial public offering price of $</w:t>
            </w:r>
          </w:p>
        </w:tc>
        <w:tc>
          <w:tcPr>
            <w:tcW w:w="5420" w:type="dxa"/>
            <w:vAlign w:val="bottom"/>
            <w:gridSpan w:val="3"/>
          </w:tcPr>
          <w:p>
            <w:pPr>
              <w:ind w:left="320"/>
              <w:spacing w:after="0"/>
              <w:rPr>
                <w:sz w:val="20"/>
                <w:szCs w:val="20"/>
                <w:color w:val="auto"/>
              </w:rPr>
            </w:pPr>
            <w:r>
              <w:rPr>
                <w:rFonts w:ascii="Arial" w:cs="Arial" w:eastAsia="Arial" w:hAnsi="Arial"/>
                <w:sz w:val="17"/>
                <w:szCs w:val="17"/>
                <w:color w:val="auto"/>
              </w:rPr>
              <w:t>per share, the midpoint of the estimated price range set forth on the</w:t>
            </w:r>
          </w:p>
        </w:tc>
      </w:tr>
      <w:tr>
        <w:trPr>
          <w:trHeight w:val="197"/>
        </w:trPr>
        <w:tc>
          <w:tcPr>
            <w:tcW w:w="7980" w:type="dxa"/>
            <w:vAlign w:val="bottom"/>
            <w:gridSpan w:val="7"/>
          </w:tcPr>
          <w:p>
            <w:pPr>
              <w:spacing w:after="0"/>
              <w:rPr>
                <w:sz w:val="20"/>
                <w:szCs w:val="20"/>
                <w:color w:val="auto"/>
              </w:rPr>
            </w:pPr>
            <w:r>
              <w:rPr>
                <w:rFonts w:ascii="Arial" w:cs="Arial" w:eastAsia="Arial" w:hAnsi="Arial"/>
                <w:sz w:val="17"/>
                <w:szCs w:val="17"/>
                <w:color w:val="auto"/>
              </w:rPr>
              <w:t>cover page of this prospectus, would decrease the pro forma as adjusted net tangible book value by $</w:t>
            </w:r>
          </w:p>
        </w:tc>
        <w:tc>
          <w:tcPr>
            <w:tcW w:w="3380" w:type="dxa"/>
            <w:vAlign w:val="bottom"/>
            <w:gridSpan w:val="2"/>
          </w:tcPr>
          <w:p>
            <w:pPr>
              <w:ind w:left="300"/>
              <w:spacing w:after="0"/>
              <w:rPr>
                <w:sz w:val="20"/>
                <w:szCs w:val="20"/>
                <w:color w:val="auto"/>
              </w:rPr>
            </w:pPr>
            <w:r>
              <w:rPr>
                <w:rFonts w:ascii="Arial" w:cs="Arial" w:eastAsia="Arial" w:hAnsi="Arial"/>
                <w:sz w:val="17"/>
                <w:szCs w:val="17"/>
                <w:color w:val="auto"/>
              </w:rPr>
              <w:t>per share and the dilution to new</w:t>
            </w:r>
          </w:p>
        </w:tc>
      </w:tr>
      <w:tr>
        <w:trPr>
          <w:trHeight w:val="204"/>
        </w:trPr>
        <w:tc>
          <w:tcPr>
            <w:tcW w:w="1360" w:type="dxa"/>
            <w:vAlign w:val="bottom"/>
            <w:gridSpan w:val="2"/>
          </w:tcPr>
          <w:p>
            <w:pPr>
              <w:spacing w:after="0"/>
              <w:rPr>
                <w:sz w:val="20"/>
                <w:szCs w:val="20"/>
                <w:color w:val="auto"/>
              </w:rPr>
            </w:pPr>
            <w:r>
              <w:rPr>
                <w:rFonts w:ascii="Arial" w:cs="Arial" w:eastAsia="Arial" w:hAnsi="Arial"/>
                <w:sz w:val="17"/>
                <w:szCs w:val="17"/>
                <w:color w:val="auto"/>
              </w:rPr>
              <w:t>investors by $</w:t>
            </w:r>
          </w:p>
        </w:tc>
        <w:tc>
          <w:tcPr>
            <w:tcW w:w="10000" w:type="dxa"/>
            <w:vAlign w:val="bottom"/>
            <w:gridSpan w:val="7"/>
          </w:tcPr>
          <w:p>
            <w:pPr>
              <w:ind w:left="320"/>
              <w:spacing w:after="0"/>
              <w:rPr>
                <w:sz w:val="20"/>
                <w:szCs w:val="20"/>
                <w:color w:val="auto"/>
              </w:rPr>
            </w:pPr>
            <w:r>
              <w:rPr>
                <w:rFonts w:ascii="Arial" w:cs="Arial" w:eastAsia="Arial" w:hAnsi="Arial"/>
                <w:sz w:val="17"/>
                <w:szCs w:val="17"/>
                <w:color w:val="auto"/>
              </w:rPr>
              <w:t>per share, after deducting underwriting discounts and commissions and any estimated offering expenses payable by us.</w:t>
            </w:r>
          </w:p>
        </w:tc>
      </w:tr>
      <w:tr>
        <w:trPr>
          <w:trHeight w:val="399"/>
        </w:trPr>
        <w:tc>
          <w:tcPr>
            <w:tcW w:w="400" w:type="dxa"/>
            <w:vAlign w:val="bottom"/>
          </w:tcPr>
          <w:p>
            <w:pPr>
              <w:spacing w:after="0"/>
              <w:rPr>
                <w:sz w:val="24"/>
                <w:szCs w:val="24"/>
                <w:color w:val="auto"/>
              </w:rPr>
            </w:pPr>
          </w:p>
        </w:tc>
        <w:tc>
          <w:tcPr>
            <w:tcW w:w="10960" w:type="dxa"/>
            <w:vAlign w:val="bottom"/>
            <w:gridSpan w:val="8"/>
          </w:tcPr>
          <w:p>
            <w:pPr>
              <w:ind w:left="80"/>
              <w:spacing w:after="0"/>
              <w:rPr>
                <w:sz w:val="20"/>
                <w:szCs w:val="20"/>
                <w:color w:val="auto"/>
              </w:rPr>
            </w:pPr>
            <w:r>
              <w:rPr>
                <w:rFonts w:ascii="Arial" w:cs="Arial" w:eastAsia="Arial" w:hAnsi="Arial"/>
                <w:sz w:val="17"/>
                <w:szCs w:val="17"/>
                <w:color w:val="auto"/>
              </w:rPr>
              <w:t>If the underwriters exercise their option to purchase additional shares in full, pro forma as adjusted net tangible book value as of December 31,</w:t>
            </w:r>
          </w:p>
        </w:tc>
      </w:tr>
      <w:tr>
        <w:trPr>
          <w:trHeight w:val="197"/>
        </w:trPr>
        <w:tc>
          <w:tcPr>
            <w:tcW w:w="2020" w:type="dxa"/>
            <w:vAlign w:val="bottom"/>
            <w:gridSpan w:val="3"/>
          </w:tcPr>
          <w:p>
            <w:pPr>
              <w:spacing w:after="0"/>
              <w:rPr>
                <w:sz w:val="20"/>
                <w:szCs w:val="20"/>
                <w:color w:val="auto"/>
              </w:rPr>
            </w:pPr>
            <w:r>
              <w:rPr>
                <w:rFonts w:ascii="Arial" w:cs="Arial" w:eastAsia="Arial" w:hAnsi="Arial"/>
                <w:sz w:val="17"/>
                <w:szCs w:val="17"/>
                <w:color w:val="auto"/>
              </w:rPr>
              <w:t>2014 will increase to $</w:t>
            </w:r>
          </w:p>
        </w:tc>
        <w:tc>
          <w:tcPr>
            <w:tcW w:w="1380" w:type="dxa"/>
            <w:vAlign w:val="bottom"/>
          </w:tcPr>
          <w:p>
            <w:pPr>
              <w:ind w:left="340"/>
              <w:spacing w:after="0"/>
              <w:rPr>
                <w:sz w:val="20"/>
                <w:szCs w:val="20"/>
                <w:color w:val="auto"/>
              </w:rPr>
            </w:pPr>
            <w:r>
              <w:rPr>
                <w:rFonts w:ascii="Arial" w:cs="Arial" w:eastAsia="Arial" w:hAnsi="Arial"/>
                <w:sz w:val="17"/>
                <w:szCs w:val="17"/>
                <w:color w:val="auto"/>
              </w:rPr>
              <w:t>million, or $</w:t>
            </w:r>
          </w:p>
        </w:tc>
        <w:tc>
          <w:tcPr>
            <w:tcW w:w="5580" w:type="dxa"/>
            <w:vAlign w:val="bottom"/>
            <w:gridSpan w:val="4"/>
          </w:tcPr>
          <w:p>
            <w:pPr>
              <w:ind w:left="440"/>
              <w:spacing w:after="0"/>
              <w:rPr>
                <w:sz w:val="20"/>
                <w:szCs w:val="20"/>
                <w:color w:val="auto"/>
              </w:rPr>
            </w:pPr>
            <w:r>
              <w:rPr>
                <w:rFonts w:ascii="Arial" w:cs="Arial" w:eastAsia="Arial" w:hAnsi="Arial"/>
                <w:sz w:val="17"/>
                <w:szCs w:val="17"/>
                <w:color w:val="auto"/>
              </w:rPr>
              <w:t>per share, representing an increase to existing stockholders of $</w:t>
            </w:r>
          </w:p>
        </w:tc>
        <w:tc>
          <w:tcPr>
            <w:tcW w:w="2380" w:type="dxa"/>
            <w:vAlign w:val="bottom"/>
          </w:tcPr>
          <w:p>
            <w:pPr>
              <w:ind w:left="320"/>
              <w:spacing w:after="0"/>
              <w:rPr>
                <w:sz w:val="20"/>
                <w:szCs w:val="20"/>
                <w:color w:val="auto"/>
              </w:rPr>
            </w:pPr>
            <w:r>
              <w:rPr>
                <w:rFonts w:ascii="Arial" w:cs="Arial" w:eastAsia="Arial" w:hAnsi="Arial"/>
                <w:sz w:val="17"/>
                <w:szCs w:val="17"/>
                <w:color w:val="auto"/>
                <w:w w:val="99"/>
              </w:rPr>
              <w:t>per share, and there will be</w:t>
            </w:r>
          </w:p>
        </w:tc>
      </w:tr>
      <w:tr>
        <w:trPr>
          <w:trHeight w:val="204"/>
        </w:trPr>
        <w:tc>
          <w:tcPr>
            <w:tcW w:w="3400" w:type="dxa"/>
            <w:vAlign w:val="bottom"/>
            <w:gridSpan w:val="4"/>
          </w:tcPr>
          <w:p>
            <w:pPr>
              <w:spacing w:after="0"/>
              <w:rPr>
                <w:sz w:val="20"/>
                <w:szCs w:val="20"/>
                <w:color w:val="auto"/>
              </w:rPr>
            </w:pPr>
            <w:r>
              <w:rPr>
                <w:rFonts w:ascii="Arial" w:cs="Arial" w:eastAsia="Arial" w:hAnsi="Arial"/>
                <w:sz w:val="17"/>
                <w:szCs w:val="17"/>
                <w:color w:val="auto"/>
              </w:rPr>
              <w:t>an immediate dilution of an additional $</w:t>
            </w:r>
          </w:p>
        </w:tc>
        <w:tc>
          <w:tcPr>
            <w:tcW w:w="2540" w:type="dxa"/>
            <w:vAlign w:val="bottom"/>
            <w:gridSpan w:val="2"/>
          </w:tcPr>
          <w:p>
            <w:pPr>
              <w:ind w:left="180"/>
              <w:spacing w:after="0"/>
              <w:rPr>
                <w:sz w:val="20"/>
                <w:szCs w:val="20"/>
                <w:color w:val="auto"/>
              </w:rPr>
            </w:pPr>
            <w:r>
              <w:rPr>
                <w:rFonts w:ascii="Arial" w:cs="Arial" w:eastAsia="Arial" w:hAnsi="Arial"/>
                <w:sz w:val="17"/>
                <w:szCs w:val="17"/>
                <w:color w:val="auto"/>
              </w:rPr>
              <w:t>per share to new investors.</w:t>
            </w:r>
          </w:p>
        </w:tc>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2" w:lineRule="exact"/>
        <w:rPr>
          <w:sz w:val="20"/>
          <w:szCs w:val="20"/>
          <w:color w:val="auto"/>
        </w:rPr>
      </w:pPr>
    </w:p>
    <w:p>
      <w:pPr>
        <w:jc w:val="both"/>
        <w:ind w:right="60" w:firstLine="470"/>
        <w:spacing w:after="0" w:line="241" w:lineRule="auto"/>
        <w:rPr>
          <w:sz w:val="20"/>
          <w:szCs w:val="20"/>
          <w:color w:val="auto"/>
        </w:rPr>
      </w:pPr>
      <w:r>
        <w:rPr>
          <w:rFonts w:ascii="Arial" w:cs="Arial" w:eastAsia="Arial" w:hAnsi="Arial"/>
          <w:sz w:val="17"/>
          <w:szCs w:val="17"/>
          <w:color w:val="auto"/>
        </w:rPr>
        <w:t>The following table summarizes, on a pro forma as adjusted basis as of December 31, 2014, the differences between the number of shares of common stock purchased from us, the total consideration and the average price per share paid by existing stockholders (giving effect to the conversion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gridSpan w:val="3"/>
          </w:tcPr>
          <w:p>
            <w:pPr>
              <w:spacing w:after="0"/>
              <w:rPr>
                <w:sz w:val="20"/>
                <w:szCs w:val="20"/>
                <w:color w:val="auto"/>
              </w:rPr>
            </w:pPr>
            <w:r>
              <w:rPr>
                <w:rFonts w:ascii="Arial" w:cs="Arial" w:eastAsia="Arial" w:hAnsi="Arial"/>
                <w:sz w:val="17"/>
                <w:szCs w:val="17"/>
                <w:color w:val="auto"/>
              </w:rPr>
              <w:t>of all of our convertible preferred stock into</w:t>
            </w:r>
          </w:p>
        </w:tc>
        <w:tc>
          <w:tcPr>
            <w:tcW w:w="7540" w:type="dxa"/>
            <w:vAlign w:val="bottom"/>
            <w:gridSpan w:val="16"/>
          </w:tcPr>
          <w:p>
            <w:pPr>
              <w:jc w:val="center"/>
              <w:ind w:left="435"/>
              <w:spacing w:after="0"/>
              <w:rPr>
                <w:sz w:val="20"/>
                <w:szCs w:val="20"/>
                <w:color w:val="auto"/>
              </w:rPr>
            </w:pPr>
            <w:r>
              <w:rPr>
                <w:rFonts w:ascii="Arial" w:cs="Arial" w:eastAsia="Arial" w:hAnsi="Arial"/>
                <w:sz w:val="17"/>
                <w:szCs w:val="17"/>
                <w:color w:val="auto"/>
              </w:rPr>
              <w:t>shares of common stock prior to the completion of this offering) and by investors participating</w:t>
            </w:r>
          </w:p>
        </w:tc>
      </w:tr>
      <w:tr>
        <w:trPr>
          <w:trHeight w:val="197"/>
        </w:trPr>
        <w:tc>
          <w:tcPr>
            <w:tcW w:w="11280" w:type="dxa"/>
            <w:vAlign w:val="bottom"/>
            <w:gridSpan w:val="19"/>
          </w:tcPr>
          <w:p>
            <w:pPr>
              <w:spacing w:after="0"/>
              <w:rPr>
                <w:sz w:val="20"/>
                <w:szCs w:val="20"/>
                <w:color w:val="auto"/>
              </w:rPr>
            </w:pPr>
            <w:r>
              <w:rPr>
                <w:rFonts w:ascii="Arial" w:cs="Arial" w:eastAsia="Arial" w:hAnsi="Arial"/>
                <w:sz w:val="17"/>
                <w:szCs w:val="17"/>
                <w:color w:val="auto"/>
              </w:rPr>
              <w:t>in this offering, after deducting estimated underwriting discounts and commissions and estimated offering expenses, at an assumed initial public</w:t>
            </w:r>
          </w:p>
        </w:tc>
      </w:tr>
      <w:tr>
        <w:trPr>
          <w:trHeight w:val="204"/>
        </w:trPr>
        <w:tc>
          <w:tcPr>
            <w:tcW w:w="1320" w:type="dxa"/>
            <w:vAlign w:val="bottom"/>
            <w:gridSpan w:val="2"/>
          </w:tcPr>
          <w:p>
            <w:pPr>
              <w:spacing w:after="0"/>
              <w:rPr>
                <w:sz w:val="20"/>
                <w:szCs w:val="20"/>
                <w:color w:val="auto"/>
              </w:rPr>
            </w:pPr>
            <w:r>
              <w:rPr>
                <w:rFonts w:ascii="Arial" w:cs="Arial" w:eastAsia="Arial" w:hAnsi="Arial"/>
                <w:sz w:val="17"/>
                <w:szCs w:val="17"/>
                <w:color w:val="auto"/>
                <w:w w:val="98"/>
              </w:rPr>
              <w:t>offering price of $</w:t>
            </w:r>
          </w:p>
        </w:tc>
        <w:tc>
          <w:tcPr>
            <w:tcW w:w="9960" w:type="dxa"/>
            <w:vAlign w:val="bottom"/>
            <w:gridSpan w:val="17"/>
          </w:tcPr>
          <w:p>
            <w:pPr>
              <w:ind w:left="620"/>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w:t>
            </w:r>
          </w:p>
        </w:tc>
      </w:tr>
      <w:tr>
        <w:trPr>
          <w:trHeight w:val="379"/>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rPr>
              <w:t>Shares</w:t>
            </w:r>
          </w:p>
        </w:tc>
        <w:tc>
          <w:tcPr>
            <w:tcW w:w="980" w:type="dxa"/>
            <w:vAlign w:val="bottom"/>
            <w:gridSpan w:val="2"/>
          </w:tcPr>
          <w:p>
            <w:pPr>
              <w:jc w:val="center"/>
              <w:ind w:left="455"/>
              <w:spacing w:after="0"/>
              <w:rPr>
                <w:sz w:val="20"/>
                <w:szCs w:val="20"/>
                <w:color w:val="auto"/>
              </w:rPr>
            </w:pPr>
            <w:r>
              <w:rPr>
                <w:rFonts w:ascii="Arial" w:cs="Arial" w:eastAsia="Arial" w:hAnsi="Arial"/>
                <w:sz w:val="17"/>
                <w:szCs w:val="17"/>
                <w:b w:val="1"/>
                <w:bCs w:val="1"/>
                <w:color w:val="auto"/>
                <w:w w:val="98"/>
              </w:rPr>
              <w:t>Total</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w w:val="98"/>
              </w:rPr>
              <w:t>Purchased</w:t>
            </w:r>
          </w:p>
        </w:tc>
        <w:tc>
          <w:tcPr>
            <w:tcW w:w="168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99"/>
              </w:rPr>
              <w:t>Consideration</w:t>
            </w:r>
          </w:p>
        </w:tc>
        <w:tc>
          <w:tcPr>
            <w:tcW w:w="140" w:type="dxa"/>
            <w:vAlign w:val="bottom"/>
          </w:tcPr>
          <w:p>
            <w:pPr>
              <w:spacing w:after="0"/>
              <w:rPr>
                <w:sz w:val="18"/>
                <w:szCs w:val="18"/>
                <w:color w:val="auto"/>
              </w:rPr>
            </w:pPr>
          </w:p>
        </w:tc>
        <w:tc>
          <w:tcPr>
            <w:tcW w:w="2460" w:type="dxa"/>
            <w:vAlign w:val="bottom"/>
            <w:gridSpan w:val="3"/>
          </w:tcPr>
          <w:p>
            <w:pPr>
              <w:jc w:val="center"/>
              <w:ind w:right="1100"/>
              <w:spacing w:after="0"/>
              <w:rPr>
                <w:sz w:val="20"/>
                <w:szCs w:val="20"/>
                <w:color w:val="auto"/>
              </w:rPr>
            </w:pPr>
            <w:r>
              <w:rPr>
                <w:rFonts w:ascii="Arial" w:cs="Arial" w:eastAsia="Arial" w:hAnsi="Arial"/>
                <w:sz w:val="17"/>
                <w:szCs w:val="17"/>
                <w:b w:val="1"/>
                <w:bCs w:val="1"/>
                <w:color w:val="auto"/>
              </w:rPr>
              <w:t>Average</w:t>
            </w:r>
          </w:p>
        </w:tc>
      </w:tr>
      <w:tr>
        <w:trPr>
          <w:trHeight w:val="190"/>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4"/>
          </w:tcPr>
          <w:p>
            <w:pPr>
              <w:jc w:val="center"/>
              <w:spacing w:after="0" w:line="189" w:lineRule="exact"/>
              <w:rPr>
                <w:sz w:val="20"/>
                <w:szCs w:val="20"/>
                <w:color w:val="auto"/>
              </w:rPr>
            </w:pPr>
            <w:r>
              <w:rPr>
                <w:rFonts w:ascii="Arial" w:cs="Arial" w:eastAsia="Arial" w:hAnsi="Arial"/>
                <w:sz w:val="17"/>
                <w:szCs w:val="17"/>
                <w:b w:val="1"/>
                <w:bCs w:val="1"/>
                <w:color w:val="auto"/>
              </w:rPr>
              <w:t>Number   Percent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Amount</w:t>
            </w:r>
          </w:p>
        </w:tc>
        <w:tc>
          <w:tcPr>
            <w:tcW w:w="70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Percent</w:t>
            </w:r>
          </w:p>
        </w:tc>
        <w:tc>
          <w:tcPr>
            <w:tcW w:w="140" w:type="dxa"/>
            <w:vAlign w:val="bottom"/>
          </w:tcPr>
          <w:p>
            <w:pPr>
              <w:spacing w:after="0"/>
              <w:rPr>
                <w:sz w:val="16"/>
                <w:szCs w:val="16"/>
                <w:color w:val="auto"/>
              </w:rPr>
            </w:pPr>
          </w:p>
        </w:tc>
        <w:tc>
          <w:tcPr>
            <w:tcW w:w="2460" w:type="dxa"/>
            <w:vAlign w:val="bottom"/>
            <w:gridSpan w:val="3"/>
          </w:tcPr>
          <w:p>
            <w:pPr>
              <w:jc w:val="center"/>
              <w:ind w:right="1100"/>
              <w:spacing w:after="0" w:line="189" w:lineRule="exact"/>
              <w:rPr>
                <w:sz w:val="20"/>
                <w:szCs w:val="20"/>
                <w:color w:val="auto"/>
              </w:rPr>
            </w:pPr>
            <w:r>
              <w:rPr>
                <w:rFonts w:ascii="Arial" w:cs="Arial" w:eastAsia="Arial" w:hAnsi="Arial"/>
                <w:sz w:val="17"/>
                <w:szCs w:val="17"/>
                <w:b w:val="1"/>
                <w:bCs w:val="1"/>
                <w:color w:val="auto"/>
              </w:rPr>
              <w:t>Price / Share</w:t>
            </w: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26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360" w:type="dxa"/>
            <w:vAlign w:val="bottom"/>
            <w:gridSpan w:val="2"/>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auto"/>
              </w:rPr>
              <w:t>New investors</w:t>
            </w:r>
          </w:p>
        </w:tc>
        <w:tc>
          <w:tcPr>
            <w:tcW w:w="312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260" w:type="dxa"/>
            <w:vAlign w:val="bottom"/>
            <w:gridSpan w:val="8"/>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w w:val="79"/>
              </w:rPr>
              <w:t>%</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Pr>
          <w:p>
            <w:pPr>
              <w:spacing w:after="0"/>
              <w:rPr>
                <w:sz w:val="17"/>
                <w:szCs w:val="17"/>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960" w:type="dxa"/>
            <w:vAlign w:val="bottom"/>
            <w:gridSpan w:val="4"/>
          </w:tcPr>
          <w:p>
            <w:pPr>
              <w:ind w:left="480"/>
              <w:spacing w:after="0"/>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w:t>
            </w:r>
          </w:p>
        </w:tc>
        <w:tc>
          <w:tcPr>
            <w:tcW w:w="460" w:type="dxa"/>
            <w:vAlign w:val="bottom"/>
          </w:tcPr>
          <w:p>
            <w:pPr>
              <w:spacing w:after="0"/>
              <w:rPr>
                <w:sz w:val="17"/>
                <w:szCs w:val="17"/>
                <w:color w:val="auto"/>
              </w:rPr>
            </w:pPr>
          </w:p>
        </w:tc>
      </w:tr>
      <w:tr>
        <w:trPr>
          <w:trHeight w:val="197"/>
        </w:trPr>
        <w:tc>
          <w:tcPr>
            <w:tcW w:w="10960" w:type="dxa"/>
            <w:vAlign w:val="bottom"/>
            <w:gridSpan w:val="4"/>
          </w:tcPr>
          <w:p>
            <w:pPr>
              <w:spacing w:after="0"/>
              <w:rPr>
                <w:sz w:val="20"/>
                <w:szCs w:val="20"/>
                <w:color w:val="auto"/>
              </w:rPr>
            </w:pPr>
            <w:r>
              <w:rPr>
                <w:rFonts w:ascii="Arial" w:cs="Arial" w:eastAsia="Arial" w:hAnsi="Arial"/>
                <w:sz w:val="17"/>
                <w:szCs w:val="17"/>
                <w:color w:val="auto"/>
              </w:rPr>
              <w:t>purchase additional shares is exercised in full, the number of shares of our common stock held by existing stockholders would be reduced to</w:t>
            </w:r>
          </w:p>
        </w:tc>
        <w:tc>
          <w:tcPr>
            <w:tcW w:w="460" w:type="dxa"/>
            <w:vAlign w:val="bottom"/>
          </w:tcPr>
          <w:p>
            <w:pPr>
              <w:jc w:val="right"/>
              <w:spacing w:after="0"/>
              <w:rPr>
                <w:sz w:val="20"/>
                <w:szCs w:val="20"/>
                <w:color w:val="auto"/>
              </w:rPr>
            </w:pPr>
            <w:r>
              <w:rPr>
                <w:rFonts w:ascii="Arial" w:cs="Arial" w:eastAsia="Arial" w:hAnsi="Arial"/>
                <w:sz w:val="17"/>
                <w:szCs w:val="17"/>
                <w:color w:val="auto"/>
              </w:rPr>
              <w:t>% of</w:t>
            </w:r>
          </w:p>
        </w:tc>
      </w:tr>
      <w:tr>
        <w:trPr>
          <w:trHeight w:val="197"/>
        </w:trPr>
        <w:tc>
          <w:tcPr>
            <w:tcW w:w="10960" w:type="dxa"/>
            <w:vAlign w:val="bottom"/>
            <w:gridSpan w:val="4"/>
          </w:tcPr>
          <w:p>
            <w:pPr>
              <w:spacing w:after="0"/>
              <w:rPr>
                <w:sz w:val="20"/>
                <w:szCs w:val="20"/>
                <w:color w:val="auto"/>
              </w:rPr>
            </w:pPr>
            <w:r>
              <w:rPr>
                <w:rFonts w:ascii="Arial" w:cs="Arial" w:eastAsia="Arial" w:hAnsi="Arial"/>
                <w:sz w:val="17"/>
                <w:szCs w:val="17"/>
                <w:color w:val="auto"/>
              </w:rPr>
              <w:t>the total number of shares of our common stock outstanding after this offering, and the number of shares of common stock held by new investors</w:t>
            </w:r>
          </w:p>
        </w:tc>
        <w:tc>
          <w:tcPr>
            <w:tcW w:w="460" w:type="dxa"/>
            <w:vAlign w:val="bottom"/>
          </w:tcPr>
          <w:p>
            <w:pPr>
              <w:spacing w:after="0"/>
              <w:rPr>
                <w:sz w:val="17"/>
                <w:szCs w:val="17"/>
                <w:color w:val="auto"/>
              </w:rPr>
            </w:pP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participating in the offering would be increased to</w:t>
            </w:r>
          </w:p>
        </w:tc>
        <w:tc>
          <w:tcPr>
            <w:tcW w:w="7040" w:type="dxa"/>
            <w:vAlign w:val="bottom"/>
            <w:gridSpan w:val="3"/>
          </w:tcPr>
          <w:p>
            <w:pPr>
              <w:ind w:left="220"/>
              <w:spacing w:after="0"/>
              <w:rPr>
                <w:sz w:val="20"/>
                <w:szCs w:val="20"/>
                <w:color w:val="auto"/>
              </w:rPr>
            </w:pPr>
            <w:r>
              <w:rPr>
                <w:rFonts w:ascii="Arial" w:cs="Arial" w:eastAsia="Arial" w:hAnsi="Arial"/>
                <w:sz w:val="17"/>
                <w:szCs w:val="17"/>
                <w:color w:val="auto"/>
              </w:rPr>
              <w:t>% of the total number of shares of our common stock outstanding after this offering.</w:t>
            </w:r>
          </w:p>
        </w:tc>
        <w:tc>
          <w:tcPr>
            <w:tcW w:w="460" w:type="dxa"/>
            <w:vAlign w:val="bottom"/>
          </w:tcPr>
          <w:p>
            <w:pPr>
              <w:spacing w:after="0"/>
              <w:rPr>
                <w:sz w:val="17"/>
                <w:szCs w:val="17"/>
                <w:color w:val="auto"/>
              </w:rPr>
            </w:pPr>
          </w:p>
        </w:tc>
      </w:tr>
      <w:tr>
        <w:trPr>
          <w:trHeight w:val="399"/>
        </w:trPr>
        <w:tc>
          <w:tcPr>
            <w:tcW w:w="6820" w:type="dxa"/>
            <w:vAlign w:val="bottom"/>
            <w:gridSpan w:val="2"/>
          </w:tcPr>
          <w:p>
            <w:pPr>
              <w:ind w:left="4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600" w:type="dxa"/>
            <w:vAlign w:val="bottom"/>
            <w:gridSpan w:val="3"/>
          </w:tcPr>
          <w:p>
            <w:pPr>
              <w:jc w:val="right"/>
              <w:ind w:right="155"/>
              <w:spacing w:after="0"/>
              <w:rPr>
                <w:sz w:val="20"/>
                <w:szCs w:val="20"/>
                <w:color w:val="auto"/>
              </w:rPr>
            </w:pPr>
            <w:r>
              <w:rPr>
                <w:rFonts w:ascii="Arial" w:cs="Arial" w:eastAsia="Arial" w:hAnsi="Arial"/>
                <w:sz w:val="17"/>
                <w:szCs w:val="17"/>
                <w:color w:val="auto"/>
              </w:rPr>
              <w:t>per share, the midpoint of the estimated price range set</w:t>
            </w:r>
          </w:p>
        </w:tc>
      </w:tr>
      <w:tr>
        <w:trPr>
          <w:trHeight w:val="197"/>
        </w:trPr>
        <w:tc>
          <w:tcPr>
            <w:tcW w:w="9320" w:type="dxa"/>
            <w:vAlign w:val="bottom"/>
            <w:gridSpan w:val="3"/>
          </w:tcPr>
          <w:p>
            <w:pPr>
              <w:spacing w:after="0"/>
              <w:rPr>
                <w:sz w:val="20"/>
                <w:szCs w:val="20"/>
                <w:color w:val="auto"/>
              </w:rPr>
            </w:pPr>
            <w:r>
              <w:rPr>
                <w:rFonts w:ascii="Arial" w:cs="Arial" w:eastAsia="Arial" w:hAnsi="Arial"/>
                <w:sz w:val="17"/>
                <w:szCs w:val="17"/>
                <w:color w:val="auto"/>
              </w:rPr>
              <w:t>forth on the cover page of this prospectus, would increase (decrease) the total consideration paid by new investors by $</w:t>
            </w:r>
          </w:p>
        </w:tc>
        <w:tc>
          <w:tcPr>
            <w:tcW w:w="1640" w:type="dxa"/>
            <w:vAlign w:val="bottom"/>
          </w:tcPr>
          <w:p>
            <w:pPr>
              <w:ind w:left="300"/>
              <w:spacing w:after="0"/>
              <w:rPr>
                <w:sz w:val="20"/>
                <w:szCs w:val="20"/>
                <w:color w:val="auto"/>
              </w:rPr>
            </w:pPr>
            <w:r>
              <w:rPr>
                <w:rFonts w:ascii="Arial" w:cs="Arial" w:eastAsia="Arial" w:hAnsi="Arial"/>
                <w:sz w:val="17"/>
                <w:szCs w:val="17"/>
                <w:color w:val="auto"/>
              </w:rPr>
              <w:t>, and increase</w:t>
            </w:r>
          </w:p>
        </w:tc>
        <w:tc>
          <w:tcPr>
            <w:tcW w:w="460" w:type="dxa"/>
            <w:vAlign w:val="bottom"/>
          </w:tcPr>
          <w:p>
            <w:pPr>
              <w:spacing w:after="0"/>
              <w:rPr>
                <w:sz w:val="17"/>
                <w:szCs w:val="17"/>
                <w:color w:val="auto"/>
              </w:rPr>
            </w:pPr>
          </w:p>
        </w:tc>
      </w:tr>
      <w:tr>
        <w:trPr>
          <w:trHeight w:val="197"/>
        </w:trPr>
        <w:tc>
          <w:tcPr>
            <w:tcW w:w="6820" w:type="dxa"/>
            <w:vAlign w:val="bottom"/>
            <w:gridSpan w:val="2"/>
          </w:tcPr>
          <w:p>
            <w:pPr>
              <w:spacing w:after="0"/>
              <w:rPr>
                <w:sz w:val="20"/>
                <w:szCs w:val="20"/>
                <w:color w:val="auto"/>
              </w:rPr>
            </w:pPr>
            <w:r>
              <w:rPr>
                <w:rFonts w:ascii="Arial" w:cs="Arial" w:eastAsia="Arial" w:hAnsi="Arial"/>
                <w:sz w:val="17"/>
                <w:szCs w:val="17"/>
                <w:color w:val="auto"/>
              </w:rPr>
              <w:t>(decrease) the percentage of total consideration paid by new investors by approximately</w:t>
            </w:r>
          </w:p>
        </w:tc>
        <w:tc>
          <w:tcPr>
            <w:tcW w:w="4600" w:type="dxa"/>
            <w:vAlign w:val="bottom"/>
            <w:gridSpan w:val="3"/>
          </w:tcPr>
          <w:p>
            <w:pPr>
              <w:jc w:val="right"/>
              <w:spacing w:after="0"/>
              <w:rPr>
                <w:sz w:val="20"/>
                <w:szCs w:val="20"/>
                <w:color w:val="auto"/>
              </w:rPr>
            </w:pPr>
            <w:r>
              <w:rPr>
                <w:rFonts w:ascii="Arial" w:cs="Arial" w:eastAsia="Arial" w:hAnsi="Arial"/>
                <w:sz w:val="17"/>
                <w:szCs w:val="17"/>
                <w:color w:val="auto"/>
              </w:rPr>
              <w:t>%, assuming that the number of shares offered by us, as</w:t>
            </w:r>
          </w:p>
        </w:tc>
      </w:tr>
      <w:tr>
        <w:trPr>
          <w:trHeight w:val="204"/>
        </w:trPr>
        <w:tc>
          <w:tcPr>
            <w:tcW w:w="6820" w:type="dxa"/>
            <w:vAlign w:val="bottom"/>
            <w:gridSpan w:val="2"/>
          </w:tcPr>
          <w:p>
            <w:pPr>
              <w:spacing w:after="0"/>
              <w:rPr>
                <w:sz w:val="20"/>
                <w:szCs w:val="20"/>
                <w:color w:val="auto"/>
              </w:rPr>
            </w:pPr>
            <w:r>
              <w:rPr>
                <w:rFonts w:ascii="Arial" w:cs="Arial" w:eastAsia="Arial" w:hAnsi="Arial"/>
                <w:sz w:val="17"/>
                <w:szCs w:val="17"/>
                <w:color w:val="auto"/>
              </w:rPr>
              <w:t>listed on the cover page of this prospectus, remains the same.</w:t>
            </w:r>
          </w:p>
        </w:tc>
        <w:tc>
          <w:tcPr>
            <w:tcW w:w="2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6"/>
        </w:trPr>
        <w:tc>
          <w:tcPr>
            <w:tcW w:w="3920" w:type="dxa"/>
            <w:vAlign w:val="bottom"/>
          </w:tcPr>
          <w:p>
            <w:pPr>
              <w:spacing w:after="0"/>
              <w:rPr>
                <w:sz w:val="24"/>
                <w:szCs w:val="24"/>
                <w:color w:val="auto"/>
              </w:rPr>
            </w:pPr>
          </w:p>
        </w:tc>
        <w:tc>
          <w:tcPr>
            <w:tcW w:w="2900" w:type="dxa"/>
            <w:vAlign w:val="bottom"/>
          </w:tcPr>
          <w:p>
            <w:pPr>
              <w:jc w:val="right"/>
              <w:ind w:right="935"/>
              <w:spacing w:after="0"/>
              <w:rPr>
                <w:sz w:val="20"/>
                <w:szCs w:val="20"/>
                <w:color w:val="auto"/>
              </w:rPr>
            </w:pPr>
            <w:r>
              <w:rPr>
                <w:rFonts w:ascii="Arial" w:cs="Arial" w:eastAsia="Arial" w:hAnsi="Arial"/>
                <w:sz w:val="17"/>
                <w:szCs w:val="17"/>
                <w:color w:val="auto"/>
              </w:rPr>
              <w:t>61</w:t>
            </w:r>
          </w:p>
        </w:tc>
        <w:tc>
          <w:tcPr>
            <w:tcW w:w="2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3920" w:type="dxa"/>
            <w:vAlign w:val="bottom"/>
            <w:tcBorders>
              <w:bottom w:val="single" w:sz="8" w:color="808080"/>
            </w:tcBorders>
          </w:tcPr>
          <w:p>
            <w:pPr>
              <w:spacing w:after="0"/>
              <w:rPr>
                <w:sz w:val="18"/>
                <w:szCs w:val="18"/>
                <w:color w:val="auto"/>
              </w:rPr>
            </w:pPr>
          </w:p>
        </w:tc>
        <w:tc>
          <w:tcPr>
            <w:tcW w:w="2900" w:type="dxa"/>
            <w:vAlign w:val="bottom"/>
            <w:tcBorders>
              <w:bottom w:val="single" w:sz="8" w:color="808080"/>
            </w:tcBorders>
          </w:tcPr>
          <w:p>
            <w:pPr>
              <w:spacing w:after="0"/>
              <w:rPr>
                <w:sz w:val="18"/>
                <w:szCs w:val="18"/>
                <w:color w:val="auto"/>
              </w:rPr>
            </w:pPr>
          </w:p>
        </w:tc>
        <w:tc>
          <w:tcPr>
            <w:tcW w:w="250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Similarly, each increase (decrease) of one million shares in the number of shares of common stock offered by us would increase (decrease) the</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total consideration paid by new investors by $ million and increase (decrease) the percentage of total consideration paid by new investors by approximately % assuming that the assumed initial public offering price of $ per share, the midpoint of the estimated price range set forth on the cover page of this prospectus, price remains the same.</w:t>
      </w:r>
    </w:p>
    <w:p>
      <w:pPr>
        <w:spacing w:after="0" w:line="199"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assuming conversion of all of our outstanding shares of convertible preferred stock upon closing of this offering.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weighted-average exercise price of $0.37 per share;</w:t>
      </w:r>
    </w:p>
    <w:p>
      <w:pPr>
        <w:spacing w:after="0" w:line="192"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179"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179" w:lineRule="exact"/>
        <w:rPr>
          <w:rFonts w:ascii="Arial" w:cs="Arial" w:eastAsia="Arial" w:hAnsi="Arial"/>
          <w:sz w:val="17"/>
          <w:szCs w:val="17"/>
          <w:color w:val="auto"/>
        </w:rPr>
      </w:pPr>
    </w:p>
    <w:p>
      <w:pPr>
        <w:ind w:left="1060" w:right="220" w:hanging="531"/>
        <w:spacing w:after="0" w:line="252"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ESPP, which will become effective upon the completion of this offering.</w:t>
      </w:r>
    </w:p>
    <w:p>
      <w:pPr>
        <w:spacing w:after="0" w:line="193"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Our historical results are not necessarily indicative of the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tcPr>
          <w:p>
            <w:pPr>
              <w:jc w:val="center"/>
              <w:ind w:right="2040"/>
              <w:spacing w:after="0" w:line="139" w:lineRule="exact"/>
              <w:rPr>
                <w:sz w:val="20"/>
                <w:szCs w:val="20"/>
                <w:color w:val="auto"/>
              </w:rPr>
            </w:pPr>
            <w:r>
              <w:rPr>
                <w:rFonts w:ascii="Arial" w:cs="Arial" w:eastAsia="Arial" w:hAnsi="Arial"/>
                <w:sz w:val="14"/>
                <w:szCs w:val="14"/>
                <w:b w:val="1"/>
                <w:bCs w:val="1"/>
                <w:color w:val="auto"/>
                <w:w w:val="97"/>
              </w:rPr>
              <w:t>(in thousands, except</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15,928</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5,072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7,890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21,000</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39,734</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Other income (expense):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(453)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(551)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(2,870)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(5,765)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 applicable to common stockholders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(23,782)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(46,050)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(4.26)</w:t>
            </w:r>
          </w:p>
        </w:tc>
        <w:tc>
          <w:tcPr>
            <w:tcW w:w="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(5.89)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5,582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7,815</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20" w:type="dxa"/>
            <w:vAlign w:val="bottom"/>
          </w:tcPr>
          <w:p>
            <w:pPr>
              <w:spacing w:after="0"/>
              <w:rPr>
                <w:sz w:val="15"/>
                <w:szCs w:val="15"/>
                <w:color w:val="auto"/>
              </w:rPr>
            </w:pPr>
          </w:p>
        </w:tc>
        <w:tc>
          <w:tcPr>
            <w:tcW w:w="59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(0.56)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71,962</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1795"/>
              <w:spacing w:after="0"/>
              <w:rPr>
                <w:sz w:val="20"/>
                <w:szCs w:val="20"/>
                <w:color w:val="auto"/>
              </w:rPr>
            </w:pPr>
            <w:r>
              <w:rPr>
                <w:rFonts w:ascii="Arial" w:cs="Arial" w:eastAsia="Arial" w:hAnsi="Arial"/>
                <w:sz w:val="17"/>
                <w:szCs w:val="17"/>
                <w:color w:val="auto"/>
              </w:rPr>
              <w:t>63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9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As of</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9"/>
              </w:rPr>
              <w:t>December 31,</w:t>
            </w: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1,987</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47,240</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capital(2)</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41,510</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4,135</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49,925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2,155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7,338</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119</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39,958</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114,811</w:t>
            </w:r>
          </w:p>
        </w:tc>
        <w:tc>
          <w:tcPr>
            <w:tcW w:w="160" w:type="dxa"/>
            <w:vAlign w:val="bottom"/>
            <w:shd w:val="clear" w:color="auto" w:fill="CCEEFF"/>
          </w:tcPr>
          <w:p>
            <w:pPr>
              <w:spacing w:after="0"/>
              <w:rPr>
                <w:sz w:val="17"/>
                <w:szCs w:val="17"/>
                <w:color w:val="auto"/>
              </w:rPr>
            </w:pPr>
          </w:p>
        </w:tc>
      </w:tr>
      <w:tr>
        <w:trPr>
          <w:trHeight w:val="207"/>
        </w:trPr>
        <w:tc>
          <w:tcPr>
            <w:tcW w:w="444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(41,454)</w:t>
            </w:r>
          </w:p>
        </w:tc>
        <w:tc>
          <w:tcPr>
            <w:tcW w:w="3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(79,382)</w:t>
            </w:r>
          </w:p>
        </w:tc>
      </w:tr>
      <w:tr>
        <w:trPr>
          <w:trHeight w:val="94"/>
        </w:trPr>
        <w:tc>
          <w:tcPr>
            <w:tcW w:w="8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2240" w:hanging="523"/>
        <w:spacing w:after="0" w:line="246" w:lineRule="auto"/>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98" w:lineRule="exact"/>
        <w:rPr>
          <w:rFonts w:ascii="Arial" w:cs="Arial" w:eastAsia="Arial" w:hAnsi="Arial"/>
          <w:sz w:val="17"/>
          <w:szCs w:val="17"/>
          <w:color w:val="auto"/>
        </w:rPr>
      </w:pPr>
    </w:p>
    <w:p>
      <w:pPr>
        <w:ind w:left="2240" w:hanging="523"/>
        <w:spacing w:after="0"/>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96"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for patients with systemic mastocytosis and a defined subset of patients with gastrointestinal stromal tumors. Our other lead drug candidate is BLU-554, which targets FGFR4, for a defined subset of patients with hepatocellular carcinoma. Both drug candidates have demonstrated proof of concept in pre-clinical models and are expected to enter the clinic in mid-2015. We are also developing a drug candidate to target both RET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0"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pre-clinical studies, and conducting pre-clinical studies, including Good Laboratory Practice, or GLP, toxicology studies. We expect to begin conducting clinical trials in mid-2015. We do not have any drugs approved for sale and have not generated any revenue from drug sales. We have funded our operations primarily through private placements of our convertible preferred stock and debt financing. From inception through December 31, 2014, we have raised an aggregate of $125.1 million of gross proceeds to fund our operations, of which $115.1 million was from the issuance of convertible preferred stock and $10.0 million was from a debt financing.</w:t>
      </w:r>
    </w:p>
    <w:p>
      <w:pPr>
        <w:spacing w:after="0" w:line="206"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Since inception, we have incurred significant operating losses. Our net losses were $20.9 million and $40.3 million for the years ended December 31, 2013 and 2014, respectively. As of December 31, 2014, we had an accumulated deficit of $82.2 million. We expect to continue to incur significant expenses and operating losses over the next several years. We anticipate that our expenses will increase significantly in connection with our ongoing activities, as we:</w:t>
      </w:r>
    </w:p>
    <w:p>
      <w:pPr>
        <w:spacing w:after="0" w:line="198" w:lineRule="exact"/>
        <w:rPr>
          <w:sz w:val="20"/>
          <w:szCs w:val="20"/>
          <w:color w:val="auto"/>
        </w:rPr>
      </w:pPr>
    </w:p>
    <w:p>
      <w:pPr>
        <w:ind w:left="1060" w:right="20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continue Investigational New Drug application, or IND, enabling activities and commence the planned clinical development activities for our lead drug candidates BLU-285 and BLU-554;</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continue to discover, validate and develop additional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hire additional research, development and business personnel;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upon the closing of this offering.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Operations Overview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future, we will seek to generate revenue from a combination of drug sales and strategic relationships we may enter into.</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drug discovery efforts, and the development of our drug candidates, which include:</w:t>
      </w:r>
    </w:p>
    <w:p>
      <w:pPr>
        <w:spacing w:after="0" w:line="193"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97"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that conduct research and development, pre-clinical activities and manufacturing on our behalf;</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 of consultants;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 of lab supplies and acquiring, developing, and manufacturing pre-clinical study materials; and</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direct and allocated expenses for rent and maintenance of facilities, insurance, and other operating costs.</w:t>
      </w:r>
    </w:p>
    <w:p>
      <w:pPr>
        <w:spacing w:after="0" w:line="19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99"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211"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establishing an appropriate safety profile with IND-enabling toxicology studies;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197" w:lineRule="exact"/>
        <w:rPr>
          <w:rFonts w:ascii="Arial" w:cs="Arial" w:eastAsia="Arial" w:hAnsi="Arial"/>
          <w:sz w:val="17"/>
          <w:szCs w:val="17"/>
          <w:color w:val="auto"/>
        </w:rPr>
      </w:pPr>
    </w:p>
    <w:p>
      <w:pPr>
        <w:ind w:left="5620" w:right="1980" w:hanging="5091"/>
        <w:spacing w:after="0" w:line="509" w:lineRule="auto"/>
        <w:tabs>
          <w:tab w:leader="none" w:pos="10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drug candidates;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commercializing the drug candidates, if and when approved, whether alone or in collaboration with others;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continued acceptable safety profile of the drugs following approval.</w:t>
      </w:r>
    </w:p>
    <w:p>
      <w:pPr>
        <w:spacing w:after="0" w:line="211" w:lineRule="exact"/>
        <w:rPr>
          <w:sz w:val="20"/>
          <w:szCs w:val="20"/>
          <w:color w:val="auto"/>
        </w:rPr>
      </w:pPr>
    </w:p>
    <w:p>
      <w:pPr>
        <w:ind w:right="80" w:firstLine="464"/>
        <w:spacing w:after="0" w:line="252"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93" w:lineRule="exact"/>
        <w:rPr>
          <w:sz w:val="20"/>
          <w:szCs w:val="20"/>
          <w:color w:val="auto"/>
        </w:rPr>
      </w:pPr>
    </w:p>
    <w:p>
      <w:pPr>
        <w:ind w:right="140" w:firstLine="474"/>
        <w:spacing w:after="0" w:line="24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01"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 significant portion of our research and development costs have been external costs, which we track on a program-by-program basis following nomination as a development candidate. Our internal research and development costs are primarily personnel-related costs, depreciation and other indirect costs. We do not track our internal research and development expenses on a program-by-program basis as they are deployed across multiple projects under development. The following table summarizes our external research and development expenses, by program following nomination as a development candidate, for the year ended December 31, 2014. Pre-development candidate expenses, unallocated costs and internal research and development costs have been classified separately. We had not yet nominated any development candidates for the year ended December 31, 2013.</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December 31, 2014</w:t>
            </w:r>
          </w:p>
        </w:tc>
        <w:tc>
          <w:tcPr>
            <w:tcW w:w="240" w:type="dxa"/>
            <w:vAlign w:val="bottom"/>
            <w:gridSpan w:val="2"/>
          </w:tcPr>
          <w:p>
            <w:pPr>
              <w:spacing w:after="0"/>
              <w:rPr>
                <w:sz w:val="18"/>
                <w:szCs w:val="18"/>
                <w:color w:val="auto"/>
              </w:rPr>
            </w:pPr>
          </w:p>
        </w:tc>
      </w:tr>
      <w:tr>
        <w:trPr>
          <w:trHeight w:val="190"/>
        </w:trPr>
        <w:tc>
          <w:tcPr>
            <w:tcW w:w="5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BLU-285 external costs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BLU-554 external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3,437</w:t>
            </w:r>
          </w:p>
        </w:tc>
        <w:tc>
          <w:tcPr>
            <w:tcW w:w="16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Pre-development candidate expenses and unallocated costs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13,855</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Internal research and development costs</w:t>
            </w:r>
          </w:p>
        </w:tc>
        <w:tc>
          <w:tcPr>
            <w:tcW w:w="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9,262</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business development, legal and human resources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99"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initiation of our clinical trials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director and officer insurance premiums and investor relations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9" w:lineRule="exact"/>
        <w:rPr>
          <w:sz w:val="20"/>
          <w:szCs w:val="20"/>
          <w:color w:val="auto"/>
        </w:rPr>
      </w:pPr>
    </w:p>
    <w:p>
      <w:pPr>
        <w:ind w:right="400" w:firstLine="474"/>
        <w:spacing w:after="0" w:line="246" w:lineRule="auto"/>
        <w:rPr>
          <w:sz w:val="20"/>
          <w:szCs w:val="20"/>
          <w:color w:val="auto"/>
        </w:rPr>
      </w:pPr>
      <w:r>
        <w:rPr>
          <w:rFonts w:ascii="Arial" w:cs="Arial" w:eastAsia="Arial" w:hAnsi="Arial"/>
          <w:sz w:val="17"/>
          <w:szCs w:val="17"/>
          <w:color w:val="auto"/>
        </w:rPr>
        <w:t>Other income (expense) consists primarily of interest expense on amounts outstanding under a loan and security agreement, or Loan and Security Agreement, that we entered into with Silicon Valley Bank in May 2013, amortization of debt discount and the re-measurement gain or loss associated with the change in the fair value of the convertible preferred stock warrant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20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Research and Development Expenses</w:t>
      </w:r>
    </w:p>
    <w:p>
      <w:pPr>
        <w:spacing w:after="0" w:line="229"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06"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40"/>
        <w:spacing w:after="0" w:line="246" w:lineRule="auto"/>
        <w:rPr>
          <w:sz w:val="20"/>
          <w:szCs w:val="20"/>
          <w:color w:val="auto"/>
        </w:rPr>
      </w:pPr>
      <w:r>
        <w:rPr>
          <w:rFonts w:ascii="Arial" w:cs="Arial" w:eastAsia="Arial" w:hAnsi="Arial"/>
          <w:sz w:val="17"/>
          <w:szCs w:val="17"/>
          <w:color w:val="auto"/>
        </w:rPr>
        <w:t>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9" w:lineRule="exact"/>
        <w:rPr>
          <w:sz w:val="20"/>
          <w:szCs w:val="20"/>
          <w:color w:val="auto"/>
        </w:rPr>
      </w:pPr>
    </w:p>
    <w:p>
      <w:pPr>
        <w:ind w:right="180" w:firstLine="464"/>
        <w:spacing w:after="0" w:line="24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29"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right="20" w:hanging="531"/>
        <w:spacing w:after="0" w:line="24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we are privately held as of the date of these financial statements, we do not have relevant historical data to support our expected volatility. As such, we have used an average of expected volatility based on the volatilities of a representative group of publicly traded biopharmaceutical companies. For purposes of identifying representative companies, we considered characteristics such as number of product candidates in early stages of product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4"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79"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expected term, which we calculate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we have insufficient historical information regarding our stock options to provide a basis for an estimate;</w:t>
      </w:r>
    </w:p>
    <w:p>
      <w:pPr>
        <w:spacing w:after="0" w:line="185"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or OPM, or a hybrid of the probability-weighted expected return method, or PWERM, and the OPM, and was approved by our board of directors; and</w:t>
      </w:r>
    </w:p>
    <w:p>
      <w:pPr>
        <w:spacing w:after="0" w:line="192"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we never paid cash dividends and do not expect to pay any cash dividends in the foreseeable future.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computed the fair value of stock options at the date of grant using the following weighted-average assumptions: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8"/>
              </w:rPr>
              <w:t>Year Ended</w:t>
            </w: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58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December 31, 2013</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December 31, 2014</w:t>
            </w:r>
          </w:p>
        </w:tc>
      </w:tr>
      <w:tr>
        <w:trPr>
          <w:trHeight w:val="190"/>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Risk-free interest rate</w:t>
            </w:r>
          </w:p>
        </w:tc>
        <w:tc>
          <w:tcPr>
            <w:tcW w:w="15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1.70% - 2.84%</w:t>
            </w:r>
          </w:p>
        </w:tc>
        <w:tc>
          <w:tcPr>
            <w:tcW w:w="1740" w:type="dxa"/>
            <w:vAlign w:val="bottom"/>
            <w:gridSpan w:val="2"/>
            <w:shd w:val="clear" w:color="auto" w:fill="CCEEFF"/>
          </w:tcPr>
          <w:p>
            <w:pPr>
              <w:jc w:val="center"/>
              <w:ind w:left="95"/>
              <w:spacing w:after="0" w:line="189" w:lineRule="exact"/>
              <w:rPr>
                <w:sz w:val="20"/>
                <w:szCs w:val="20"/>
                <w:color w:val="auto"/>
              </w:rPr>
            </w:pPr>
            <w:r>
              <w:rPr>
                <w:rFonts w:ascii="Arial" w:cs="Arial" w:eastAsia="Arial" w:hAnsi="Arial"/>
                <w:sz w:val="17"/>
                <w:szCs w:val="17"/>
                <w:color w:val="auto"/>
              </w:rPr>
              <w:t>1.70% - 2.14%</w:t>
            </w:r>
          </w:p>
        </w:tc>
      </w:tr>
      <w:tr>
        <w:trPr>
          <w:trHeight w:val="197"/>
        </w:trPr>
        <w:tc>
          <w:tcPr>
            <w:tcW w:w="58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0.00%</w:t>
            </w:r>
          </w:p>
        </w:tc>
        <w:tc>
          <w:tcPr>
            <w:tcW w:w="1740" w:type="dxa"/>
            <w:vAlign w:val="bottom"/>
            <w:gridSpan w:val="2"/>
          </w:tcPr>
          <w:p>
            <w:pPr>
              <w:jc w:val="center"/>
              <w:ind w:left="95"/>
              <w:spacing w:after="0"/>
              <w:rPr>
                <w:sz w:val="20"/>
                <w:szCs w:val="20"/>
                <w:color w:val="auto"/>
              </w:rPr>
            </w:pPr>
            <w:r>
              <w:rPr>
                <w:rFonts w:ascii="Arial" w:cs="Arial" w:eastAsia="Arial" w:hAnsi="Arial"/>
                <w:sz w:val="17"/>
                <w:szCs w:val="17"/>
                <w:color w:val="auto"/>
                <w:w w:val="99"/>
              </w:rPr>
              <w:t>0.00%</w:t>
            </w:r>
          </w:p>
        </w:tc>
      </w:tr>
      <w:tr>
        <w:trPr>
          <w:trHeight w:val="197"/>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74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color w:val="auto"/>
              </w:rPr>
              <w:t>6.1</w:t>
            </w:r>
          </w:p>
        </w:tc>
      </w:tr>
      <w:tr>
        <w:trPr>
          <w:trHeight w:val="207"/>
        </w:trPr>
        <w:tc>
          <w:tcPr>
            <w:tcW w:w="582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88.96%</w:t>
            </w:r>
          </w:p>
        </w:tc>
        <w:tc>
          <w:tcPr>
            <w:tcW w:w="1740" w:type="dxa"/>
            <w:vAlign w:val="bottom"/>
            <w:gridSpan w:val="2"/>
          </w:tcPr>
          <w:p>
            <w:pPr>
              <w:jc w:val="center"/>
              <w:ind w:left="115"/>
              <w:spacing w:after="0"/>
              <w:rPr>
                <w:sz w:val="20"/>
                <w:szCs w:val="20"/>
                <w:color w:val="auto"/>
              </w:rPr>
            </w:pPr>
            <w:r>
              <w:rPr>
                <w:rFonts w:ascii="Arial" w:cs="Arial" w:eastAsia="Arial" w:hAnsi="Arial"/>
                <w:sz w:val="17"/>
                <w:szCs w:val="17"/>
                <w:color w:val="auto"/>
              </w:rPr>
              <w:t>92.99%</w:t>
            </w:r>
          </w:p>
        </w:tc>
      </w:tr>
    </w:tbl>
    <w:p>
      <w:pPr>
        <w:spacing w:after="0" w:line="202"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Stock-based awards issued to non-employees, including directors for non-board 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 In accordance with the Accounting Standards Codification, or ASC, 718, stock-based awards subject to both performance-and service-based vesting conditions are recognized using an accelerated attribution model.</w:t>
      </w:r>
    </w:p>
    <w:p>
      <w:pPr>
        <w:spacing w:after="0" w:line="199"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231"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following table presents the grant dates, numbers of underlying shares of common stock and the per share exercise prices of stock options granted between January 1, 2014 and the date of this prospectus, along with the fair value per share utilized to calculate stock-based compensation expense:</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Fair Value of</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Exercise Price</w:t>
            </w:r>
          </w:p>
        </w:tc>
        <w:tc>
          <w:tcPr>
            <w:tcW w:w="140" w:type="dxa"/>
            <w:vAlign w:val="bottom"/>
          </w:tcPr>
          <w:p>
            <w:pPr>
              <w:spacing w:after="0"/>
              <w:rPr>
                <w:sz w:val="17"/>
                <w:szCs w:val="17"/>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Common Stock</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Per Share</w:t>
            </w: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99"/>
              </w:rPr>
              <w:t>Type of</w:t>
            </w:r>
          </w:p>
        </w:tc>
        <w:tc>
          <w:tcPr>
            <w:tcW w:w="2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of Award per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per Share 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 Fair</w:t>
            </w:r>
          </w:p>
        </w:tc>
      </w:tr>
      <w:tr>
        <w:trPr>
          <w:trHeight w:val="21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Date of Issuance</w:t>
            </w:r>
          </w:p>
        </w:tc>
        <w:tc>
          <w:tcPr>
            <w:tcW w:w="7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Award</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Share(1)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Grant Date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Value of Award(2)(3)</w:t>
            </w:r>
          </w:p>
        </w:tc>
        <w:tc>
          <w:tcPr>
            <w:tcW w:w="200" w:type="dxa"/>
            <w:vAlign w:val="bottom"/>
          </w:tcPr>
          <w:p>
            <w:pPr>
              <w:spacing w:after="0"/>
              <w:rPr>
                <w:sz w:val="18"/>
                <w:szCs w:val="18"/>
                <w:color w:val="auto"/>
              </w:rPr>
            </w:pPr>
          </w:p>
        </w:tc>
      </w:tr>
      <w:tr>
        <w:trPr>
          <w:trHeight w:val="190"/>
        </w:trPr>
        <w:tc>
          <w:tcPr>
            <w:tcW w:w="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3/6/14</w:t>
            </w:r>
          </w:p>
        </w:tc>
        <w:tc>
          <w:tcPr>
            <w:tcW w:w="7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533,000</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0.34</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0.26</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5/6/14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395,000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0.34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0.26</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7/30/14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3,273,300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0.77(4)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0.65</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8/18/14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1,932,500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tcPr>
          <w:p>
            <w:pPr>
              <w:jc w:val="right"/>
              <w:spacing w:after="0"/>
              <w:rPr>
                <w:sz w:val="20"/>
                <w:szCs w:val="20"/>
                <w:color w:val="auto"/>
              </w:rPr>
            </w:pPr>
            <w:r>
              <w:rPr>
                <w:rFonts w:ascii="Arial" w:cs="Arial" w:eastAsia="Arial" w:hAnsi="Arial"/>
                <w:sz w:val="17"/>
                <w:szCs w:val="17"/>
                <w:color w:val="auto"/>
              </w:rPr>
              <w:t>0.77(4) $</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0.66</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10/8/14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1.12(5)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0.99</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12/2/14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350,000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1.30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0.98</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2/10/15</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2,569,600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r>
      <w:tr>
        <w:trPr>
          <w:trHeight w:val="105"/>
        </w:trPr>
        <w:tc>
          <w:tcPr>
            <w:tcW w:w="6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13" w:lineRule="exact"/>
        <w:rPr>
          <w:sz w:val="20"/>
          <w:szCs w:val="20"/>
          <w:color w:val="auto"/>
        </w:rPr>
      </w:pPr>
    </w:p>
    <w:p>
      <w:pPr>
        <w:jc w:val="both"/>
        <w:ind w:left="1680" w:hanging="533"/>
        <w:spacing w:after="0" w:line="246" w:lineRule="auto"/>
        <w:tabs>
          <w:tab w:leader="none" w:pos="1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Exercise Price of Award per Share represents the fair value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 through the date of grant.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line="252" w:lineRule="auto"/>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Per Share Estimated Fair Value of Award reflects the weighted average fair value of options as estimated at the date of grant using the Black-Scholes option-pricing model.</w:t>
      </w:r>
    </w:p>
    <w:p>
      <w:pPr>
        <w:spacing w:after="0" w:line="192" w:lineRule="exact"/>
        <w:rPr>
          <w:rFonts w:ascii="Arial" w:cs="Arial" w:eastAsia="Arial" w:hAnsi="Arial"/>
          <w:sz w:val="17"/>
          <w:szCs w:val="17"/>
          <w:color w:val="auto"/>
        </w:rPr>
      </w:pPr>
    </w:p>
    <w:p>
      <w:pPr>
        <w:ind w:left="1680" w:right="180" w:hanging="533"/>
        <w:spacing w:after="0" w:line="245" w:lineRule="auto"/>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the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award based on the then-current fair value of the award and adjust expense accordingly. Amounts in this column reflect only the grant date fair value of awards to non-employees.</w:t>
      </w:r>
    </w:p>
    <w:p>
      <w:pPr>
        <w:spacing w:after="0" w:line="185" w:lineRule="exact"/>
        <w:rPr>
          <w:rFonts w:ascii="Arial" w:cs="Arial" w:eastAsia="Arial" w:hAnsi="Arial"/>
          <w:sz w:val="17"/>
          <w:szCs w:val="17"/>
          <w:color w:val="auto"/>
        </w:rPr>
      </w:pPr>
    </w:p>
    <w:p>
      <w:pPr>
        <w:ind w:left="1680" w:right="40" w:hanging="533"/>
        <w:spacing w:after="0" w:line="244" w:lineRule="auto"/>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At the time of the option grants on July 30, 2014 and August 18, 2014, our board of directors determined that the fair value of our common stock of $0.34 per share calculated in the contemporaneous valuation as of January 6, 2014 reasonably reflected the per share fair value of our common stock as of the grant date. However, as described below, the fair value of common stock at the date of these grants was adjusted to $0.77 per share in connection with a retrospective fair value assessment for financial reporting purposes.</w:t>
      </w:r>
    </w:p>
    <w:p>
      <w:pPr>
        <w:spacing w:after="0" w:line="186" w:lineRule="exact"/>
        <w:rPr>
          <w:rFonts w:ascii="Arial" w:cs="Arial" w:eastAsia="Arial" w:hAnsi="Arial"/>
          <w:sz w:val="17"/>
          <w:szCs w:val="17"/>
          <w:color w:val="auto"/>
        </w:rPr>
      </w:pPr>
    </w:p>
    <w:p>
      <w:pPr>
        <w:ind w:left="1680" w:right="60" w:hanging="533"/>
        <w:spacing w:after="0" w:line="245" w:lineRule="auto"/>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At the time of the option grants on October 8, 2014, our board of directors determined that the fair value of our common stock of $0.34 per share calculated in the contemporaneous valuation as of January 6, 2014 reasonably reflected the per share fair value of our common stock as of the grant date. However, as described below, the fair value of common stock at the date of these grants was adjusted to $1.12 per share in connection with a retrospective fair value assessment for financial reporting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Fair Value of Common Stock on Grant Dates</w:t>
      </w:r>
    </w:p>
    <w:p>
      <w:pPr>
        <w:spacing w:after="0" w:line="229"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 Once a public 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202"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For financial reporting purposes, we performed common stock valuations retrospectively, with the assistance of a third-party specialist, as of January 6, 2014, July 30, 2014, November 10, 2014 and February 1, 2015, which resulted in valuations of our common stock of $0.34, $0.77, $1.30 and $1.60 per share, respectively, as of those dates.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212"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and our convertible preferred stock;</w:t>
      </w:r>
    </w:p>
    <w:p>
      <w:pPr>
        <w:spacing w:after="0" w:line="197"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our research and pre-clinical development efforts;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business strategy;</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 and recently completed mergers and acquisitions of companies comparable to us;</w:t>
      </w:r>
    </w:p>
    <w:p>
      <w:pPr>
        <w:spacing w:after="0" w:line="179"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such as an initial public offering or sale of the Company given prevailing market conditions;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recent contemporaneous valuations of our common stock prepared in accordance with methodologies outlined in the Practice Aid.</w:t>
      </w:r>
    </w:p>
    <w:p>
      <w:pPr>
        <w:spacing w:after="0" w:line="211"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dates of our contemporaneous valuations have not always coincided with the dates of our stock option grants. In determining the exercise prices of the stock options set forth in the table above, we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pre-clinical development, our operating and financial performance and current business conditions.</w:t>
      </w:r>
    </w:p>
    <w:p>
      <w:pPr>
        <w:spacing w:after="0" w:line="199" w:lineRule="exact"/>
        <w:rPr>
          <w:sz w:val="20"/>
          <w:szCs w:val="20"/>
          <w:color w:val="auto"/>
        </w:rPr>
      </w:pPr>
    </w:p>
    <w:p>
      <w:pPr>
        <w:ind w:right="240" w:firstLine="470"/>
        <w:spacing w:after="0" w:line="244"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79" w:lineRule="exact"/>
        <w:rPr>
          <w:sz w:val="20"/>
          <w:szCs w:val="20"/>
          <w:color w:val="auto"/>
        </w:rPr>
      </w:pPr>
    </w:p>
    <w:p>
      <w:pPr>
        <w:ind w:right="160" w:firstLine="474"/>
        <w:spacing w:after="0" w:line="259"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in the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87" w:lineRule="exact"/>
        <w:rPr>
          <w:sz w:val="20"/>
          <w:szCs w:val="20"/>
          <w:color w:val="auto"/>
        </w:rPr>
      </w:pPr>
    </w:p>
    <w:p>
      <w:pPr>
        <w:ind w:right="800" w:firstLine="474"/>
        <w:spacing w:after="0" w:line="252" w:lineRule="auto"/>
        <w:rPr>
          <w:sz w:val="20"/>
          <w:szCs w:val="20"/>
          <w:color w:val="auto"/>
        </w:rPr>
      </w:pPr>
      <w:r>
        <w:rPr>
          <w:rFonts w:ascii="Arial" w:cs="Arial" w:eastAsia="Arial" w:hAnsi="Arial"/>
          <w:sz w:val="17"/>
          <w:szCs w:val="17"/>
          <w:color w:val="auto"/>
        </w:rPr>
        <w:t>Our common stock valuation as of January 6, 2014 was prepared utilizing OPM. Our common stock valuations as of July 30, 2014, November 10, 2014 and February 1, 2015 were prepared utilizing a hybrid of PWERM and the OPM, which we refer to as the hybrid method.</w:t>
      </w:r>
    </w:p>
    <w:p>
      <w:pPr>
        <w:spacing w:after="0" w:line="173" w:lineRule="exact"/>
        <w:rPr>
          <w:sz w:val="20"/>
          <w:szCs w:val="20"/>
          <w:color w:val="auto"/>
        </w:rPr>
      </w:pPr>
    </w:p>
    <w:p>
      <w:pPr>
        <w:ind w:right="160" w:firstLine="474"/>
        <w:spacing w:after="0" w:line="259" w:lineRule="auto"/>
        <w:rPr>
          <w:sz w:val="20"/>
          <w:szCs w:val="20"/>
          <w:color w:val="auto"/>
        </w:rPr>
      </w:pPr>
      <w:r>
        <w:rPr>
          <w:rFonts w:ascii="Arial" w:cs="Arial" w:eastAsia="Arial" w:hAnsi="Arial"/>
          <w:sz w:val="17"/>
          <w:szCs w:val="17"/>
          <w:b w:val="1"/>
          <w:bCs w:val="1"/>
          <w:i w:val="1"/>
          <w:iCs w:val="1"/>
          <w:color w:val="auto"/>
        </w:rPr>
        <w:t xml:space="preserve">Methods Used to Allocate Our Enterprise Value to Classes of Securities. </w:t>
      </w:r>
      <w:r>
        <w:rPr>
          <w:rFonts w:ascii="Arial" w:cs="Arial" w:eastAsia="Arial" w:hAnsi="Arial"/>
          <w:sz w:val="17"/>
          <w:szCs w:val="17"/>
          <w:color w:val="auto"/>
        </w:rPr>
        <w:t>In accordance with the Practice Aid, we considered the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allocating the enterprise value across our classes and series of capital stock to determine the fair value of our common stock at each valuation date. The methods we considered consisted of the following:</w:t>
      </w:r>
    </w:p>
    <w:p>
      <w:pPr>
        <w:spacing w:after="0" w:line="167" w:lineRule="exact"/>
        <w:rPr>
          <w:sz w:val="20"/>
          <w:szCs w:val="20"/>
          <w:color w:val="auto"/>
        </w:rPr>
      </w:pPr>
    </w:p>
    <w:p>
      <w:pPr>
        <w:ind w:firstLine="474"/>
        <w:spacing w:after="0" w:line="247" w:lineRule="auto"/>
        <w:rPr>
          <w:sz w:val="20"/>
          <w:szCs w:val="20"/>
          <w:color w:val="auto"/>
        </w:rPr>
      </w:pPr>
      <w:r>
        <w:rPr>
          <w:rFonts w:ascii="Arial" w:cs="Arial" w:eastAsia="Arial" w:hAnsi="Arial"/>
          <w:sz w:val="17"/>
          <w:szCs w:val="17"/>
          <w:b w:val="1"/>
          <w:bCs w:val="1"/>
          <w:i w:val="1"/>
          <w:iCs w:val="1"/>
          <w:color w:val="auto"/>
        </w:rPr>
        <w:t xml:space="preserve">OPM. </w:t>
      </w:r>
      <w:r>
        <w:rPr>
          <w:rFonts w:ascii="Arial" w:cs="Arial" w:eastAsia="Arial" w:hAnsi="Arial"/>
          <w:sz w:val="17"/>
          <w:szCs w:val="17"/>
          <w:color w:val="auto"/>
        </w:rPr>
        <w:t>The OPM treats common stock and convertible preferred stock as call options on the total equity value of a company, with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prices based on the value thresholds at which the allocation among the various holders of a company's securities changes. Under this method, the common stock has value only if the funds available for distribution to stockholders exceeds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99"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OPM backsolve approach was used to estimate enterprise value under the OPM. The OPM backsolve approach uses the OPM to derive the implied equity value for one type of equity security from a contemporaneous sale transaction involving another type of the company's equity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99" w:lineRule="exact"/>
        <w:rPr>
          <w:sz w:val="20"/>
          <w:szCs w:val="20"/>
          <w:color w:val="auto"/>
        </w:rPr>
      </w:pPr>
    </w:p>
    <w:p>
      <w:pPr>
        <w:ind w:right="380" w:firstLine="470"/>
        <w:spacing w:after="0" w:line="246" w:lineRule="auto"/>
        <w:rPr>
          <w:sz w:val="20"/>
          <w:szCs w:val="20"/>
          <w:color w:val="auto"/>
        </w:rPr>
      </w:pPr>
      <w:r>
        <w:rPr>
          <w:rFonts w:ascii="Arial" w:cs="Arial" w:eastAsia="Arial" w:hAnsi="Arial"/>
          <w:sz w:val="17"/>
          <w:szCs w:val="17"/>
          <w:color w:val="auto"/>
        </w:rPr>
        <w:t>To derive the fair value of the common stock using the OPM, the proceeds to the common stockholders were calculated based on the preferences and priorities of the convertible preferred stock and common stock. We then applied a discount for lack of marketability to the common stock to account for the lack of access to an active public market.</w:t>
      </w:r>
    </w:p>
    <w:p>
      <w:pPr>
        <w:spacing w:after="0" w:line="179"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PWERM. </w:t>
      </w:r>
      <w:r>
        <w:rPr>
          <w:rFonts w:ascii="Arial" w:cs="Arial" w:eastAsia="Arial" w:hAnsi="Arial"/>
          <w:sz w:val="17"/>
          <w:szCs w:val="17"/>
          <w:color w:val="auto"/>
        </w:rPr>
        <w:t>Under the PWERM methodology, the fair value of common stock is estimated based upon an analysis of future values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75" w:lineRule="exact"/>
        <w:rPr>
          <w:sz w:val="20"/>
          <w:szCs w:val="20"/>
          <w:color w:val="auto"/>
        </w:rPr>
      </w:pPr>
    </w:p>
    <w:p>
      <w:pPr>
        <w:ind w:righ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Hybrid Method. </w:t>
      </w:r>
      <w:r>
        <w:rPr>
          <w:rFonts w:ascii="Arial" w:cs="Arial" w:eastAsia="Arial" w:hAnsi="Arial"/>
          <w:sz w:val="17"/>
          <w:szCs w:val="17"/>
          <w:color w:val="auto"/>
        </w:rPr>
        <w:t>The hybrid method is a PWERM where the equity value in one of the scenarios is calculated using an OPM. In the hybrid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used by us, two types of future-event scenarios were considered: an IPO and an unspecified liquidity event. The enterprise value for the IPO scenario was determined using a market approach. The enterprise value for the unspecified liquidity event scenario was determined using the OPM backsolve approach. The relative probability of each type of future-event scenario was determined based on an analysis of market conditions at the time, including then-current IPO valuations of similarly situated companies, and expectations as to the timing and likely prospects of the future-event scenarios.</w:t>
      </w:r>
    </w:p>
    <w:p>
      <w:pPr>
        <w:spacing w:after="0" w:line="198"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To determine the enterprise value for the IPO scenario, we used the guideline public company method, which includes comparisons to publicly traded companies in the biopharmaceutical industry that recently completed IPOs. That enterprise value was then discounted back to the valuation date at an appropriate risk-adjusted discount rate.</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To derive the fair value of the common stock for each scenario under the hybrid method, the proceeds to the common stockholders were calculated based on the conversion rights and preferences of the convertible preferred stock. We then applied a discount for lack of marketability to the common stock to account for the lack of access to an active public market.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on the relevant dates on which adoption of such standards is required for other public companies.</w:t>
      </w:r>
    </w:p>
    <w:p>
      <w:pPr>
        <w:spacing w:after="0" w:line="21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 billion or more;</w:t>
      </w:r>
    </w:p>
    <w:p>
      <w:pPr>
        <w:spacing w:after="0" w:line="2" w:lineRule="exact"/>
        <w:rPr>
          <w:sz w:val="20"/>
          <w:szCs w:val="20"/>
          <w:color w:val="auto"/>
        </w:rPr>
      </w:pPr>
    </w:p>
    <w:p>
      <w:pPr>
        <w:jc w:val="both"/>
        <w:ind w:right="60" w:firstLine="5"/>
        <w:spacing w:after="0" w:line="246" w:lineRule="auto"/>
        <w:tabs>
          <w:tab w:leader="none" w:pos="237"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ind w:right="140" w:firstLine="470"/>
        <w:spacing w:after="0" w:line="252" w:lineRule="auto"/>
        <w:rPr>
          <w:sz w:val="20"/>
          <w:szCs w:val="20"/>
          <w:color w:val="auto"/>
        </w:rPr>
      </w:pPr>
      <w:r>
        <w:rPr>
          <w:rFonts w:ascii="Arial" w:cs="Arial" w:eastAsia="Arial" w:hAnsi="Arial"/>
          <w:sz w:val="17"/>
          <w:szCs w:val="17"/>
          <w:color w:val="auto"/>
        </w:rPr>
        <w:t>The following table summarizes our results of operations for the years ended December 31, 2013 and 2014, together with the changes in those items in dollars and as a percentage:</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8"/>
          </w:tcPr>
          <w:p>
            <w:pPr>
              <w:jc w:val="right"/>
              <w:ind w:right="520"/>
              <w:spacing w:after="0"/>
              <w:rPr>
                <w:sz w:val="20"/>
                <w:szCs w:val="20"/>
                <w:color w:val="auto"/>
              </w:rPr>
            </w:pPr>
            <w:r>
              <w:rPr>
                <w:rFonts w:ascii="Arial" w:cs="Arial" w:eastAsia="Arial" w:hAnsi="Arial"/>
                <w:sz w:val="17"/>
                <w:szCs w:val="17"/>
                <w:b w:val="1"/>
                <w:bCs w:val="1"/>
                <w:color w:val="auto"/>
              </w:rPr>
              <w:t>Years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58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8"/>
          </w:tcPr>
          <w:p>
            <w:pPr>
              <w:jc w:val="right"/>
              <w:ind w:right="4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8"/>
                <w:szCs w:val="18"/>
                <w:color w:val="auto"/>
              </w:rPr>
            </w:pPr>
          </w:p>
        </w:tc>
        <w:tc>
          <w:tcPr>
            <w:tcW w:w="1280" w:type="dxa"/>
            <w:vAlign w:val="bottom"/>
            <w:gridSpan w:val="2"/>
            <w:vMerge w:val="restart"/>
          </w:tcPr>
          <w:p>
            <w:pPr>
              <w:jc w:val="right"/>
              <w:ind w:right="15"/>
              <w:spacing w:after="0"/>
              <w:rPr>
                <w:sz w:val="20"/>
                <w:szCs w:val="20"/>
                <w:color w:val="auto"/>
              </w:rPr>
            </w:pPr>
            <w:r>
              <w:rPr>
                <w:rFonts w:ascii="Arial" w:cs="Arial" w:eastAsia="Arial" w:hAnsi="Arial"/>
                <w:sz w:val="17"/>
                <w:szCs w:val="17"/>
                <w:b w:val="1"/>
                <w:bCs w:val="1"/>
                <w:color w:val="auto"/>
              </w:rPr>
              <w:t>Dollar Change</w:t>
            </w:r>
          </w:p>
        </w:tc>
        <w:tc>
          <w:tcPr>
            <w:tcW w:w="2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9"/>
              </w:rPr>
              <w:t>% Change</w:t>
            </w:r>
          </w:p>
        </w:tc>
        <w:tc>
          <w:tcPr>
            <w:tcW w:w="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15,928</w:t>
            </w:r>
          </w:p>
        </w:tc>
        <w:tc>
          <w:tcPr>
            <w:tcW w:w="12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Pr>
          <w:p>
            <w:pPr>
              <w:spacing w:after="0"/>
              <w:rPr>
                <w:sz w:val="17"/>
                <w:szCs w:val="17"/>
                <w:color w:val="auto"/>
              </w:rPr>
            </w:pPr>
          </w:p>
        </w:tc>
        <w:tc>
          <w:tcPr>
            <w:tcW w:w="48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15,916</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gridSpan w:val="2"/>
          </w:tcPr>
          <w:p>
            <w:pPr>
              <w:spacing w:after="0" w:line="189" w:lineRule="exact"/>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21,000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39,734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18,734</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Other income (expense):</w:t>
            </w: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(324)</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(453)</w:t>
            </w: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7"/>
                <w:szCs w:val="17"/>
                <w:color w:val="auto"/>
              </w:rPr>
              <w:t>Total other income (expense)</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(551)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(639)</w:t>
            </w: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(40,285)</w:t>
            </w:r>
          </w:p>
        </w:tc>
        <w:tc>
          <w:tcPr>
            <w:tcW w:w="480" w:type="dxa"/>
            <w:vAlign w:val="bottom"/>
            <w:gridSpan w:val="2"/>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(19,373)</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9"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Research and development expense increased by $15.9 million from $15.9 million for the year ended December 31, 2013 to $31.8 million for the year ended December 31, 2014, an increase of 100%. The increase in research and development expense was primarily attributable to the following:</w:t>
      </w:r>
    </w:p>
    <w:p>
      <w:pPr>
        <w:spacing w:after="0" w:line="193" w:lineRule="exact"/>
        <w:rPr>
          <w:sz w:val="20"/>
          <w:szCs w:val="20"/>
          <w:color w:val="auto"/>
        </w:rPr>
      </w:pPr>
    </w:p>
    <w:p>
      <w:pPr>
        <w:ind w:left="1060" w:right="18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approximately $7.6 million for external IND-enabling pre-clinical and toxicology studies as well as the commencement of manufacturing activities for our two lead programs;</w:t>
      </w:r>
    </w:p>
    <w:p>
      <w:pPr>
        <w:spacing w:after="0" w:line="192"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approximately $4.9 million primarily due to an increase of 46% in headcount as our programs advance towards clinical trials as well as higher stock-based compensation expense, including expense associated with stock-based awards issued to non-employees;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600" w:hanging="531"/>
        <w:spacing w:after="0" w:line="25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approximately $1.9 million in chemistry expenses related to the continued build out of our proprietary compound library, increased chemical analysis for our lead programs, and the general progression of our drug candidate pipeline; and</w:t>
      </w:r>
    </w:p>
    <w:p>
      <w:pPr>
        <w:spacing w:after="0" w:line="174"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approximately $1.2 million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costs leading up to and following the nomination of BLU-285 and BLU-554 as lead programs.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General and administrative expense increased by $2.8 million from $5.1 million for the year ended December 31, 2013 to $7.9 million for the year ended December 31, 2014, an increase of 56%. The increase in general and administrative expense was primarily attributable to the following:</w:t>
      </w:r>
    </w:p>
    <w:p>
      <w:pPr>
        <w:spacing w:after="0" w:line="193" w:lineRule="exact"/>
        <w:rPr>
          <w:sz w:val="20"/>
          <w:szCs w:val="20"/>
          <w:color w:val="auto"/>
        </w:rPr>
      </w:pPr>
    </w:p>
    <w:p>
      <w:pPr>
        <w:ind w:left="1060" w:right="120" w:hanging="531"/>
        <w:spacing w:after="0" w:line="24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approximately $1.8 million in increased personnel costs primarily due to an increase in stock-based compensation expense (including expense associated with stock-based awards issued to non-employees) and a 23% increase in headcount as we build the infrastructure to support the growth of the research and development organization and advance our lead programs towards clinical trials; and</w:t>
      </w:r>
    </w:p>
    <w:p>
      <w:pPr>
        <w:spacing w:after="0" w:line="185"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approximately $0.6 million in increase in professional fees including external legal fees, corporate communications and public relations costs.</w:t>
      </w:r>
    </w:p>
    <w:p>
      <w:pPr>
        <w:spacing w:after="0" w:line="193" w:lineRule="exact"/>
        <w:rPr>
          <w:sz w:val="20"/>
          <w:szCs w:val="20"/>
          <w:color w:val="auto"/>
        </w:rPr>
      </w:pPr>
    </w:p>
    <w:p>
      <w:pPr>
        <w:jc w:val="both"/>
        <w:ind w:right="120" w:firstLine="474"/>
        <w:spacing w:after="0" w:line="246"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Other income (expense) decreased by $0.3 million to $(0.1) million for the year ended December 31, 2014 from $0.2 million for the year ended December 31, 2013. The decrease in other income (expense) was primarily related to the recognition of $0.2 million of other income in the year ended December 31, 2013 related to an award received from the Massachusetts Life Sciences Investment Tax Credit (MLSC) program. Other income was not recognized related to this program in the year ended December 31, 2014. Also contributing to the decrease in other income (expense) was the impact of the re-measurement loss associated with the change in the fair value of the convertible preferred stock warrant liability.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w:t>
      </w:r>
    </w:p>
    <w:p>
      <w:pPr>
        <w:spacing w:after="0" w:line="229"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Interest and other expense increased by $0.3 million to $0.4 million for the year ended December 31, 2014 from $0.1 million for the year ended December 31, 2013. The increase in interest expense was primarily related to a higher outstanding principal balance under the Loan and Security Agreement for the year ended December 31, 2014.</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have financed our operations to date primarily through gross proceeds of $115.1 million from private placements of our convertible preferred stock and proceeds of $10.0 million from a debt financing. As of December 31, 2014, we had cash and cash equivalents of $47.2 million.</w:t>
      </w:r>
    </w:p>
    <w:p>
      <w:pPr>
        <w:spacing w:after="0" w:line="193"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We entered into the Loan and Security Agreement in May 2013. Under the terms of the Loan and Security Agreement, we borrowed $5.0 million. Loan advances accrue interest at a fixed rate of 2.0% above the Prime Rate. In November 2014, we amended the Loan and Security Agreement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borrowed an additional $5.0 million. Each loan advance included an interest only payment period. During 2014 we paid principal payments of</w:t>
      </w:r>
    </w:p>
    <w:p>
      <w:pPr>
        <w:spacing w:after="0" w:line="1"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$0.7 million on the first $3.0 million of advances. Principal payments on the remaining $7.0 million of advances will begin in January and December of 2015. We are required to pay a fee of 4.0% of the total loan advances at the end of the term of the loan. There are no outstanding financial covenants associated with the Loan and Security Agreement. As of December 31, 2014, we had $9.3 million in outstanding principal under the Loan and Security Agreement.</w:t>
      </w:r>
    </w:p>
    <w:p>
      <w:pPr>
        <w:spacing w:after="0" w:line="198"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our intellectual property. The term loan contains customary default provisions that include material adverse events, as defined therein. We have determined that the risk of subjective acceleration under the material adverse events clause is remote and therefore has classified the outstanding principal in current and long-term liabilities based on scheduled principal payments.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2013 and 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8"/>
          </w:tcPr>
          <w:p>
            <w:pPr>
              <w:jc w:val="right"/>
              <w:ind w:right="6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7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8"/>
          </w:tcPr>
          <w:p>
            <w:pPr>
              <w:jc w:val="right"/>
              <w:ind w:right="5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47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(19,025)</w:t>
            </w:r>
          </w:p>
        </w:tc>
        <w:tc>
          <w:tcPr>
            <w:tcW w:w="2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(35,400)</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(257)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17,992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81,353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60" w:type="dxa"/>
            <w:vAlign w:val="bottom"/>
            <w:gridSpan w:val="2"/>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(1,290)</w:t>
            </w:r>
          </w:p>
        </w:tc>
        <w:tc>
          <w:tcPr>
            <w:tcW w:w="2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45,253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229" w:lineRule="exact"/>
        <w:rPr>
          <w:sz w:val="20"/>
          <w:szCs w:val="20"/>
          <w:color w:val="auto"/>
        </w:rPr>
      </w:pPr>
    </w:p>
    <w:p>
      <w:pPr>
        <w:ind w:right="300" w:firstLine="470"/>
        <w:spacing w:after="0" w:line="245" w:lineRule="auto"/>
        <w:rPr>
          <w:sz w:val="20"/>
          <w:szCs w:val="20"/>
          <w:color w:val="auto"/>
        </w:rPr>
      </w:pPr>
      <w:r>
        <w:rPr>
          <w:rFonts w:ascii="Arial" w:cs="Arial" w:eastAsia="Arial" w:hAnsi="Arial"/>
          <w:sz w:val="17"/>
          <w:szCs w:val="17"/>
          <w:color w:val="auto"/>
        </w:rPr>
        <w:t>The use of cash in all periods resulted primarily from our net losses adjusted for non-cash charges and changes in components of working capital. Net cash used in operating activities was $35.4 million during the year ended December 31, 2014 compared to $19.0 million during the year ended December 31, 2013. The increase in cash used in operating activities was due to an increase in net loss of $19.4 million for the year ended December 31, 2014 as compared to the year ended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29"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Net cash used in investing activities was $0.7 million during the year ended December 31, 2014 compared to net cash used in investing activities of $0.3 million during the year ended December 31, 2013. Net cash used in investing activities for the year ended December 31, 2014 and 2013 consisted of purchases of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29"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Net cash provided by financing activities was $81.4 million during the year ended December 31, 2014 compared to $18.0 million during the year ended December 31, 2013. The cash provided by financing activities for the year ended December 31, 2014 was primarily the result of $74.9 million of net proceeds received from private placements of our convertible preferred stock and $7.0 million principal that we drew under the Loan and Security Agreement. The cash provided by financing activities for the year ended December 31, 2013 was primarily the result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$15.0 million of proceeds received from private placements of our convertible preferred stock and $3.0 million principal that we drew under the Loan and Security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22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expect that the net proceeds from this offering together with our existing cash and cash equivalents and investments will enable us to fund</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operating expenses and capital expenditure requirements through at least . Our future capital requirements will depend on many factors, including:</w:t>
      </w:r>
    </w:p>
    <w:p>
      <w:pPr>
        <w:spacing w:after="0" w:line="200" w:lineRule="exact"/>
        <w:rPr>
          <w:sz w:val="20"/>
          <w:szCs w:val="20"/>
          <w:color w:val="auto"/>
        </w:rPr>
      </w:pPr>
    </w:p>
    <w:p>
      <w:pPr>
        <w:spacing w:after="0" w:line="203" w:lineRule="exact"/>
        <w:rPr>
          <w:sz w:val="20"/>
          <w:szCs w:val="20"/>
          <w:color w:val="auto"/>
        </w:rPr>
      </w:pPr>
    </w:p>
    <w:p>
      <w:pPr>
        <w:ind w:left="1060" w:right="600" w:hanging="531"/>
        <w:spacing w:after="0" w:line="25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obtain;</w:t>
      </w:r>
    </w:p>
    <w:p>
      <w:pPr>
        <w:spacing w:after="0" w:line="197" w:lineRule="exact"/>
        <w:rPr>
          <w:rFonts w:ascii="Arial" w:cs="Arial" w:eastAsia="Arial" w:hAnsi="Arial"/>
          <w:sz w:val="17"/>
          <w:szCs w:val="17"/>
          <w:color w:val="auto"/>
        </w:rPr>
      </w:pPr>
    </w:p>
    <w:p>
      <w:pPr>
        <w:ind w:left="1060" w:right="900" w:hanging="531"/>
        <w:spacing w:after="0" w:line="25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197" w:lineRule="exact"/>
        <w:rPr>
          <w:rFonts w:ascii="Arial" w:cs="Arial" w:eastAsia="Arial" w:hAnsi="Arial"/>
          <w:sz w:val="17"/>
          <w:szCs w:val="17"/>
          <w:color w:val="auto"/>
        </w:rPr>
      </w:pPr>
    </w:p>
    <w:p>
      <w:pPr>
        <w:ind w:left="1060" w:right="820" w:hanging="531"/>
        <w:spacing w:after="0" w:line="25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drug candidates.</w:t>
      </w:r>
    </w:p>
    <w:p>
      <w:pPr>
        <w:spacing w:after="0" w:line="193" w:lineRule="exact"/>
        <w:rPr>
          <w:sz w:val="20"/>
          <w:szCs w:val="20"/>
          <w:color w:val="auto"/>
        </w:rPr>
      </w:pPr>
    </w:p>
    <w:p>
      <w:pPr>
        <w:jc w:val="both"/>
        <w:ind w:right="6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99"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We do not have any committed external source of funds.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98"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Contractual Obligations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 December 31, 2014:</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Less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More</w:t>
            </w:r>
          </w:p>
        </w:tc>
      </w:t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than</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1 to 3</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3 to 5</w:t>
            </w: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than</w:t>
            </w:r>
          </w:p>
        </w:tc>
      </w:tr>
      <w:tr>
        <w:trPr>
          <w:trHeight w:val="214"/>
        </w:trPr>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1 Year</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Years</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5 years</w:t>
            </w:r>
          </w:p>
        </w:tc>
      </w:tr>
      <w:tr>
        <w:trPr>
          <w:trHeight w:val="20"/>
        </w:trPr>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0"/>
        </w:trPr>
        <w:tc>
          <w:tcPr>
            <w:tcW w:w="37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commitments(1)</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18,784</w:t>
            </w:r>
          </w:p>
        </w:tc>
        <w:tc>
          <w:tcPr>
            <w:tcW w:w="8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1,453</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4,717</w:t>
            </w: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5,004</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7,610</w:t>
            </w:r>
          </w:p>
        </w:tc>
      </w:tr>
      <w:tr>
        <w:trPr>
          <w:trHeight w:val="207"/>
        </w:trPr>
        <w:tc>
          <w:tcPr>
            <w:tcW w:w="3700" w:type="dxa"/>
            <w:vAlign w:val="bottom"/>
            <w:gridSpan w:val="3"/>
          </w:tcPr>
          <w:p>
            <w:pPr>
              <w:ind w:left="20"/>
              <w:spacing w:after="0"/>
              <w:rPr>
                <w:sz w:val="20"/>
                <w:szCs w:val="20"/>
                <w:color w:val="auto"/>
              </w:rPr>
            </w:pPr>
            <w:r>
              <w:rPr>
                <w:rFonts w:ascii="Arial" w:cs="Arial" w:eastAsia="Arial" w:hAnsi="Arial"/>
                <w:sz w:val="17"/>
                <w:szCs w:val="17"/>
                <w:color w:val="auto"/>
              </w:rPr>
              <w:t>Debt repayment(2)</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10,208</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2,257</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6,383</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1,568</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94"/>
        </w:trPr>
        <w:tc>
          <w:tcPr>
            <w:tcW w:w="9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13" w:lineRule="exact"/>
        <w:rPr>
          <w:sz w:val="20"/>
          <w:szCs w:val="20"/>
          <w:color w:val="auto"/>
        </w:rPr>
      </w:pPr>
    </w:p>
    <w:p>
      <w:pPr>
        <w:ind w:left="1680" w:right="500" w:hanging="533"/>
        <w:spacing w:after="0" w:line="246"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Represents future minimum lease payments under our non-cancelable operating leases, which expire in October 2015 and October 2022, assuming occupancy in October 2015 on the lease entered into in February of 2015. The minimum lease payments above do not include any related common area maintenance charges or real estate taxes.</w:t>
      </w:r>
    </w:p>
    <w:p>
      <w:pPr>
        <w:spacing w:after="0" w:line="198" w:lineRule="exact"/>
        <w:rPr>
          <w:rFonts w:ascii="Arial" w:cs="Arial" w:eastAsia="Arial" w:hAnsi="Arial"/>
          <w:sz w:val="17"/>
          <w:szCs w:val="17"/>
          <w:color w:val="auto"/>
        </w:rPr>
      </w:pPr>
    </w:p>
    <w:p>
      <w:pPr>
        <w:ind w:left="1680" w:right="60" w:hanging="533"/>
        <w:spacing w:after="0" w:line="252"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Consists of payment obligations for principal and interest under the Loan and Security Agreement. As of December 31, 2014, we had $9.3 million in outstanding principal under the Loan and Security Agreement.</w:t>
      </w:r>
    </w:p>
    <w:p>
      <w:pPr>
        <w:spacing w:after="0" w:line="19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cancelable at any time by us, generally upon 30 days prior written notice to the vendor. Milestone payments associated with our license agreements have not been included in the above table of contractual obligations as we cannot reasonably estimate if or when they will occur. At this time, no milestone payments are likely to be due in 2015. Possible future payments under our license arrangements include up to $80,000 in payments to academic and research organizations upon the filing of an IND or FDA approval of a drug.</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Securities and Exchange Commission rules.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31" w:lineRule="exact"/>
        <w:rPr>
          <w:sz w:val="20"/>
          <w:szCs w:val="20"/>
          <w:color w:val="auto"/>
        </w:rPr>
      </w:pPr>
    </w:p>
    <w:p>
      <w:pPr>
        <w:ind w:right="400" w:firstLine="474"/>
        <w:spacing w:after="0" w:line="246"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and cash equivalents, are in a money market fund that invests in U.S. Treasury obligations.</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are also exposed to market risk related to changes in foreign currency exchange rates. We contract with vendors that are located Asia and Europe, which are denominated in foreign currencies. We are subject to fluctuations in foreign currency rates in connection with these agreements. We do not currently hedge our foreign currency exchange rate risk. As of December 30, 2013 and 2014, we had minimal or no liabilities denominated in foreign currencies.</w:t>
      </w:r>
    </w:p>
    <w:p>
      <w:pPr>
        <w:spacing w:after="0" w:line="198"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years ended December 31, 2013 and 2014.</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3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for patients with systemic mastocytosis and defined subsets of patients with gastrointestinal stromal tumors. Our other lead drug candidate is BLU-554, which targets FGFR4, for a defined subset of patients with hepatocellular carcinoma. Both drug candidates have demonstrated proof of concept in pre-clinical models and are expected to enter the clinic in mid-2015. We are also developing a drug candidate to target both RET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Approved kinase drugs, such as imatinib, have demonstrated significant benefit to patients and small molecule kinase drugs achieved over</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resistance mutations. Finally, as of 2014, kinase drugs approved by the U.S. Food and Drug Administration, or FDA, only target less than five percent of the 518 kinases that constitute the kinome. For many of the known kinases, there is a strong link between genetic alterations in a kinase and disease, including specific forms of cancer and rare genetic diseases. However, the function of the majority of the kinome is unknown. Taken together, this represents a substantial opportunity for developing novel and transformative drugs for cancer, rare genetic diseases and other disease areas.</w:t>
      </w:r>
    </w:p>
    <w:p>
      <w:pPr>
        <w:spacing w:after="0" w:line="20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Our novel target discovery engine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by Blueprint Medicines' scientists as kinase inhibitors and enriched for drug-like properties. Using this platform, we have produced a drug pipeline of several promising drug candidates that target genomically-defined patient subsets.</w:t>
      </w:r>
    </w:p>
    <w:p>
      <w:pPr>
        <w:spacing w:after="0" w:line="19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Our two lead programs targeting KIT Exon 17 and FGFR4 provide strong evidence of the power of our proprietary compound library. These targets have been well characterized in scientific literature as disease drivers, but have been challenging to inhibit selectively with small molecules.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the RET resistant mutants.</w:t>
      </w:r>
    </w:p>
    <w:p>
      <w:pPr>
        <w:spacing w:after="0" w:line="199"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9"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tumors, or GIST, which are KIT and PDGFR mediated diseases.</w:t>
      </w:r>
    </w:p>
    <w:p>
      <w:pPr>
        <w:spacing w:after="0" w:line="187"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Imanitib also inhibits PDGFR, which is a driver in a subset of GIST. However, a meaningful percentage of patients harbor mutations in KIT and PDGFR that are not targeted by imatinib and fail to respond to treatment with the drug. We plan to initially develop BLU-285 for targeted patient populations that harbor these mutations and currently lack adequate treatments. BLU-285 has shown significant tumor regression in pre-clinical models of SM and GIST, which we believe to be highly predictive of clinical response. Investigational New Drug application, or IND, enabling studies are nearly completed, and we anticipate Phase 1 clinical trials will start in mid-2015. Expansion cohorts in these trials will include genomically-selected patients.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namely FGFR1-3. Aberrantly active FGFR4 signaling is a driver of disease in a subset of patients with hepatocellular carcinoma, or HCC, a disease with high unmet need and no approved genomically-targeted therapies. We aim to initially develop BLU-554 for a genomically-defined patient population within HCC with aberrantly active FGFR4 signaling. BLU-554 has shown significant anti-tumor activity in several different pre-clinical models of HCC with aberrantly active FGFR4 signaling, including a model which we believe to be highly predictive of clinical response. IND-enabling studies are nearly completed, and we anticipate Phase 1 clinical trials will start in mid-2015. The expansion cohorts in this trial will include genomically-selected patients.</w:t>
      </w:r>
    </w:p>
    <w:p>
      <w:pPr>
        <w:spacing w:after="0" w:line="20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research suggests that RET is a driver of disease in a broad set of cancers including non-small cell lung cancer, and cancers of the thyroid, colon and breast.</w:t>
      </w:r>
    </w:p>
    <w:p>
      <w:pPr>
        <w:spacing w:after="0" w:line="198"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To execute on this opportunity, we have assembled a team of employees, board of directors and scientific founders rich in experience and capabilities in biology, chemistry and the business of drug discovery, development and commercialization. Many of our employees have participated on teams that uncovered innovative scientific findings and delivered highly impactful drugs to the marketplace. Our management team has broad capabilities and successful track records in oncology and rare genetic diseases through previous experience at Algeta ASA, Genzyme 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transform the lives of patients while building a fully-integrated biopharmaceutical company. We believe this experienced and diverse team is a key differentiator of our Company.</w:t>
      </w:r>
    </w:p>
    <w:p>
      <w:pPr>
        <w:spacing w:after="0" w:line="206" w:lineRule="exact"/>
        <w:rPr>
          <w:sz w:val="20"/>
          <w:szCs w:val="20"/>
          <w:color w:val="auto"/>
        </w:rPr>
      </w:pPr>
    </w:p>
    <w:p>
      <w:pPr>
        <w:ind w:right="760" w:firstLine="474"/>
        <w:spacing w:after="0" w:line="252" w:lineRule="auto"/>
        <w:rPr>
          <w:sz w:val="20"/>
          <w:szCs w:val="20"/>
          <w:color w:val="auto"/>
        </w:rPr>
      </w:pPr>
      <w:r>
        <w:rPr>
          <w:rFonts w:ascii="Arial" w:cs="Arial" w:eastAsia="Arial" w:hAnsi="Arial"/>
          <w:sz w:val="17"/>
          <w:szCs w:val="17"/>
          <w:color w:val="auto"/>
        </w:rPr>
        <w:t>Our investors include funds managed by Fidelity Biosciences and Third Rock Ventures as well as other blue-chip public investors in the biopharmaceutical space.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right="94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73"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intense focus on improving patients' lives.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060" w:right="880" w:hanging="531"/>
        <w:spacing w:after="0" w:line="27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4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Pursuing transformative therapies that we believe will make a difference.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strategy was created to enable us to achieve our mission. The key tenants of our strategy include the following:</w:t>
      </w:r>
    </w:p>
    <w:p>
      <w:pPr>
        <w:spacing w:after="0" w:line="191" w:lineRule="exact"/>
        <w:rPr>
          <w:sz w:val="20"/>
          <w:szCs w:val="20"/>
          <w:color w:val="auto"/>
        </w:rPr>
      </w:pPr>
    </w:p>
    <w:p>
      <w:pPr>
        <w:ind w:left="1060" w:hanging="531"/>
        <w:spacing w:after="0" w:line="246"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our lead drug candidates, BLU-285 and BLU-554, through clinical development. </w:t>
      </w:r>
      <w:r>
        <w:rPr>
          <w:rFonts w:ascii="Arial" w:cs="Arial" w:eastAsia="Arial" w:hAnsi="Arial"/>
          <w:sz w:val="17"/>
          <w:szCs w:val="17"/>
          <w:color w:val="auto"/>
        </w:rPr>
        <w:t>We expect to file INDs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 candidates in mid-2015, and to initiate Phase 1 clinical trials with expansion cohorts in genomically-selected patients. We are working with physicians and patient advocacy groups to rapidly identify and enroll patients most likely to respond to our therapies. In order to select patients most likely to respond to our therapies and rapidly confirm mechanistic proof of concept, we are building corporate collaborations to create companion diagnostics and to develop assays to measure target engagement and early response. We expect these approaches to enable early determination of efficacy, allowing for clear decision points. With early and encouraging clinical results, we plan to apply for Breakthrough Therapy Designation which, if granted, is intended to accelerate clinical development and expedite regulatory review and approval.</w:t>
      </w:r>
    </w:p>
    <w:p>
      <w:pPr>
        <w:spacing w:after="0" w:line="166" w:lineRule="exact"/>
        <w:rPr>
          <w:rFonts w:ascii="Arial" w:cs="Arial" w:eastAsia="Arial" w:hAnsi="Arial"/>
          <w:sz w:val="17"/>
          <w:szCs w:val="17"/>
          <w:color w:val="auto"/>
        </w:rPr>
      </w:pPr>
    </w:p>
    <w:p>
      <w:pPr>
        <w:ind w:left="1060" w:right="200" w:hanging="531"/>
        <w:spacing w:after="0" w:line="25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pipeline of kinase drugs for genomically-defined drivers of disease. </w:t>
      </w:r>
      <w:r>
        <w:rPr>
          <w:rFonts w:ascii="Arial" w:cs="Arial" w:eastAsia="Arial" w:hAnsi="Arial"/>
          <w:sz w:val="17"/>
          <w:szCs w:val="17"/>
          <w:color w:val="auto"/>
        </w:rPr>
        <w:t>We will continue to leverage our platform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systematically and reproducibly identify kinases that are drivers of genomically defined diseases and craft drug candidates that potently and selectively target these kinases. We aim to file one IND annually on average.</w:t>
      </w:r>
    </w:p>
    <w:p>
      <w:pPr>
        <w:spacing w:after="0" w:line="166" w:lineRule="exact"/>
        <w:rPr>
          <w:rFonts w:ascii="Arial" w:cs="Arial" w:eastAsia="Arial" w:hAnsi="Arial"/>
          <w:sz w:val="17"/>
          <w:szCs w:val="17"/>
          <w:color w:val="auto"/>
        </w:rPr>
      </w:pPr>
    </w:p>
    <w:p>
      <w:pPr>
        <w:ind w:left="1060" w:right="80" w:hanging="531"/>
        <w:spacing w:after="0" w:line="253"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Continuously invest in our proprietary platform to ensure future growth. </w:t>
      </w:r>
      <w:r>
        <w:rPr>
          <w:rFonts w:ascii="Arial" w:cs="Arial" w:eastAsia="Arial" w:hAnsi="Arial"/>
          <w:sz w:val="17"/>
          <w:szCs w:val="17"/>
          <w:color w:val="auto"/>
        </w:rPr>
        <w:t>We plan to enhance our target discovery engine to enable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insights into known kinase biology and to identify new kinase drug targets. We are focused on uncovering the potential role of the "kinases of unknown biology," or KUBs, which constitute the majority of the kinome. We plan to expand our proprietary compound library to cover close to 100% of the kinome and to increase the number of compound families that inhibit each kinase target.</w:t>
      </w:r>
    </w:p>
    <w:p>
      <w:pPr>
        <w:spacing w:after="0" w:line="158" w:lineRule="exact"/>
        <w:rPr>
          <w:rFonts w:ascii="Arial" w:cs="Arial" w:eastAsia="Arial" w:hAnsi="Arial"/>
          <w:sz w:val="17"/>
          <w:szCs w:val="17"/>
          <w:color w:val="auto"/>
        </w:rPr>
      </w:pPr>
    </w:p>
    <w:p>
      <w:pPr>
        <w:ind w:left="1060" w:right="80" w:hanging="531"/>
        <w:spacing w:after="0" w:line="276"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the Blueprint culture as we grow our business. </w:t>
      </w:r>
      <w:r>
        <w:rPr>
          <w:rFonts w:ascii="Arial" w:cs="Arial" w:eastAsia="Arial" w:hAnsi="Arial"/>
          <w:sz w:val="17"/>
          <w:szCs w:val="17"/>
          <w:color w:val="auto"/>
        </w:rPr>
        <w:t>We are focused on building an entrepreneurial organization that is patient-focused and science-driven and fosters a culture of creativity and innovation, hard work, and urgency for producing quality results. As we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line="246" w:lineRule="auto"/>
        <w:rPr>
          <w:sz w:val="20"/>
          <w:szCs w:val="20"/>
          <w:color w:val="auto"/>
        </w:rPr>
      </w:pPr>
      <w:r>
        <w:rPr>
          <w:rFonts w:ascii="Arial" w:cs="Arial" w:eastAsia="Arial" w:hAnsi="Arial"/>
          <w:sz w:val="17"/>
          <w:szCs w:val="17"/>
          <w:color w:val="auto"/>
        </w:rPr>
        <w:t>grow, we intend to continue hiring the most qualified individuals in biology, chemistry, clinical development and business, who fit within our culture and incorporate our entrepreneurial spirit. We also intend to continue fostering an environment that encourages tight integration across disciplines to ensure a seamless flow of ideas and information exchange.</w:t>
      </w:r>
    </w:p>
    <w:p>
      <w:pPr>
        <w:spacing w:after="0" w:line="179" w:lineRule="exact"/>
        <w:rPr>
          <w:sz w:val="20"/>
          <w:szCs w:val="20"/>
          <w:color w:val="auto"/>
        </w:rPr>
      </w:pPr>
    </w:p>
    <w:p>
      <w:pPr>
        <w:ind w:left="1060" w:right="160" w:hanging="531"/>
        <w:spacing w:after="0" w:line="259"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Evaluate strategic collaborations to maximize value. </w:t>
      </w:r>
      <w:r>
        <w:rPr>
          <w:rFonts w:ascii="Arial" w:cs="Arial" w:eastAsia="Arial" w:hAnsi="Arial"/>
          <w:sz w:val="17"/>
          <w:szCs w:val="17"/>
          <w:color w:val="auto"/>
        </w:rPr>
        <w:t>We currently retain 100% of the commercial rights for our programs.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right="360" w:firstLine="474"/>
        <w:spacing w:after="0" w:line="241" w:lineRule="auto"/>
        <w:rPr>
          <w:sz w:val="20"/>
          <w:szCs w:val="20"/>
          <w:color w:val="auto"/>
        </w:rPr>
      </w:pPr>
      <w:r>
        <w:rPr>
          <w:rFonts w:ascii="Arial" w:cs="Arial" w:eastAsia="Arial" w:hAnsi="Arial"/>
          <w:sz w:val="17"/>
          <w:szCs w:val="17"/>
          <w:color w:val="auto"/>
        </w:rPr>
        <w:t>Kinases are enzymes that function in many signaling pathways to regulate critical cellular functions.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w:t>
      </w:r>
    </w:p>
    <w:p>
      <w:pPr>
        <w:spacing w:after="0" w:line="1" w:lineRule="exact"/>
        <w:rPr>
          <w:sz w:val="20"/>
          <w:szCs w:val="20"/>
          <w:color w:val="auto"/>
        </w:rPr>
      </w:pPr>
    </w:p>
    <w:p>
      <w:pPr>
        <w:ind w:firstLine="5"/>
        <w:spacing w:after="0" w:line="244" w:lineRule="auto"/>
        <w:tabs>
          <w:tab w:leader="none" w:pos="2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chromosomes become rearranged creating a translocation or a fusion gene; or (3) excessive amounts of protein are created due to gene duplication or dysregulation leading to overexpression. There is a strong link between genetic alterations in kinases and many diseases, including specific forms of cancer and rare genetic diseases. Several kinases have been validated as oncogenes, which are genes that when altered can initiate and maintain cancer growth. Examples of oncogenes are BCR-ABL, EGFR, B-RAF and ALK, amongst many others. Ongoing genomic analyses of tumor data sets continue to identify new roles for kinases as drivers of disease.</w:t>
      </w:r>
    </w:p>
    <w:p>
      <w:pPr>
        <w:spacing w:after="0" w:line="199" w:lineRule="exact"/>
        <w:rPr>
          <w:sz w:val="20"/>
          <w:szCs w:val="20"/>
          <w:color w:val="auto"/>
        </w:rPr>
      </w:pPr>
    </w:p>
    <w:p>
      <w:pPr>
        <w:ind w:right="140" w:firstLine="464"/>
        <w:spacing w:after="0" w:line="245" w:lineRule="auto"/>
        <w:rPr>
          <w:sz w:val="20"/>
          <w:szCs w:val="20"/>
          <w:color w:val="auto"/>
        </w:rPr>
      </w:pPr>
      <w:r>
        <w:rPr>
          <w:rFonts w:ascii="Arial" w:cs="Arial" w:eastAsia="Arial" w:hAnsi="Arial"/>
          <w:sz w:val="17"/>
          <w:szCs w:val="17"/>
          <w:color w:val="auto"/>
        </w:rPr>
        <w:t>As of 2014, there were 28 FDA-approved small molecule drugs that target less than five percent of the 518 kinases, of which all but two are indicated for cancer. The targets of these therapies include the overactive kinases produced by the known oncogenes as well as kinases that promote angiogenesis such as VEGFRs. Kinase inhibition continues to be a fruitful approach for cancer drug development. From 2012 to 2014, eleven of 28 FDA-approved cancer drugs were kinase inhibitors.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Despite these successes, several opportunities remain in kinase drug discovery and development.</w:t>
      </w:r>
    </w:p>
    <w:p>
      <w:pPr>
        <w:spacing w:after="0" w:line="204" w:lineRule="exact"/>
        <w:rPr>
          <w:sz w:val="20"/>
          <w:szCs w:val="20"/>
          <w:color w:val="auto"/>
        </w:rPr>
      </w:pPr>
    </w:p>
    <w:p>
      <w:pPr>
        <w:ind w:left="1060" w:right="140" w:hanging="531"/>
        <w:spacing w:after="0" w:line="259"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Identifying novel kinase drivers of disease. </w:t>
      </w:r>
      <w:r>
        <w:rPr>
          <w:rFonts w:ascii="Arial" w:cs="Arial" w:eastAsia="Arial" w:hAnsi="Arial"/>
          <w:sz w:val="17"/>
          <w:szCs w:val="17"/>
          <w:color w:val="auto"/>
        </w:rPr>
        <w:t>Very few kinases are the focus of approved drugs. Further, the function of the majority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kinome still remains unexplored. Thus, there is substantial opportunity for developing novel and transformative therapies that target well-characterized but currently undrugged kinases as well as KUBs.</w:t>
      </w:r>
    </w:p>
    <w:p>
      <w:pPr>
        <w:spacing w:after="0" w:line="153" w:lineRule="exact"/>
        <w:rPr>
          <w:rFonts w:ascii="Arial" w:cs="Arial" w:eastAsia="Arial" w:hAnsi="Arial"/>
          <w:sz w:val="17"/>
          <w:szCs w:val="17"/>
          <w:color w:val="auto"/>
        </w:rPr>
      </w:pPr>
    </w:p>
    <w:p>
      <w:pPr>
        <w:ind w:left="1060" w:right="20" w:hanging="531"/>
        <w:spacing w:after="0" w:line="248"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 targeting of a given kinase can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64" w:lineRule="exact"/>
        <w:rPr>
          <w:rFonts w:ascii="Arial" w:cs="Arial" w:eastAsia="Arial" w:hAnsi="Arial"/>
          <w:sz w:val="17"/>
          <w:szCs w:val="17"/>
          <w:color w:val="auto"/>
        </w:rPr>
      </w:pPr>
    </w:p>
    <w:p>
      <w:pPr>
        <w:ind w:left="1060" w:right="160" w:hanging="531"/>
        <w:spacing w:after="0" w:line="276"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Generating novel chemical matter required to target difficult-to-drug kinases. </w:t>
      </w:r>
      <w:r>
        <w:rPr>
          <w:rFonts w:ascii="Arial" w:cs="Arial" w:eastAsia="Arial" w:hAnsi="Arial"/>
          <w:sz w:val="17"/>
          <w:szCs w:val="17"/>
          <w:color w:val="auto"/>
        </w:rPr>
        <w:t>Novel chemical matter is needed to address targets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known but not yet drugged.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60"/>
        <w:spacing w:after="0" w:line="246" w:lineRule="auto"/>
        <w:rPr>
          <w:sz w:val="20"/>
          <w:szCs w:val="20"/>
          <w:color w:val="auto"/>
        </w:rPr>
      </w:pPr>
      <w:r>
        <w:rPr>
          <w:rFonts w:ascii="Arial" w:cs="Arial" w:eastAsia="Arial" w:hAnsi="Arial"/>
          <w:sz w:val="17"/>
          <w:szCs w:val="17"/>
          <w:color w:val="auto"/>
        </w:rPr>
        <w:t>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79" w:lineRule="exact"/>
        <w:rPr>
          <w:sz w:val="20"/>
          <w:szCs w:val="20"/>
          <w:color w:val="auto"/>
        </w:rPr>
      </w:pPr>
    </w:p>
    <w:p>
      <w:pPr>
        <w:ind w:left="1060" w:right="80" w:hanging="531"/>
        <w:spacing w:after="0" w:line="259"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Overcoming resistance mediated by the alteration of kinase targets. </w:t>
      </w:r>
      <w:r>
        <w:rPr>
          <w:rFonts w:ascii="Arial" w:cs="Arial" w:eastAsia="Arial" w:hAnsi="Arial"/>
          <w:sz w:val="17"/>
          <w:szCs w:val="17"/>
          <w:color w:val="auto"/>
        </w:rPr>
        <w:t>Most approved kinase inhibitors provide only temporary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control. Patients may relapse due to the emergence of resistance mutations. Novel approaches are needed to predict and inhibit resistant mutants thus providing more durable clinical responses.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 This approach enables us to drug known kinase targets that have been difficult to inhibit selectively and also identify, characterize and drug novel kinase targets. By focusing on genomically defined diseases, we believe that we can quickly identify the patients most likely to respond, resulting in a more efficient development path with a greater likelihood of success.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approach is enabled by our drug discovery platform consisting of two pillars:</w:t>
      </w:r>
    </w:p>
    <w:p>
      <w:pPr>
        <w:spacing w:after="0" w:line="224"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proprietary, highly-annotated library of novel compounds; and</w:t>
      </w:r>
    </w:p>
    <w:p>
      <w:pPr>
        <w:spacing w:after="0" w:line="197"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novel target discovery engine, which is a comprehensive process that interrogates kinase biology from many angles using genomics, structural biology and cell biology.</w:t>
      </w:r>
    </w:p>
    <w:p>
      <w:pPr>
        <w:spacing w:after="0" w:line="19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Our proprietary compound library is a unique collection of small molecules designed by Blueprint Medicines' scientists as kinase inhibitors and enriched for drug-like properties. This provides high-quality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disease-relevant kinase mutants; the majority of known kinases are targeted by at least one compound family. Thus, this "annotated" compound library provides high-quality medicinal chemistry starting points that enable quick-starts to drug discovery programs, avoiding the expense and time spent running high throughput screens. Notably, our proprietary compound library has yielded high quality chemical starting points for previously difficult-to-drug kinases. We plan to expand our proprietary compound library to cover close to 100% of the kinome and to increase the number of compound families that inhibit each kinase target.</w:t>
      </w:r>
    </w:p>
    <w:p>
      <w:pPr>
        <w:spacing w:after="0" w:line="206"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have established a novel target discovery engine to provide new insights into the biology of kinases as drivers of disease and to identify new kinase drug targets. There are two aspects to the novel target discovery engine:</w:t>
      </w:r>
    </w:p>
    <w:p>
      <w:pPr>
        <w:spacing w:after="0" w:line="173" w:lineRule="exact"/>
        <w:rPr>
          <w:sz w:val="20"/>
          <w:szCs w:val="20"/>
          <w:color w:val="auto"/>
        </w:rPr>
      </w:pPr>
    </w:p>
    <w:p>
      <w:pPr>
        <w:ind w:left="1060" w:right="60" w:hanging="531"/>
        <w:spacing w:after="0" w:line="25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Genomics Approach to Identify Novel Kinase Targets. </w:t>
      </w:r>
      <w:r>
        <w:rPr>
          <w:rFonts w:ascii="Arial" w:cs="Arial" w:eastAsia="Arial" w:hAnsi="Arial"/>
          <w:sz w:val="17"/>
          <w:szCs w:val="17"/>
          <w:color w:val="auto"/>
        </w:rPr>
        <w:t>Our high-capacity computing infrastructure allows not only storage of 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w:t>
      </w:r>
    </w:p>
    <w:p>
      <w:pPr>
        <w:spacing w:after="0" w:line="174" w:lineRule="exact"/>
        <w:rPr>
          <w:rFonts w:ascii="Arial" w:cs="Arial" w:eastAsia="Arial" w:hAnsi="Arial"/>
          <w:sz w:val="17"/>
          <w:szCs w:val="17"/>
          <w:color w:val="auto"/>
        </w:rPr>
      </w:pPr>
    </w:p>
    <w:p>
      <w:pPr>
        <w:ind w:left="1060" w:right="20" w:hanging="531"/>
        <w:spacing w:after="0" w:line="259"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Cell-based Screens to Identify Novel Kinase Targets. </w:t>
      </w:r>
      <w:r>
        <w:rPr>
          <w:rFonts w:ascii="Arial" w:cs="Arial" w:eastAsia="Arial" w:hAnsi="Arial"/>
          <w:sz w:val="17"/>
          <w:szCs w:val="17"/>
          <w:color w:val="auto"/>
        </w:rPr>
        <w:t>In this approach, a subset of the compounds in our proprietary compound library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exhibit remarkable potency and/or selectivity for one or a few kinases — our "tool compounds" — are used as probes in disease-relevant cell-based screens. Many of these tool compounds inhibit KUBs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thus allow us to evaluate potential roles for these relatively unexplored kinases in human disease.</w:t>
      </w:r>
    </w:p>
    <w:p>
      <w:pPr>
        <w:spacing w:after="0" w:line="211"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genomically-defined cancers with a targeted therapy typically results in a significant anti-tumor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w:t>
      </w:r>
    </w:p>
    <w:p>
      <w:pPr>
        <w:spacing w:after="0" w:line="20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Our platform has already yielded a robust pipeline. KIT Exon 17 mutants, while known drivers of disease, were not selectively drugged successfully. We developed BLU-285 as a selective inhibitor of KIT Exon 17 mutants, an effort facilitated by our proprietary compound library. Aberrant signaling through FGFR4 is a known genomic driver in a subset of HCC patients. This kinase has been difficult to drug selectively due to the close homology of the FGFR family members. We developed BLU-554 as a selective inhibitor of FGFR4 to address the unmet medical need in this genomically-defined HCC patient population. Additionally, we applied our resistance mutation prediction algorithm in our RET program to identify mutant forms of the kinase that are resistant to multi-kinase inhibitors with RET activity. We have designed potent and selective RET inhibitors with activity against both the wild-type and mutant enzymes, another effort that is facilitated by our proprietary compound library. Finally, we are currently using and will continue to use our tool compounds to explore the role of KUBs in human disease with the goal of identifying novel kinase targets.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drug candidates. Our most advanced drug candidates are summarized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tcPr>
          <w:p>
            <w:pPr>
              <w:ind w:left="1020"/>
              <w:spacing w:after="0" w:line="159" w:lineRule="exact"/>
              <w:rPr>
                <w:sz w:val="20"/>
                <w:szCs w:val="20"/>
                <w:color w:val="auto"/>
              </w:rPr>
            </w:pPr>
            <w:r>
              <w:rPr>
                <w:rFonts w:ascii="Arial" w:cs="Arial" w:eastAsia="Arial" w:hAnsi="Arial"/>
                <w:sz w:val="14"/>
                <w:szCs w:val="14"/>
                <w:b w:val="1"/>
                <w:bCs w:val="1"/>
                <w:color w:val="auto"/>
              </w:rPr>
              <w:t>Genomic</w:t>
            </w:r>
          </w:p>
        </w:tc>
        <w:tc>
          <w:tcPr>
            <w:tcW w:w="3300" w:type="dxa"/>
            <w:vAlign w:val="bottom"/>
            <w:tcBorders>
              <w:top w:val="single" w:sz="8" w:color="auto"/>
            </w:tcBorders>
          </w:tcPr>
          <w:p>
            <w:pPr>
              <w:ind w:left="1800"/>
              <w:spacing w:after="0" w:line="159" w:lineRule="exact"/>
              <w:rPr>
                <w:sz w:val="20"/>
                <w:szCs w:val="20"/>
                <w:color w:val="auto"/>
              </w:rPr>
            </w:pPr>
            <w:r>
              <w:rPr>
                <w:rFonts w:ascii="Arial" w:cs="Arial" w:eastAsia="Arial" w:hAnsi="Arial"/>
                <w:sz w:val="14"/>
                <w:szCs w:val="14"/>
                <w:b w:val="1"/>
                <w:bCs w:val="1"/>
                <w:color w:val="auto"/>
              </w:rPr>
              <w:t>Initial</w:t>
            </w:r>
          </w:p>
        </w:tc>
        <w:tc>
          <w:tcPr>
            <w:tcW w:w="2920" w:type="dxa"/>
            <w:vAlign w:val="bottom"/>
            <w:tcBorders>
              <w:top w:val="single" w:sz="8" w:color="auto"/>
            </w:tcBorders>
          </w:tcPr>
          <w:p>
            <w:pPr>
              <w:ind w:left="1340"/>
              <w:spacing w:after="0" w:line="159" w:lineRule="exact"/>
              <w:rPr>
                <w:sz w:val="20"/>
                <w:szCs w:val="20"/>
                <w:color w:val="auto"/>
              </w:rPr>
            </w:pPr>
            <w:r>
              <w:rPr>
                <w:rFonts w:ascii="Arial" w:cs="Arial" w:eastAsia="Arial" w:hAnsi="Arial"/>
                <w:sz w:val="14"/>
                <w:szCs w:val="14"/>
                <w:b w:val="1"/>
                <w:bCs w:val="1"/>
                <w:color w:val="auto"/>
              </w:rPr>
              <w:t>Stage of</w:t>
            </w:r>
          </w:p>
        </w:tc>
      </w:tr>
      <w:tr>
        <w:trPr>
          <w:trHeight w:val="190"/>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Drug Candidates</w:t>
            </w:r>
          </w:p>
        </w:tc>
        <w:tc>
          <w:tcPr>
            <w:tcW w:w="22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Drivers</w:t>
            </w:r>
          </w:p>
        </w:tc>
        <w:tc>
          <w:tcPr>
            <w:tcW w:w="33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Diseases</w:t>
            </w:r>
          </w:p>
        </w:tc>
        <w:tc>
          <w:tcPr>
            <w:tcW w:w="29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Development</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BLU-285</w:t>
            </w:r>
          </w:p>
        </w:tc>
        <w:tc>
          <w:tcPr>
            <w:tcW w:w="2340" w:type="dxa"/>
            <w:vAlign w:val="bottom"/>
          </w:tcPr>
          <w:p>
            <w:pPr>
              <w:ind w:left="20"/>
              <w:spacing w:after="0"/>
              <w:rPr>
                <w:sz w:val="20"/>
                <w:szCs w:val="20"/>
                <w:color w:val="auto"/>
              </w:rPr>
            </w:pPr>
            <w:r>
              <w:rPr>
                <w:rFonts w:ascii="Arial" w:cs="Arial" w:eastAsia="Arial" w:hAnsi="Arial"/>
                <w:sz w:val="14"/>
                <w:szCs w:val="14"/>
                <w:color w:val="auto"/>
              </w:rPr>
              <w:t>(KIT Exon 17 inhibitor)</w:t>
            </w: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KIT D816V</w:t>
            </w: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SM</w:t>
            </w:r>
          </w:p>
        </w:tc>
        <w:tc>
          <w:tcPr>
            <w:tcW w:w="2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IND-enabling activities</w:t>
            </w:r>
          </w:p>
        </w:tc>
      </w:tr>
      <w:tr>
        <w:trPr>
          <w:trHeight w:val="188"/>
        </w:trPr>
        <w:tc>
          <w:tcPr>
            <w:tcW w:w="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GIST</w:t>
            </w:r>
          </w:p>
        </w:tc>
        <w:tc>
          <w:tcPr>
            <w:tcW w:w="2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IND-enabling activities</w:t>
            </w:r>
          </w:p>
        </w:tc>
      </w:tr>
      <w:tr>
        <w:trPr>
          <w:trHeight w:val="178"/>
        </w:trPr>
        <w:tc>
          <w:tcPr>
            <w:tcW w:w="5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KIT Exon 17 mutants</w:t>
            </w: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GIST</w:t>
            </w:r>
          </w:p>
        </w:tc>
        <w:tc>
          <w:tcPr>
            <w:tcW w:w="2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IND-enabling activities</w:t>
            </w:r>
          </w:p>
        </w:tc>
      </w:tr>
      <w:tr>
        <w:trPr>
          <w:trHeight w:val="17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BLU-554</w:t>
            </w: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(FGFR4 inhibitor)</w:t>
            </w: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Aberrant FGFR4 signaling</w:t>
            </w: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HCC</w:t>
            </w:r>
          </w:p>
        </w:tc>
        <w:tc>
          <w:tcPr>
            <w:tcW w:w="2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IND-enabling activities</w:t>
            </w:r>
          </w:p>
        </w:tc>
      </w:tr>
      <w:tr>
        <w:trPr>
          <w:trHeight w:val="160"/>
        </w:trPr>
        <w:tc>
          <w:tcPr>
            <w:tcW w:w="2920" w:type="dxa"/>
            <w:vAlign w:val="bottom"/>
            <w:gridSpan w:val="2"/>
          </w:tcPr>
          <w:p>
            <w:pPr>
              <w:spacing w:after="0"/>
              <w:rPr>
                <w:sz w:val="20"/>
                <w:szCs w:val="20"/>
                <w:color w:val="auto"/>
              </w:rPr>
            </w:pPr>
            <w:r>
              <w:rPr>
                <w:rFonts w:ascii="Arial" w:cs="Arial" w:eastAsia="Arial" w:hAnsi="Arial"/>
                <w:sz w:val="14"/>
                <w:szCs w:val="14"/>
                <w:color w:val="auto"/>
              </w:rPr>
              <w:t>RET fusions and predicted RET resistant</w:t>
            </w:r>
          </w:p>
        </w:tc>
        <w:tc>
          <w:tcPr>
            <w:tcW w:w="2280" w:type="dxa"/>
            <w:vAlign w:val="bottom"/>
          </w:tcPr>
          <w:p>
            <w:pPr>
              <w:spacing w:after="0"/>
              <w:rPr>
                <w:sz w:val="20"/>
                <w:szCs w:val="20"/>
                <w:color w:val="auto"/>
              </w:rPr>
            </w:pPr>
            <w:r>
              <w:rPr>
                <w:rFonts w:ascii="Arial" w:cs="Arial" w:eastAsia="Arial" w:hAnsi="Arial"/>
                <w:sz w:val="14"/>
                <w:szCs w:val="14"/>
                <w:color w:val="auto"/>
              </w:rPr>
              <w:t>RET fusions*</w:t>
            </w:r>
          </w:p>
        </w:tc>
        <w:tc>
          <w:tcPr>
            <w:tcW w:w="3300" w:type="dxa"/>
            <w:vAlign w:val="bottom"/>
          </w:tcPr>
          <w:p>
            <w:pPr>
              <w:ind w:left="660"/>
              <w:spacing w:after="0"/>
              <w:rPr>
                <w:sz w:val="20"/>
                <w:szCs w:val="20"/>
                <w:color w:val="auto"/>
              </w:rPr>
            </w:pPr>
            <w:r>
              <w:rPr>
                <w:rFonts w:ascii="Arial" w:cs="Arial" w:eastAsia="Arial" w:hAnsi="Arial"/>
                <w:sz w:val="14"/>
                <w:szCs w:val="14"/>
                <w:color w:val="auto"/>
              </w:rPr>
              <w:t>Non-small cell lung cancer Other solid</w:t>
            </w:r>
          </w:p>
        </w:tc>
        <w:tc>
          <w:tcPr>
            <w:tcW w:w="2920" w:type="dxa"/>
            <w:vAlign w:val="bottom"/>
          </w:tcPr>
          <w:p>
            <w:pPr>
              <w:ind w:left="300"/>
              <w:spacing w:after="0"/>
              <w:rPr>
                <w:sz w:val="20"/>
                <w:szCs w:val="20"/>
                <w:color w:val="auto"/>
              </w:rPr>
            </w:pPr>
            <w:r>
              <w:rPr>
                <w:rFonts w:ascii="Arial" w:cs="Arial" w:eastAsia="Arial" w:hAnsi="Arial"/>
                <w:sz w:val="14"/>
                <w:szCs w:val="14"/>
                <w:color w:val="auto"/>
              </w:rPr>
              <w:t>Lead optimization</w:t>
            </w:r>
          </w:p>
        </w:tc>
      </w:tr>
      <w:tr>
        <w:trPr>
          <w:trHeight w:val="174"/>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mutants</w:t>
            </w:r>
          </w:p>
        </w:tc>
        <w:tc>
          <w:tcPr>
            <w:tcW w:w="2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tumors</w:t>
            </w:r>
          </w:p>
        </w:tc>
        <w:tc>
          <w:tcPr>
            <w:tcW w:w="2920" w:type="dxa"/>
            <w:vAlign w:val="bottom"/>
            <w:tcBorders>
              <w:bottom w:val="single" w:sz="8" w:color="auto"/>
            </w:tcBorders>
          </w:tcPr>
          <w:p>
            <w:pPr>
              <w:spacing w:after="0"/>
              <w:rPr>
                <w:sz w:val="15"/>
                <w:szCs w:val="15"/>
                <w:color w:val="auto"/>
              </w:rPr>
            </w:pPr>
          </w:p>
        </w:tc>
      </w:tr>
    </w:tbl>
    <w:p>
      <w:pPr>
        <w:spacing w:after="0" w:line="214" w:lineRule="exact"/>
        <w:rPr>
          <w:sz w:val="20"/>
          <w:szCs w:val="20"/>
          <w:color w:val="auto"/>
        </w:rPr>
      </w:pPr>
    </w:p>
    <w:p>
      <w:pPr>
        <w:ind w:left="520" w:right="40" w:hanging="515"/>
        <w:spacing w:after="0" w:line="245"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w:t>
      </w:r>
    </w:p>
    <w:p>
      <w:pPr>
        <w:spacing w:after="0" w:line="183" w:lineRule="exact"/>
        <w:rPr>
          <w:sz w:val="20"/>
          <w:szCs w:val="20"/>
          <w:color w:val="auto"/>
        </w:rPr>
      </w:pPr>
    </w:p>
    <w:p>
      <w:pPr>
        <w:ind w:right="200" w:firstLine="474"/>
        <w:spacing w:after="0" w:line="282" w:lineRule="auto"/>
        <w:rPr>
          <w:sz w:val="20"/>
          <w:szCs w:val="20"/>
          <w:color w:val="auto"/>
        </w:rPr>
      </w:pPr>
      <w:r>
        <w:rPr>
          <w:rFonts w:ascii="Arial" w:cs="Arial" w:eastAsia="Arial" w:hAnsi="Arial"/>
          <w:sz w:val="17"/>
          <w:szCs w:val="17"/>
          <w:color w:val="auto"/>
        </w:rPr>
        <w:t>One of our lead drug candidates is BLU-285, which targets KIT Exon 17 and PDGFRa D842V, for patients with SM and a defined subset of patients with GIST. Our other lead drug candidate is BLU-554, which targets FGFR4, for a defined subset of patients with HCC. Both drug candidates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have shown proof of concept in pre-clinical models and are expected to enter the clinic in mid-2015. We are also developing a drug candidate to target both RET fusions and RET resistant mutants that we predict will arise from treatment with first generation therapies.</w:t>
      </w:r>
    </w:p>
    <w:p>
      <w:pPr>
        <w:spacing w:after="0" w:line="193" w:lineRule="exact"/>
        <w:rPr>
          <w:sz w:val="20"/>
          <w:szCs w:val="20"/>
          <w:color w:val="auto"/>
        </w:rPr>
      </w:pPr>
    </w:p>
    <w:p>
      <w:pPr>
        <w:ind w:right="140" w:firstLine="464"/>
        <w:spacing w:after="0" w:line="244" w:lineRule="auto"/>
        <w:rPr>
          <w:sz w:val="20"/>
          <w:szCs w:val="20"/>
          <w:color w:val="auto"/>
        </w:rPr>
      </w:pPr>
      <w:r>
        <w:rPr>
          <w:rFonts w:ascii="Arial" w:cs="Arial" w:eastAsia="Arial" w:hAnsi="Arial"/>
          <w:sz w:val="17"/>
          <w:szCs w:val="17"/>
          <w:color w:val="auto"/>
        </w:rPr>
        <w:t>All of these programs target genomically-defined patient subsets. As we advance our drug candidates through clinical development, we will enrich our Phase 1 trials by selecting patients most likely to respond to our drug candidates to confirm mechanistic proof of concept. We are collaborating with corporate partners to create companion diagnostics and to develop assays to measure target engagement and early response. The table below lists the frequencies of each of the driver mutations targeted across multiple known diseases and the corresponding estimated number of patients in the United States, France, Germany, Italy, Spain, the United Kingdom and Japan, or the Major Markets, worldwide:</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9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Estimated Number of Prevalent Patients*</w:t>
            </w: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r>
      <w:tr>
        <w:trPr>
          <w:trHeight w:val="139"/>
        </w:trPr>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United</w:t>
            </w:r>
          </w:p>
        </w:tc>
        <w:tc>
          <w:tcPr>
            <w:tcW w:w="156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Total Major</w:t>
            </w:r>
          </w:p>
        </w:tc>
        <w:tc>
          <w:tcPr>
            <w:tcW w:w="140" w:type="dxa"/>
            <w:vAlign w:val="bottom"/>
          </w:tcPr>
          <w:p>
            <w:pPr>
              <w:spacing w:after="0"/>
              <w:rPr>
                <w:sz w:val="12"/>
                <w:szCs w:val="12"/>
                <w:color w:val="auto"/>
              </w:rPr>
            </w:pPr>
          </w:p>
        </w:tc>
        <w:tc>
          <w:tcPr>
            <w:tcW w:w="1780" w:type="dxa"/>
            <w:vAlign w:val="bottom"/>
          </w:tcPr>
          <w:p>
            <w:pPr>
              <w:ind w:left="600"/>
              <w:spacing w:after="0" w:line="139" w:lineRule="exact"/>
              <w:rPr>
                <w:sz w:val="20"/>
                <w:szCs w:val="20"/>
                <w:color w:val="auto"/>
              </w:rPr>
            </w:pPr>
            <w:r>
              <w:rPr>
                <w:rFonts w:ascii="Arial" w:cs="Arial" w:eastAsia="Arial" w:hAnsi="Arial"/>
                <w:sz w:val="14"/>
                <w:szCs w:val="14"/>
                <w:b w:val="1"/>
                <w:bCs w:val="1"/>
                <w:color w:val="auto"/>
              </w:rPr>
              <w:t>Genomic</w:t>
            </w:r>
          </w:p>
        </w:tc>
        <w:tc>
          <w:tcPr>
            <w:tcW w:w="2140" w:type="dxa"/>
            <w:vAlign w:val="bottom"/>
          </w:tcPr>
          <w:p>
            <w:pPr>
              <w:ind w:left="720"/>
              <w:spacing w:after="0" w:line="139" w:lineRule="exact"/>
              <w:rPr>
                <w:sz w:val="20"/>
                <w:szCs w:val="20"/>
                <w:color w:val="auto"/>
              </w:rPr>
            </w:pPr>
            <w:r>
              <w:rPr>
                <w:rFonts w:ascii="Arial" w:cs="Arial" w:eastAsia="Arial" w:hAnsi="Arial"/>
                <w:sz w:val="14"/>
                <w:szCs w:val="14"/>
                <w:b w:val="1"/>
                <w:bCs w:val="1"/>
                <w:color w:val="auto"/>
              </w:rPr>
              <w:t>Frequency of</w:t>
            </w:r>
          </w:p>
        </w:tc>
      </w:t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 Candidates</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Diseases</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States</w:t>
            </w: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Markets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Drivers</w:t>
            </w:r>
          </w:p>
        </w:tc>
        <w:tc>
          <w:tcPr>
            <w:tcW w:w="2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Mutations (% of Patients)</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BLU-285</w:t>
            </w:r>
          </w:p>
        </w:tc>
        <w:tc>
          <w:tcPr>
            <w:tcW w:w="820" w:type="dxa"/>
            <w:vAlign w:val="bottom"/>
          </w:tcPr>
          <w:p>
            <w:pPr>
              <w:spacing w:after="0"/>
              <w:rPr>
                <w:sz w:val="20"/>
                <w:szCs w:val="20"/>
                <w:color w:val="auto"/>
              </w:rPr>
            </w:pPr>
            <w:r>
              <w:rPr>
                <w:rFonts w:ascii="Arial" w:cs="Arial" w:eastAsia="Arial" w:hAnsi="Arial"/>
                <w:sz w:val="14"/>
                <w:szCs w:val="14"/>
                <w:color w:val="auto"/>
              </w:rPr>
              <w:t>SM</w:t>
            </w:r>
          </w:p>
        </w:tc>
        <w:tc>
          <w:tcPr>
            <w:tcW w:w="1400" w:type="dxa"/>
            <w:vAlign w:val="bottom"/>
          </w:tcPr>
          <w:p>
            <w:pPr>
              <w:spacing w:after="0"/>
              <w:rPr>
                <w:sz w:val="20"/>
                <w:szCs w:val="20"/>
                <w:color w:val="auto"/>
              </w:rPr>
            </w:pPr>
            <w:r>
              <w:rPr>
                <w:rFonts w:ascii="Arial" w:cs="Arial" w:eastAsia="Arial" w:hAnsi="Arial"/>
                <w:sz w:val="14"/>
                <w:szCs w:val="14"/>
                <w:color w:val="auto"/>
              </w:rPr>
              <w:t>1,700 advanced SM</w:t>
            </w:r>
          </w:p>
        </w:tc>
        <w:tc>
          <w:tcPr>
            <w:tcW w:w="1560" w:type="dxa"/>
            <w:vAlign w:val="bottom"/>
          </w:tcPr>
          <w:p>
            <w:pPr>
              <w:ind w:left="140"/>
              <w:spacing w:after="0"/>
              <w:rPr>
                <w:sz w:val="20"/>
                <w:szCs w:val="20"/>
                <w:color w:val="auto"/>
              </w:rPr>
            </w:pPr>
            <w:r>
              <w:rPr>
                <w:rFonts w:ascii="Arial" w:cs="Arial" w:eastAsia="Arial" w:hAnsi="Arial"/>
                <w:sz w:val="14"/>
                <w:szCs w:val="14"/>
                <w:color w:val="auto"/>
              </w:rPr>
              <w:t>4,500 advanced SM</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KIT D816V</w:t>
            </w:r>
          </w:p>
        </w:tc>
        <w:tc>
          <w:tcPr>
            <w:tcW w:w="2140" w:type="dxa"/>
            <w:vAlign w:val="bottom"/>
          </w:tcPr>
          <w:p>
            <w:pPr>
              <w:ind w:left="160"/>
              <w:spacing w:after="0"/>
              <w:rPr>
                <w:sz w:val="20"/>
                <w:szCs w:val="20"/>
                <w:color w:val="auto"/>
              </w:rPr>
            </w:pPr>
            <w:r>
              <w:rPr>
                <w:rFonts w:ascii="Arial" w:cs="Arial" w:eastAsia="Arial" w:hAnsi="Arial"/>
                <w:sz w:val="14"/>
                <w:szCs w:val="14"/>
                <w:color w:val="auto"/>
              </w:rPr>
              <w:t>Greater than or equal to 94%</w:t>
            </w:r>
          </w:p>
        </w:tc>
      </w:tr>
      <w:tr>
        <w:trPr>
          <w:trHeight w:val="174"/>
        </w:trPr>
        <w:tc>
          <w:tcPr>
            <w:tcW w:w="1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6,300 indolent SM</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16,000 indolent SM</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r>
        <w:trPr>
          <w:trHeight w:val="188"/>
        </w:trPr>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Total: 8,000</w:t>
            </w:r>
          </w:p>
        </w:tc>
        <w:tc>
          <w:tcPr>
            <w:tcW w:w="1560" w:type="dxa"/>
            <w:vAlign w:val="bottom"/>
          </w:tcPr>
          <w:p>
            <w:pPr>
              <w:ind w:left="140"/>
              <w:spacing w:after="0"/>
              <w:rPr>
                <w:sz w:val="20"/>
                <w:szCs w:val="20"/>
                <w:color w:val="auto"/>
              </w:rPr>
            </w:pPr>
            <w:r>
              <w:rPr>
                <w:rFonts w:ascii="Arial" w:cs="Arial" w:eastAsia="Arial" w:hAnsi="Arial"/>
                <w:sz w:val="14"/>
                <w:szCs w:val="14"/>
                <w:color w:val="auto"/>
              </w:rPr>
              <w:t>Total: 20,000</w:t>
            </w:r>
          </w:p>
        </w:tc>
        <w:tc>
          <w:tcPr>
            <w:tcW w:w="14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5 - 6% of primary GIST</w:t>
            </w:r>
          </w:p>
        </w:tc>
      </w:tr>
      <w:tr>
        <w:trPr>
          <w:trHeight w:val="162"/>
        </w:trPr>
        <w:tc>
          <w:tcPr>
            <w:tcW w:w="14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GIST**</w:t>
            </w:r>
          </w:p>
        </w:tc>
        <w:tc>
          <w:tcPr>
            <w:tcW w:w="1400" w:type="dxa"/>
            <w:vAlign w:val="bottom"/>
          </w:tcPr>
          <w:p>
            <w:pPr>
              <w:spacing w:after="0"/>
              <w:rPr>
                <w:sz w:val="20"/>
                <w:szCs w:val="20"/>
                <w:color w:val="auto"/>
              </w:rPr>
            </w:pPr>
            <w:r>
              <w:rPr>
                <w:rFonts w:ascii="Arial" w:cs="Arial" w:eastAsia="Arial" w:hAnsi="Arial"/>
                <w:sz w:val="14"/>
                <w:szCs w:val="14"/>
                <w:color w:val="auto"/>
              </w:rPr>
              <w:t>1L: 3,000</w:t>
            </w:r>
          </w:p>
        </w:tc>
        <w:tc>
          <w:tcPr>
            <w:tcW w:w="1560" w:type="dxa"/>
            <w:vAlign w:val="bottom"/>
          </w:tcPr>
          <w:p>
            <w:pPr>
              <w:ind w:left="140"/>
              <w:spacing w:after="0"/>
              <w:rPr>
                <w:sz w:val="20"/>
                <w:szCs w:val="20"/>
                <w:color w:val="auto"/>
              </w:rPr>
            </w:pPr>
            <w:r>
              <w:rPr>
                <w:rFonts w:ascii="Arial" w:cs="Arial" w:eastAsia="Arial" w:hAnsi="Arial"/>
                <w:sz w:val="14"/>
                <w:szCs w:val="14"/>
                <w:color w:val="auto"/>
              </w:rPr>
              <w:t>1L: 8,000</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Arial" w:cs="Arial" w:eastAsia="Arial" w:hAnsi="Arial"/>
                <w:sz w:val="14"/>
                <w:szCs w:val="14"/>
                <w:color w:val="auto"/>
              </w:rPr>
              <w:t>1L: &lt;1%</w:t>
            </w:r>
          </w:p>
        </w:tc>
      </w:tr>
      <w:tr>
        <w:trPr>
          <w:trHeight w:val="157"/>
        </w:trPr>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line="157" w:lineRule="exact"/>
              <w:rPr>
                <w:sz w:val="20"/>
                <w:szCs w:val="20"/>
                <w:color w:val="auto"/>
              </w:rPr>
            </w:pPr>
            <w:r>
              <w:rPr>
                <w:rFonts w:ascii="Arial" w:cs="Arial" w:eastAsia="Arial" w:hAnsi="Arial"/>
                <w:sz w:val="14"/>
                <w:szCs w:val="14"/>
                <w:color w:val="auto"/>
              </w:rPr>
              <w:t>2L: 2,700</w:t>
            </w:r>
          </w:p>
        </w:tc>
        <w:tc>
          <w:tcPr>
            <w:tcW w:w="1560" w:type="dxa"/>
            <w:vAlign w:val="bottom"/>
          </w:tcPr>
          <w:p>
            <w:pPr>
              <w:ind w:left="140"/>
              <w:spacing w:after="0" w:line="157" w:lineRule="exact"/>
              <w:rPr>
                <w:sz w:val="20"/>
                <w:szCs w:val="20"/>
                <w:color w:val="auto"/>
              </w:rPr>
            </w:pPr>
            <w:r>
              <w:rPr>
                <w:rFonts w:ascii="Arial" w:cs="Arial" w:eastAsia="Arial" w:hAnsi="Arial"/>
                <w:sz w:val="14"/>
                <w:szCs w:val="14"/>
                <w:color w:val="auto"/>
              </w:rPr>
              <w:t>2L: 7,000</w:t>
            </w:r>
          </w:p>
        </w:tc>
        <w:tc>
          <w:tcPr>
            <w:tcW w:w="140" w:type="dxa"/>
            <w:vAlign w:val="bottom"/>
          </w:tcPr>
          <w:p>
            <w:pPr>
              <w:spacing w:after="0"/>
              <w:rPr>
                <w:sz w:val="13"/>
                <w:szCs w:val="13"/>
                <w:color w:val="auto"/>
              </w:rPr>
            </w:pPr>
          </w:p>
        </w:tc>
        <w:tc>
          <w:tcPr>
            <w:tcW w:w="1780" w:type="dxa"/>
            <w:vAlign w:val="bottom"/>
          </w:tcPr>
          <w:p>
            <w:pPr>
              <w:spacing w:after="0" w:line="157" w:lineRule="exact"/>
              <w:rPr>
                <w:sz w:val="20"/>
                <w:szCs w:val="20"/>
                <w:color w:val="auto"/>
              </w:rPr>
            </w:pPr>
            <w:r>
              <w:rPr>
                <w:rFonts w:ascii="Arial" w:cs="Arial" w:eastAsia="Arial" w:hAnsi="Arial"/>
                <w:sz w:val="14"/>
                <w:szCs w:val="14"/>
                <w:color w:val="auto"/>
              </w:rPr>
              <w:t>KIT Exon 17</w:t>
            </w:r>
          </w:p>
        </w:tc>
        <w:tc>
          <w:tcPr>
            <w:tcW w:w="2140" w:type="dxa"/>
            <w:vAlign w:val="bottom"/>
          </w:tcPr>
          <w:p>
            <w:pPr>
              <w:ind w:left="160"/>
              <w:spacing w:after="0" w:line="157" w:lineRule="exact"/>
              <w:rPr>
                <w:sz w:val="20"/>
                <w:szCs w:val="20"/>
                <w:color w:val="auto"/>
              </w:rPr>
            </w:pPr>
            <w:r>
              <w:rPr>
                <w:rFonts w:ascii="Arial" w:cs="Arial" w:eastAsia="Arial" w:hAnsi="Arial"/>
                <w:sz w:val="14"/>
                <w:szCs w:val="14"/>
                <w:color w:val="auto"/>
              </w:rPr>
              <w:t>2L: 23%</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3L: 2,300</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3L: 5,000</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3L: 100%</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BLU-554</w:t>
            </w:r>
          </w:p>
        </w:tc>
        <w:tc>
          <w:tcPr>
            <w:tcW w:w="820" w:type="dxa"/>
            <w:vAlign w:val="bottom"/>
          </w:tcPr>
          <w:p>
            <w:pPr>
              <w:spacing w:after="0"/>
              <w:rPr>
                <w:sz w:val="20"/>
                <w:szCs w:val="20"/>
                <w:color w:val="auto"/>
              </w:rPr>
            </w:pPr>
            <w:r>
              <w:rPr>
                <w:rFonts w:ascii="Arial" w:cs="Arial" w:eastAsia="Arial" w:hAnsi="Arial"/>
                <w:sz w:val="14"/>
                <w:szCs w:val="14"/>
                <w:color w:val="auto"/>
              </w:rPr>
              <w:t>HCC**</w:t>
            </w:r>
          </w:p>
        </w:tc>
        <w:tc>
          <w:tcPr>
            <w:tcW w:w="1400" w:type="dxa"/>
            <w:vAlign w:val="bottom"/>
          </w:tcPr>
          <w:p>
            <w:pPr>
              <w:spacing w:after="0"/>
              <w:rPr>
                <w:sz w:val="20"/>
                <w:szCs w:val="20"/>
                <w:color w:val="auto"/>
              </w:rPr>
            </w:pPr>
            <w:r>
              <w:rPr>
                <w:rFonts w:ascii="Arial" w:cs="Arial" w:eastAsia="Arial" w:hAnsi="Arial"/>
                <w:sz w:val="14"/>
                <w:szCs w:val="14"/>
                <w:color w:val="auto"/>
              </w:rPr>
              <w:t>16,000 first line</w:t>
            </w:r>
          </w:p>
        </w:tc>
        <w:tc>
          <w:tcPr>
            <w:tcW w:w="1560" w:type="dxa"/>
            <w:vAlign w:val="bottom"/>
          </w:tcPr>
          <w:p>
            <w:pPr>
              <w:ind w:left="140"/>
              <w:spacing w:after="0"/>
              <w:rPr>
                <w:sz w:val="20"/>
                <w:szCs w:val="20"/>
                <w:color w:val="auto"/>
              </w:rPr>
            </w:pPr>
            <w:r>
              <w:rPr>
                <w:rFonts w:ascii="Arial" w:cs="Arial" w:eastAsia="Arial" w:hAnsi="Arial"/>
                <w:sz w:val="14"/>
                <w:szCs w:val="14"/>
                <w:color w:val="auto"/>
              </w:rPr>
              <w:t>60,000 first line</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Aberrant FGFR4 signaling</w:t>
            </w:r>
          </w:p>
        </w:tc>
        <w:tc>
          <w:tcPr>
            <w:tcW w:w="2140" w:type="dxa"/>
            <w:vAlign w:val="bottom"/>
          </w:tcPr>
          <w:p>
            <w:pPr>
              <w:ind w:left="160"/>
              <w:spacing w:after="0"/>
              <w:rPr>
                <w:sz w:val="20"/>
                <w:szCs w:val="20"/>
                <w:color w:val="auto"/>
              </w:rPr>
            </w:pPr>
            <w:r>
              <w:rPr>
                <w:rFonts w:ascii="Arial" w:cs="Arial" w:eastAsia="Arial" w:hAnsi="Arial"/>
                <w:sz w:val="14"/>
                <w:szCs w:val="14"/>
                <w:color w:val="auto"/>
              </w:rPr>
              <w:t>Up to 30%</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5,000 second line</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20,000 second line</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bl>
    <w:p>
      <w:pPr>
        <w:spacing w:after="0" w:line="211" w:lineRule="exact"/>
        <w:rPr>
          <w:sz w:val="20"/>
          <w:szCs w:val="20"/>
          <w:color w:val="auto"/>
        </w:rPr>
      </w:pPr>
    </w:p>
    <w:p>
      <w:pPr>
        <w:ind w:left="1680" w:hanging="533"/>
        <w:spacing w:after="0"/>
        <w:tabs>
          <w:tab w:leader="none" w:pos="1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prevalence of HCC in China represents an additional opportunity for BLU-554 and is not included in these estimates.</w:t>
      </w: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Prevalence represents metastatic and unresectable populations.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firstLine="474"/>
        <w:spacing w:after="0" w:line="255"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potently and selectively with minimal inhibition of other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269875</wp:posOffset>
            </wp:positionV>
            <wp:extent cx="1473200" cy="2056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3200" cy="205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 xml:space="preserve">Kinome tree locations of KIT and PDGFRa illustrating close structural similarity between these kinases. </w:t>
      </w:r>
      <w:r>
        <w:rPr>
          <w:rFonts w:ascii="Arial" w:cs="Arial" w:eastAsia="Arial" w:hAnsi="Arial"/>
          <w:sz w:val="14"/>
          <w:szCs w:val="14"/>
          <w:i w:val="1"/>
          <w:iCs w:val="1"/>
          <w:color w:val="auto"/>
        </w:rPr>
        <w:t>Kinome illustration</w:t>
      </w:r>
    </w:p>
    <w:p>
      <w:pPr>
        <w:spacing w:after="0" w:line="21" w:lineRule="exact"/>
        <w:rPr>
          <w:sz w:val="20"/>
          <w:szCs w:val="20"/>
          <w:color w:val="auto"/>
        </w:rPr>
      </w:pPr>
    </w:p>
    <w:p>
      <w:pPr>
        <w:ind w:left="1720" w:right="1880"/>
        <w:spacing w:after="0" w:line="248" w:lineRule="auto"/>
        <w:rPr>
          <w:sz w:val="20"/>
          <w:szCs w:val="20"/>
          <w:color w:val="auto"/>
        </w:rPr>
      </w:pPr>
      <w:r>
        <w:rPr>
          <w:rFonts w:ascii="Arial" w:cs="Arial" w:eastAsia="Arial" w:hAnsi="Arial"/>
          <w:sz w:val="14"/>
          <w:szCs w:val="14"/>
          <w:i w:val="1"/>
          <w:iCs w:val="1"/>
          <w:color w:val="auto"/>
        </w:rPr>
        <w:t>reproduced courtesy of Cell Signaling Technology, Inc., or CSTI, (www.cellsignal.com). The foregoing website is maintained by CSTI, and Blueprint Medicines is not responsible for its content.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BLU-285 is a highly targeted therapeutic candidate for genomically-selected patients with diseases driven by these mutations, including SM and genomically-defined patient subsets within GIST. We plan to initially develop BLU-285 for these targeted patient populations, which currently lack adequate treatments. BLU-285 has demonstrated tumor regression in pre-clinical models of GIST and SM, including activity in aggressive and patient-derived xenograft models that we believe to be highly predictive of clinical response. This provides clear rationale to develop BLU-285 in genomically-defined patient populations with tumors that harbor mutations in KIT Exon 17 or in PDGFRa and are most likely to respond.</w:t>
      </w:r>
    </w:p>
    <w:p>
      <w:pPr>
        <w:spacing w:after="0" w:line="201" w:lineRule="exact"/>
        <w:rPr>
          <w:sz w:val="20"/>
          <w:szCs w:val="20"/>
          <w:color w:val="auto"/>
        </w:rPr>
      </w:pPr>
    </w:p>
    <w:p>
      <w:pPr>
        <w:jc w:val="both"/>
        <w:ind w:firstLine="474"/>
        <w:spacing w:after="0" w:line="261" w:lineRule="auto"/>
        <w:rPr>
          <w:sz w:val="20"/>
          <w:szCs w:val="20"/>
          <w:color w:val="auto"/>
        </w:rPr>
      </w:pPr>
      <w:r>
        <w:rPr>
          <w:rFonts w:ascii="Arial" w:cs="Arial" w:eastAsia="Arial" w:hAnsi="Arial"/>
          <w:sz w:val="17"/>
          <w:szCs w:val="17"/>
          <w:color w:val="auto"/>
        </w:rPr>
        <w:t>We plan to initially develop BLU-285 for SM and GIST secondary mutations in KIT Exon 17 and for GIST with the PDGFRa D842V mutation. IND-enabling studies are nearly completed, and we anticipate clinical trials will start in mid-2015. We may expand opportunistically into additional indications including a subset of acute myelogenous leukemia, or AML, patients who harbor the D816V mutation and other diseases driven by KIT Exon 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Systemic Mastocytosis (SM)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 Disease Background</w:t>
      </w:r>
    </w:p>
    <w:p>
      <w:pPr>
        <w:spacing w:after="0" w:line="22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SM is a myeloproliferative disorder of the mast cells, the key effector cells of allergic inflammation, which have several physiologic roles including wound healing, regulation of vascular and epithelial permeability and immune cell recruitment. In myeloproliferative diseases, the bone marrow overproduces certain types of red blood cells, platelets, or white blood cells. The signature of SM is the accumulation of mast cell clusters in the bone marrow. In advanced forms of SM, abnormal mast cells may also accumulate in the liver, spleen, gastrointestinal tract and bones. Mast cell activation can lead to symptoms ranging from a skin rash to hives, fever and anaphylaxis, while mast cell accumulation in advanced cases of SM can eventually lead to organ dysfunction and failure.</w:t>
      </w:r>
    </w:p>
    <w:p>
      <w:pPr>
        <w:spacing w:after="0" w:line="202"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indolent SM, or ISM, have a normal life expectancy; the primary burden of disease is the range of often unpredictable and debilitating symptoms due to mast cell activation. Advanced SM includes three subsets with increasingly severe impact on life expectancy: aggressive SM, or ASM, SM with associated clonal hematological non-mast cell lineage diseases, or SM-AHNMD, and mast cell leukemia, or MCL. The advanced forms of SM have a median overall survival of three to five years and are characterized by prominent organopathy and dysfunction, as well as symptoms of mast cell activation. Smoldering SM, or SSM, previously listed as a subcategory of ISM, is increasingly considered as a variant of advanced SM. While SSM is not known to affect life expectancy, it has a greater degree of bone marrow infiltration, myeloproliferation, and/or presents with an enlarged liver and bears a greater risk of progression to ASM, SM-AHNMD or MCL.</w:t>
      </w:r>
    </w:p>
    <w:p>
      <w:pPr>
        <w:spacing w:after="0" w:line="206"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Population studies, including a population-based epidemiology study sponsored by Blueprint Medicines, based on the Danish National Health Registry, estimate the incidence of all subtypes of SM from 0.5 to 1/100,000 new patients per year. This represents approximately 3,200 new patients diagnosed per year in the United States. Of all SM patients, ISM accounts for 50-80% and advanced SM accounts for the remaining 20-50% of patients.</w:t>
      </w:r>
    </w:p>
    <w:p>
      <w:pPr>
        <w:spacing w:after="0" w:line="198"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current treatment paradigm for SM varies by disease subtype. With the exception of imatinib, which does not address more than 94% of patients with the KIT D816V mutation, there are no approved therapies. For patients with advanced forms of SM, treatments include interferon-alpha or cytoreductive agents to reduce mast cell burden or treatments aimed at addressing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associated blood disorder. There are no disease-modifying agents and patients with advanced SM inevitably progress, with a three to five-year overall survival prognosis. We believe there are approximately 4,500 addressable patients with advanced forms of SM in the Major Markets.</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For ISM, management is symptom-directed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patients with SSM who have a heavy symptom burden that current therapies fail to address. We believe there are approximately 16,000 ISM patients in the Major Markets.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Driver Mutations in SM</w:t>
      </w:r>
    </w:p>
    <w:p>
      <w:pPr>
        <w:spacing w:after="0" w:line="229"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In all subtypes of SM, the mast cells of more than 94% of patients display a mutation at the D816V position in KIT that activates the kinase. KIT D816V status is routinely assessed as part of the workup in SM diagnosis.</w:t>
      </w:r>
    </w:p>
    <w:p>
      <w:pPr>
        <w:spacing w:after="0" w:line="193"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SM</w:t>
      </w:r>
    </w:p>
    <w:p>
      <w:pPr>
        <w:spacing w:after="0" w:line="229" w:lineRule="exact"/>
        <w:rPr>
          <w:sz w:val="20"/>
          <w:szCs w:val="20"/>
          <w:color w:val="auto"/>
        </w:rPr>
      </w:pPr>
    </w:p>
    <w:p>
      <w:pPr>
        <w:ind w:right="200" w:firstLine="474"/>
        <w:spacing w:after="0" w:line="208" w:lineRule="auto"/>
        <w:rPr>
          <w:sz w:val="20"/>
          <w:szCs w:val="20"/>
          <w:color w:val="auto"/>
        </w:rPr>
      </w:pPr>
      <w:r>
        <w:rPr>
          <w:rFonts w:ascii="Arial" w:cs="Arial" w:eastAsia="Arial" w:hAnsi="Arial"/>
          <w:sz w:val="16"/>
          <w:szCs w:val="16"/>
          <w:color w:val="auto"/>
        </w:rPr>
        <w:t xml:space="preserve">We conducted comprehensive biochemical and cellular experiments to characterize the potency and selectivity of BLU-285. BLU-285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 activity is inhibited relative to control lacking compound, = 0.27</w:t>
      </w:r>
    </w:p>
    <w:p>
      <w:pPr>
        <w:spacing w:after="0" w:line="186" w:lineRule="auto"/>
        <w:rPr>
          <w:sz w:val="20"/>
          <w:szCs w:val="20"/>
          <w:color w:val="auto"/>
        </w:rPr>
      </w:pPr>
      <w:r>
        <w:rPr>
          <w:rFonts w:ascii="Arial" w:cs="Arial" w:eastAsia="Arial" w:hAnsi="Arial"/>
          <w:sz w:val="16"/>
          <w:szCs w:val="16"/>
          <w:color w:val="auto"/>
        </w:rPr>
        <w:t>nM). In contrast, imatinib inhibits KIT D816V at least 10,000-fold less potently (IC</w:t>
      </w:r>
      <w:r>
        <w:rPr>
          <w:rFonts w:ascii="Arial" w:cs="Arial" w:eastAsia="Arial" w:hAnsi="Arial"/>
          <w:sz w:val="25"/>
          <w:szCs w:val="25"/>
          <w:color w:val="auto"/>
          <w:vertAlign w:val="subscript"/>
        </w:rPr>
        <w:t>50</w:t>
      </w:r>
      <w:r>
        <w:rPr>
          <w:rFonts w:ascii="Arial" w:cs="Arial" w:eastAsia="Arial" w:hAnsi="Arial"/>
          <w:sz w:val="16"/>
          <w:szCs w:val="16"/>
          <w:color w:val="auto"/>
        </w:rPr>
        <w:t xml:space="preserve"> &gt; 8,000 nM). In several cellular models driven by activated KIT</w:t>
      </w:r>
    </w:p>
    <w:p>
      <w:pPr>
        <w:spacing w:after="0" w:line="1" w:lineRule="exact"/>
        <w:rPr>
          <w:sz w:val="20"/>
          <w:szCs w:val="20"/>
          <w:color w:val="auto"/>
        </w:rPr>
      </w:pPr>
    </w:p>
    <w:p>
      <w:pPr>
        <w:jc w:val="both"/>
        <w:ind w:right="260"/>
        <w:spacing w:after="0" w:line="207" w:lineRule="auto"/>
        <w:rPr>
          <w:sz w:val="20"/>
          <w:szCs w:val="20"/>
          <w:color w:val="auto"/>
        </w:rPr>
      </w:pPr>
      <w:r>
        <w:rPr>
          <w:rFonts w:ascii="Arial" w:cs="Arial" w:eastAsia="Arial" w:hAnsi="Arial"/>
          <w:sz w:val="17"/>
          <w:szCs w:val="17"/>
          <w:color w:val="auto"/>
        </w:rPr>
        <w:t>mutant proteins, BLU-285 potently inhibits signaling of the oncogenic KIT mutant protein, as measured by inhibition of KIT autophosphorylation and inhibition of cellular proliferation. In HMC 1.2 cells, a human mast cell leukemia model driven by the KIT D816V mutation, BLU-285 potently inhibits signaling of the mutant KIT protein as measured by inhibition of KIT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4 nM). In contrast, imatinib inhibits KIT</w:t>
      </w:r>
    </w:p>
    <w:p>
      <w:pPr>
        <w:spacing w:after="0" w:line="1" w:lineRule="exact"/>
        <w:rPr>
          <w:sz w:val="20"/>
          <w:szCs w:val="20"/>
          <w:color w:val="auto"/>
        </w:rPr>
      </w:pPr>
    </w:p>
    <w:p>
      <w:pPr>
        <w:ind w:right="40"/>
        <w:spacing w:after="0" w:line="208" w:lineRule="auto"/>
        <w:rPr>
          <w:sz w:val="20"/>
          <w:szCs w:val="20"/>
          <w:color w:val="auto"/>
        </w:rPr>
      </w:pPr>
      <w:r>
        <w:rPr>
          <w:rFonts w:ascii="Arial" w:cs="Arial" w:eastAsia="Arial" w:hAnsi="Arial"/>
          <w:sz w:val="16"/>
          <w:szCs w:val="16"/>
          <w:color w:val="auto"/>
        </w:rPr>
        <w:t>autophosphorylation at least 2,000-fold less potently. In P815 cells, a mouse mastocytoma model driven by an Exon 17 mutation, BLU-285 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22 nM) as well as cellular proliferation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202 nM). By comparison, imatinib shows considerably lower cellular potency in the P815 model.</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286385</wp:posOffset>
            </wp:positionV>
            <wp:extent cx="3346450" cy="11239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6450" cy="112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860"/>
        <w:spacing w:after="0" w:line="237" w:lineRule="auto"/>
        <w:rPr>
          <w:sz w:val="20"/>
          <w:szCs w:val="20"/>
          <w:color w:val="auto"/>
        </w:rPr>
      </w:pPr>
      <w:r>
        <w:rPr>
          <w:rFonts w:ascii="Arial" w:cs="Arial" w:eastAsia="Arial" w:hAnsi="Arial"/>
          <w:sz w:val="14"/>
          <w:szCs w:val="14"/>
          <w:color w:val="auto"/>
        </w:rPr>
        <w:t xml:space="preserve">Potency of BLU-285 against KIT D816 and other Exon 17 mutations compared to imatinib. The inhibitory potencies of BLU-285 and imatinib against the KIT D816V mutant protein were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 The inhibitory potencies of BLU-285 and imatinib were also evaluated in two cell lines harboring KIT Exon 17 mutations, HMC 1.2 cells and P815 cells. Inhibition of KIT cellular signaling was measured by inhibition of KIT autophosphorylation (P-KIT). Inhibition of cellular proliferation was also measured in P815 cells.</w:t>
      </w:r>
    </w:p>
    <w:p>
      <w:pPr>
        <w:spacing w:after="0" w:line="200"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selectivity of BLU-285 was further evaluated by profiling BLU-285 at a concentration of 3 µM across a panel of over 450 kinases and disease-relevant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BLU-285 demonstrated exquisite selectivity for KIT Exon 17 mutant proteins and PDGFRa D842V in this assay. We also profiled midostaurin, a multi-kinase inhibitor with KIT inhibitory activity that is being studied in clinical trials of SM patients. Midostaurin demonstrated inhibitory activity against multiple kinases, as indicated by the number of dots on the kinome tree shown below. We believe multi-kinase inhibitors that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KIT D816V may not achieve full inhibition of KIT D816V in the clinic due to poor selectivity and the resulting dose limitations imposed by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274955</wp:posOffset>
            </wp:positionV>
            <wp:extent cx="3454400" cy="20231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5440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20" w:right="1820"/>
        <w:spacing w:after="0" w:line="238" w:lineRule="auto"/>
        <w:rPr>
          <w:sz w:val="20"/>
          <w:szCs w:val="20"/>
          <w:color w:val="auto"/>
        </w:rPr>
      </w:pPr>
      <w:r>
        <w:rPr>
          <w:rFonts w:ascii="Arial" w:cs="Arial" w:eastAsia="Arial" w:hAnsi="Arial"/>
          <w:sz w:val="14"/>
          <w:szCs w:val="14"/>
          <w:color w:val="auto"/>
        </w:rPr>
        <w:t xml:space="preserve">Kinome selectivity of BLU-285 and a reference compound that has been studied in clinical trials of SM. Compounds were screened at 3 µM against a panel of over 450 kinases and disease-relevant mutants. </w:t>
      </w:r>
      <w:r>
        <w:rPr>
          <w:rFonts w:ascii="Arial" w:cs="Arial" w:eastAsia="Arial" w:hAnsi="Arial"/>
          <w:sz w:val="14"/>
          <w:szCs w:val="14"/>
          <w:i w:val="1"/>
          <w:iCs w:val="1"/>
          <w:color w:val="auto"/>
        </w:rPr>
        <w:t>Kinome illustration reproduced courtesy of</w:t>
      </w:r>
      <w:r>
        <w:rPr>
          <w:rFonts w:ascii="Arial" w:cs="Arial" w:eastAsia="Arial" w:hAnsi="Arial"/>
          <w:sz w:val="14"/>
          <w:szCs w:val="14"/>
          <w:color w:val="auto"/>
        </w:rPr>
        <w:t xml:space="preserve"> </w:t>
      </w:r>
      <w:r>
        <w:rPr>
          <w:rFonts w:ascii="Arial" w:cs="Arial" w:eastAsia="Arial" w:hAnsi="Arial"/>
          <w:sz w:val="14"/>
          <w:szCs w:val="14"/>
          <w:i w:val="1"/>
          <w:iCs w:val="1"/>
          <w:color w:val="auto"/>
        </w:rPr>
        <w:t>CSTI (www.cellsignal.com). The foregoing website is maintained by CSTI, and Blueprint Medicines is not responsible for its content.</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demonstrated significant anti-tumor efficacy with BLU-285 in a P815 mouse mastocytoma xenograft model where tumor growth is driven by a KIT Exon 17 mutation. BLU-285 administered orally for nine days resulted in robust and dose-dependent growth inhibition of P815 tumors. At a dose of 30 mg/kg once daily, a well-tolerated dose, BLU-285 caused tumor regression. We observed a correlation between the concentration of BLU-285 in mouse plasma and the level of phosphorylated KIT in the tumor, which is a measure of KIT signaling activity. At a dose of 30 mg/kg, the level of phosphorylated KIT was inhibited by 90% over the 24 hour dosing period. This is an expected consequence of inhibiting KIT signaling. This correlation between BLU-285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plasma concentration, the level of phosphorylated KIT protein and anti-tumor efficacy supports the observation that anti-tumor response is due to inhibition of KIT signaling. The anti-tumor efficacy of dasatinib, a multi-kinase inhibitor with KIT D816V activity, which has been studied in clinical trials of SM patients, was also evaluated in this study. Dasatinib dosed twice daily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273685</wp:posOffset>
            </wp:positionV>
            <wp:extent cx="3030220" cy="1748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30220"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BLU-285 elicits dose-dependent tumor regression in a mouse mastocytoma xenograft model of SM.</w:t>
      </w:r>
    </w:p>
    <w:p>
      <w:pPr>
        <w:spacing w:after="0" w:line="205" w:lineRule="exact"/>
        <w:rPr>
          <w:sz w:val="20"/>
          <w:szCs w:val="20"/>
          <w:color w:val="auto"/>
        </w:rPr>
      </w:pPr>
    </w:p>
    <w:p>
      <w:pPr>
        <w:jc w:val="both"/>
        <w:ind w:right="460" w:firstLine="470"/>
        <w:spacing w:after="0" w:line="246" w:lineRule="auto"/>
        <w:rPr>
          <w:sz w:val="20"/>
          <w:szCs w:val="20"/>
          <w:color w:val="auto"/>
        </w:rPr>
      </w:pPr>
      <w:r>
        <w:rPr>
          <w:rFonts w:ascii="Arial" w:cs="Arial" w:eastAsia="Arial" w:hAnsi="Arial"/>
          <w:sz w:val="17"/>
          <w:szCs w:val="17"/>
          <w:color w:val="auto"/>
        </w:rPr>
        <w:t>To emulate the systemic nature of the disease, we developed an aggressive systemic mouse model of SM. In this model, whereas vehicle-treated animals were terminated on day seven due to high disease burden, treatment with BLU-285 enabled significant disease control such that animals treated with BLU-285 at 30 mg/kg were terminated on day 22.</w:t>
      </w:r>
    </w:p>
    <w:p>
      <w:pPr>
        <w:spacing w:after="0" w:line="199" w:lineRule="exact"/>
        <w:rPr>
          <w:sz w:val="20"/>
          <w:szCs w:val="20"/>
          <w:color w:val="auto"/>
        </w:rPr>
      </w:pPr>
    </w:p>
    <w:p>
      <w:pPr>
        <w:ind w:right="360" w:firstLine="474"/>
        <w:spacing w:after="0" w:line="252" w:lineRule="auto"/>
        <w:rPr>
          <w:sz w:val="20"/>
          <w:szCs w:val="20"/>
          <w:color w:val="auto"/>
        </w:rPr>
      </w:pPr>
      <w:r>
        <w:rPr>
          <w:rFonts w:ascii="Arial" w:cs="Arial" w:eastAsia="Arial" w:hAnsi="Arial"/>
          <w:sz w:val="17"/>
          <w:szCs w:val="17"/>
          <w:color w:val="auto"/>
        </w:rPr>
        <w:t>We are completing the 28-day GLP toxicology studies, which are expected to identify the dose limiting toxicity and anticipated first-in-human dose for BLU-285.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in SM</w:t>
      </w:r>
    </w:p>
    <w:p>
      <w:pPr>
        <w:spacing w:after="0" w:line="22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plan to file an IND for BLU-285 in SM in mid-2015. Our Phase 1 clinical trial will test the safety and tolerability in multiple ascending doses in patients with advanced SM, including ASM, SM-AHNMD and MCL, with the goal of establishing a maximum tolerated dose, or MTD, or a recommended dose if the MTD is not achieved. All patients will be tested retrospectively for KIT D816V mutational status. We will then open SM subtype-specific expansion cohorts for ASM patients, SM-AHNMD patients, and MCL patients. The key primary endpoints of the trial are to determine safety, tolerability and the MTD of BLU-285 in SM. Secondary endpoints include assessment of the pharmacokinetic profile of BLU-285, assessment of response rate by the International Working Group-Myeloproliferative Neoplasms Research and Treatment, or IWG-MRT, criteria and changes in quality of life.</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Early signs of biological activity will be assessed as measured by changes in serum tryptase and KIT D816V allele burden. Serum tryptase is a recognized marker of mast cell burden and reduction of serum tryptase is one component of the IWG-MRT response criteria. In the expansion cohorts, clinical efficacy will be assessed by measuring overall response rate using IWG-MRT response criteria for SM, or a modified version thereof. In addition, change in total symptom score will be assessed to determine the effect of BLU-285 on symptom burden. As there is currently no validated patient reported outcomes tool for SM, we are collaborating with a health research outcomes group to develop a disease-specific tool to measure changes in total symptom score. We anticipate conducting additional trials to support development in SSM and ISM patients with high symptom burden who are refractory to current therapies.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SM in order to:</w:t>
      </w:r>
    </w:p>
    <w:p>
      <w:pPr>
        <w:spacing w:after="0" w:line="211"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build a patient registry to identify patients for rapid enrollment;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incorporate the SM patient perspective into our ongoing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Gastrointestinal Stromal Tumor (GIST)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GIST Disease Background</w:t>
      </w:r>
    </w:p>
    <w:p>
      <w:pPr>
        <w:spacing w:after="0" w:line="22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GIST is the most common sarcoma of the gastrointestional tract, or GI tract. Tumors arise within cells in the wall of the GI tract and occur most often in the stomach or small intestine. Most patients are diagnosed between the ages of 50-80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98"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GIST treatment paradigm has advanced dramatically over the past 13 years. Patients diagnosed with localized disease undergo potentially curative tumor resection, while imatinib is given to high risk resected patients to prolong the time to recurrence. Unresectable or metastatic patients typically receive imatinib, followed by sunitinib and regorafenib as the disease progresses.</w:t>
      </w:r>
    </w:p>
    <w:p>
      <w:pPr>
        <w:spacing w:after="0" w:line="187" w:lineRule="exact"/>
        <w:rPr>
          <w:sz w:val="20"/>
          <w:szCs w:val="20"/>
          <w:color w:val="auto"/>
        </w:rPr>
      </w:pPr>
    </w:p>
    <w:p>
      <w:pPr>
        <w:jc w:val="both"/>
        <w:ind w:right="60" w:firstLine="474"/>
        <w:spacing w:after="0" w:line="270" w:lineRule="auto"/>
        <w:rPr>
          <w:sz w:val="20"/>
          <w:szCs w:val="20"/>
          <w:color w:val="auto"/>
        </w:rPr>
      </w:pPr>
      <w:r>
        <w:rPr>
          <w:rFonts w:ascii="Arial" w:cs="Arial" w:eastAsia="Arial" w:hAnsi="Arial"/>
          <w:sz w:val="17"/>
          <w:szCs w:val="17"/>
          <w:color w:val="auto"/>
        </w:rPr>
        <w:t>Patients with PDGFRa D842V-driven GIST have great unmet medical need, as no approved medical therapies are effective and progression can occur within as little as three months. The PDGFRa D842V mutation is found in 5-6% of frontline unresectable or metastatic GIST patients. We believe there are up to 500 addressable patients with PDGFRa D842V-driven, unresectable or metastatic GIST in the Major Markets.</w:t>
      </w:r>
    </w:p>
    <w:p>
      <w:pPr>
        <w:spacing w:after="0" w:line="19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For patients with KIT-driven GIST, current medical therapies slow the course of disease but progression is inevitable. Up to 50% of patients treated with frontline imatinib relapse within approximately 18 months. Of the secondary resistance mutations that lead to relapse, mutations in KIT Exon 17 (including D816 and other mutations) are not addressed by current therapies. KIT Exon 17 mutations are rare in treatment-naïve patients (&lt;1%); however selective pressure due to treatment with imatinib and sunitinib causes KIT Exon 17 mutations to emerge with increasing frequency (approximately 23% of second line imatinib-resistant patients and 100% of third line imatinib/sunitinib resistant patients). These mutations confer resistance to current treatments. A therapy that effectively suppresses these mutants and that is potentially amenable to combinations with existing agents is needed. We believe there are approximately 6,500 addressable patients in the Major Markets with KIT Exon 17 secondary mutations that have led to disease progression during treatment with imatinib or sunitinib. Finally, we believe frontline combinations with imatinib will have the potential to dramatically increase the duration of therapy. We estimate there are approximately 20,000 addressable patients in the Major Markets with unresectable or metastatic frontline GIST.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Primary, KIT Exon 17 and PDGFRa Driver Mutations in GIST</w:t>
      </w:r>
    </w:p>
    <w:p>
      <w:pPr>
        <w:spacing w:after="0" w:line="242" w:lineRule="exact"/>
        <w:rPr>
          <w:sz w:val="20"/>
          <w:szCs w:val="20"/>
          <w:color w:val="auto"/>
        </w:rPr>
      </w:pPr>
    </w:p>
    <w:p>
      <w:pPr>
        <w:ind w:right="80" w:firstLine="474"/>
        <w:spacing w:after="0" w:line="253" w:lineRule="auto"/>
        <w:rPr>
          <w:sz w:val="20"/>
          <w:szCs w:val="20"/>
          <w:color w:val="auto"/>
        </w:rPr>
      </w:pPr>
      <w:r>
        <w:rPr>
          <w:rFonts w:ascii="Arial" w:cs="Arial" w:eastAsia="Arial" w:hAnsi="Arial"/>
          <w:sz w:val="17"/>
          <w:szCs w:val="17"/>
          <w:color w:val="auto"/>
        </w:rPr>
        <w:t>GIST is a tumor type that depends on continued signaling of a single, aberrantly active kinase. Most GISTs result from primary mutations in KIT or PDGFRa. Up to 80% of patients have KIT-driven GIST. Imatinib effectively inhibits most of KIT primary mutations; however over time, secondary mutations occur elsewhere in the KIT gene that lead to kinase activation despite the presence of imatinib, thereby leading to disease progression. There is currently no therapeutic option for patients with PDGFRa-driven GIST. The most common mutation is PDGFRa D842V, found in approximately 5-6% of frontline unresectable or metastatic GIST patients. PDGFRa has a very similar active site structure to KIT and the PDGFRa D842V mutation is homologous to KIT D816V. As in the case of KIT D816V mutant receptors, PDGFRa D842V mutations confer ligand-independent constitutive signaling of the mutant PDGFRa kinase.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GIST</w:t>
      </w:r>
    </w:p>
    <w:p>
      <w:pPr>
        <w:spacing w:after="0" w:line="229" w:lineRule="exact"/>
        <w:rPr>
          <w:sz w:val="20"/>
          <w:szCs w:val="20"/>
          <w:color w:val="auto"/>
        </w:rPr>
      </w:pPr>
    </w:p>
    <w:p>
      <w:pPr>
        <w:jc w:val="both"/>
        <w:ind w:right="100" w:firstLine="474"/>
        <w:spacing w:after="0" w:line="208" w:lineRule="auto"/>
        <w:rPr>
          <w:sz w:val="20"/>
          <w:szCs w:val="20"/>
          <w:color w:val="auto"/>
        </w:rPr>
      </w:pPr>
      <w:r>
        <w:rPr>
          <w:rFonts w:ascii="Arial" w:cs="Arial" w:eastAsia="Arial" w:hAnsi="Arial"/>
          <w:sz w:val="16"/>
          <w:szCs w:val="16"/>
          <w:color w:val="auto"/>
        </w:rPr>
        <w:t xml:space="preserve">We have conducted comprehensive pre-clinical experiments to characterize the potency and selectivity of BLU-285. BLU-285 potently inhibits PDGFRa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KIT D816V at least 3,000-fold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 model</w:t>
      </w:r>
    </w:p>
    <w:p>
      <w:pPr>
        <w:spacing w:after="0" w:line="1" w:lineRule="exact"/>
        <w:rPr>
          <w:sz w:val="20"/>
          <w:szCs w:val="20"/>
          <w:color w:val="auto"/>
        </w:rPr>
      </w:pPr>
    </w:p>
    <w:p>
      <w:pPr>
        <w:jc w:val="both"/>
        <w:ind w:right="100"/>
        <w:spacing w:after="0" w:line="214" w:lineRule="auto"/>
        <w:rPr>
          <w:sz w:val="20"/>
          <w:szCs w:val="20"/>
          <w:color w:val="auto"/>
        </w:rPr>
      </w:pPr>
      <w:r>
        <w:rPr>
          <w:rFonts w:ascii="Arial" w:cs="Arial" w:eastAsia="Arial" w:hAnsi="Arial"/>
          <w:sz w:val="17"/>
          <w:szCs w:val="17"/>
          <w:color w:val="auto"/>
        </w:rPr>
        <w:t>driven by an activated PDGFRa D842V mutant protein, BLU-285 potently inhibits signaling of the oncogenic PDGFRa mutant protein as measured by inhibition of PDGFRa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30 nM). By comparison, imatinib shows at least 100-fold lower potency in the cellular model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3,145 nM). The selectivity of BLU-285 has been discussed with the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data shown in the section on SM.</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PDGFRa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294640</wp:posOffset>
            </wp:positionV>
            <wp:extent cx="2747010" cy="12484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47010"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700"/>
        <w:spacing w:after="0" w:line="320" w:lineRule="auto"/>
        <w:rPr>
          <w:sz w:val="20"/>
          <w:szCs w:val="20"/>
          <w:color w:val="auto"/>
        </w:rPr>
      </w:pPr>
      <w:r>
        <w:rPr>
          <w:rFonts w:ascii="Arial" w:cs="Arial" w:eastAsia="Arial" w:hAnsi="Arial"/>
          <w:sz w:val="13"/>
          <w:szCs w:val="13"/>
          <w:color w:val="auto"/>
        </w:rPr>
        <w:t xml:space="preserve">Inhibitory potency of BLU-285 compared to imatinib. The inhibitory potency of BLU-285 and imatinib against PDGFRa D842V was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and in a cellular model driven by an activated PDGFRa D842V mutant protein.</w:t>
      </w:r>
    </w:p>
    <w:p>
      <w:pPr>
        <w:spacing w:after="0" w:line="160" w:lineRule="exact"/>
        <w:rPr>
          <w:sz w:val="20"/>
          <w:szCs w:val="20"/>
          <w:color w:val="auto"/>
        </w:rPr>
      </w:pPr>
    </w:p>
    <w:p>
      <w:pPr>
        <w:jc w:val="both"/>
        <w:ind w:right="100" w:firstLine="474"/>
        <w:spacing w:after="0" w:line="246" w:lineRule="auto"/>
        <w:rPr>
          <w:sz w:val="20"/>
          <w:szCs w:val="20"/>
          <w:color w:val="auto"/>
        </w:rPr>
      </w:pPr>
      <w:r>
        <w:rPr>
          <w:rFonts w:ascii="Arial" w:cs="Arial" w:eastAsia="Arial" w:hAnsi="Arial"/>
          <w:sz w:val="17"/>
          <w:szCs w:val="17"/>
          <w:color w:val="auto"/>
        </w:rPr>
        <w:t>We have demonstrated significant anti-tumor efficacy with BLU-285 in an imanitib resistant patient-derived xenograft model with a KIT Exon 17 resistance mutation, similar to what is found in relapsed/refractory KIT-driven GIST as shown below. BLU-285 administered orally for 25 days resulted in tumor regression at both tested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274320</wp:posOffset>
            </wp:positionV>
            <wp:extent cx="3071495" cy="1231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71495" cy="123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720" w:right="1760"/>
        <w:spacing w:after="0" w:line="245" w:lineRule="auto"/>
        <w:rPr>
          <w:sz w:val="20"/>
          <w:szCs w:val="20"/>
          <w:color w:val="auto"/>
        </w:rPr>
      </w:pPr>
      <w:r>
        <w:rPr>
          <w:rFonts w:ascii="Arial" w:cs="Arial" w:eastAsia="Arial" w:hAnsi="Arial"/>
          <w:sz w:val="14"/>
          <w:szCs w:val="14"/>
          <w:color w:val="auto"/>
        </w:rPr>
        <w:t>BLU-285 elicits dose-dependent tumor regression in a patient-derived GIST xenograft model with a KIT Exon 11 mutation and a KIT Exon 17 resistance mutation.</w:t>
      </w:r>
    </w:p>
    <w:p>
      <w:pPr>
        <w:spacing w:after="0" w:line="194"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 xml:space="preserve">In addition, we have developed an understanding of the biology that will inform the development of combinations to address these resistance mutations. We performed a comprehensive analysis of these secondary KIT Exon 17 mutations, analyzing the literature and unpublished data from opinion leaders to understand which mutations occur and to quantify their frequency in the clinical setting. We also conducted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biochemistry experiments using compounds from our proprietary compound library and currently available therapies (imatinib, sunitinib and regorafenib) to interrogate their activity against the range of KIT Exon 17 mutations. The result is a deep understanding of the spectrum of activity of BLU-285, additional compounds from our proprietary compound library and available therapies across the range of possible mutations. This will enable combination therapy development to address KIT Exon 17 secondary mutations.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for GIST</w:t>
      </w:r>
    </w:p>
    <w:p>
      <w:pPr>
        <w:spacing w:after="0" w:line="229" w:lineRule="exact"/>
        <w:rPr>
          <w:sz w:val="20"/>
          <w:szCs w:val="20"/>
          <w:color w:val="auto"/>
        </w:rPr>
      </w:pPr>
    </w:p>
    <w:p>
      <w:pPr>
        <w:ind w:right="120" w:firstLine="474"/>
        <w:spacing w:after="0" w:line="248" w:lineRule="auto"/>
        <w:rPr>
          <w:sz w:val="20"/>
          <w:szCs w:val="20"/>
          <w:color w:val="auto"/>
        </w:rPr>
      </w:pPr>
      <w:r>
        <w:rPr>
          <w:rFonts w:ascii="Arial" w:cs="Arial" w:eastAsia="Arial" w:hAnsi="Arial"/>
          <w:sz w:val="17"/>
          <w:szCs w:val="17"/>
          <w:color w:val="auto"/>
        </w:rPr>
        <w:t>We plan to file an IND for BLU-285 in GIST in mid-2015. The Phase 1 clinical trial will test the safety and tolerability of BLU-285 in multiple ascending doses in patients with GIST, with the goal of establishing an MTD, or a recommended dose if the MTD is not achieved. All patients will be tested retrospectively for KIT Exon 17 and PDGFRa D842V mutational status. Once the MTD is achieved, or a recommended dose is established, we will open expansion cohorts for patients with relapsed GIST carrying the PDGFRa D842V mutation and KIT Exon 17 mutations. The key primary endpoints of the trial are to determine safety, tolerability and the MTD of BLU-285 in GIST. Secondary endpoints include assessing response rate by Response Evaluation Criteria In Solid Tumors, or RECIST, criteria commonly used to measure clinical responses in solid tumors, and allelic burden using circulating tumor DNA.</w:t>
      </w:r>
    </w:p>
    <w:p>
      <w:pPr>
        <w:spacing w:after="0" w:line="19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the expansion cohorts, clinical efficacy will be assessed using MRI/CT imaging to assess overall response rate by RECIST criteria. Once the tolerability and biological activity of BLU-285 monotherapy is understood, we anticipate conducting additional studies with BLU-285 in combination with other therapies selected to address the broadest possible spectrum of mutations in GIST, including a potential front line study of BLU-285 with imatinib.</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GIST in order to:</w:t>
      </w:r>
    </w:p>
    <w:p>
      <w:pPr>
        <w:spacing w:after="0" w:line="211"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identify and use existing patient registries to identify patients for rapid enrollment;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incorporate the GIST patient perspective into our ongoing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 xml:space="preserve">BLU-554 is an orally available, potent, selective and irreversible inhibitor of the kinase FGFR4. FGFR4 functions as a receptor whose aberrant activation is a driver of HCC. FGFR4 belongs to a family of highly homologous receptors, which include FGFR1-4. BLU-554 targets FGFR4, while sparing the other three FGFR paralogs, and demonstrates exquisite kinome selectivity.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data provides a strong rationale for the development of BLU-554 for the subset of HCC patients whose tumors are driven by aberrant FGFR4 signaling. Based on a meta-analysis of publicly available HCC genomic datasets, we estimate that up to 30% of patients with HCC have tumors with aberrantly activated FGFR4 signaling.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HCC Disease Background</w:t>
      </w:r>
    </w:p>
    <w:p>
      <w:pPr>
        <w:spacing w:after="0" w:line="22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Liver cancer is the second leading cause of cancer-related deaths worldwide, with HCC accounting for most liver cancers. The highest incidence of HCC occurs in regions with endemic hepatitis B virus, or HBV, including Southeast Asia and sub-Saharan Africa. In the United States, HCC is the fastest rising cause of cancer-related death; over the past two decades, the incidence of HCC has tripled while the five-year survival rate has remained below 12%.</w:t>
      </w:r>
    </w:p>
    <w:p>
      <w:pPr>
        <w:spacing w:after="0" w:line="198"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Cirrhosis is a key risk factor for HCC;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Europe, the main risk factors for cirrhosis are HCV, HBV and alcohol consumption. In Southeast Asia and sub-Saharan Africa, the major risk factor is chronic HBV infection.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diagnosis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genomically-defined patient subgroups in HCC.</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HCC treatment paradigm has advanced incrementally over the past decade. Patients diagnosed at an early stage receive potentially curative transplant, resection or ablative therapies. Intermediate to advanced stage patients receive high-dose chemotherapy delivered directly to the liver (transarterial chemoembolization) and ultimately sorafenib, the only approved systemic therapy for HCC, which became broadly available in the late 2000s. Sorafenib is a multi-kinase inhibitor that targets VEGFR and many other kinases and exhibits anti-angiogenic effects. In a pivotal trial conducted primarily in European Union and U.S. sites, sorafenib improved median overall survival by nearly three months and 2% of patients responded. In clinical practice, patients often require dose modifications or discontinue therapy due to tolerability issues. There is a clear need for medical therapies with a favorable risk-benefit profile.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FGFR4 as a Driver in HCC</w:t>
      </w:r>
    </w:p>
    <w:p>
      <w:pPr>
        <w:spacing w:after="0" w:line="229" w:lineRule="exact"/>
        <w:rPr>
          <w:sz w:val="20"/>
          <w:szCs w:val="20"/>
          <w:color w:val="auto"/>
        </w:rPr>
      </w:pPr>
    </w:p>
    <w:p>
      <w:pPr>
        <w:ind w:right="120" w:firstLine="470"/>
        <w:spacing w:after="0" w:line="248" w:lineRule="auto"/>
        <w:rPr>
          <w:sz w:val="20"/>
          <w:szCs w:val="20"/>
          <w:color w:val="auto"/>
        </w:rPr>
      </w:pPr>
      <w:r>
        <w:rPr>
          <w:rFonts w:ascii="Arial" w:cs="Arial" w:eastAsia="Arial" w:hAnsi="Arial"/>
          <w:sz w:val="17"/>
          <w:szCs w:val="17"/>
          <w:color w:val="auto"/>
        </w:rPr>
        <w:t>The link between aberrant FGFR4 signaling and HCC was first established when an amplicon, a region of replicated DNA, that includes FGF19, the ligand that activates FGFR4, was identified in 6-12% of HCC patients. The physiologic role of the receptor, FGFR4, and its ligand, FGF19, is to regulate bile acid metabolism in hepatocytes. FGF19 is normally produced in the small intestine and signals to hepatocytes through an endocrine mechanism. FGF19 forms an active signaling complex together with FGFR4 and its co-receptor Klotho-b. Signaling of the active complex leads to decreased CYP7A1 transcription with a resultant decrease in bile acid synthesis, as well as increased growth, proliferation and survival signals.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144780</wp:posOffset>
            </wp:positionV>
            <wp:extent cx="3921125" cy="2696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21125"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Klotho-b, are expressed together uniquely in HCC, although it is possible that they may also occur in rare cases of other solid tumors.</w:t>
      </w:r>
    </w:p>
    <w:p>
      <w:pPr>
        <w:spacing w:after="0" w:line="196"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have used our platform to identify a broader target responder population in addition to the FGF19-amplified patient population. In collaboration with a key opinion leader, we have potentially identified an additional approximately one quarter of HCC tumors that overexpress FGF19 without amplification. We have demonstrated a significant anti-tumor response with an FGFR4 inhibitor in an HCC patient-derived xenograft model that overexpresses FGF19 in the absence of amplification. Together, these data suggest that aberrant activation of the FGFR4 signaling pathway is the driver in up to 30% of all cases of HCC.</w:t>
      </w:r>
    </w:p>
    <w:p>
      <w:pPr>
        <w:spacing w:after="0" w:line="199"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FGFR4 signaling pathway is a promising new driver for the development of molecularly targeted therapy in HCC. We estimate that in the Major Markets, there are approximately 60,000 first line and 20,000 second line addressable HCC patients with aberrantly active FGFR4 signaling as indicated by FGF19 overexpression.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Pre-clinical Development in HCC</w:t>
      </w:r>
    </w:p>
    <w:p>
      <w:pPr>
        <w:spacing w:after="0" w:line="229" w:lineRule="exact"/>
        <w:rPr>
          <w:sz w:val="20"/>
          <w:szCs w:val="20"/>
          <w:color w:val="auto"/>
        </w:rPr>
      </w:pPr>
    </w:p>
    <w:p>
      <w:pPr>
        <w:ind w:firstLine="474"/>
        <w:spacing w:after="0" w:line="216" w:lineRule="auto"/>
        <w:rPr>
          <w:sz w:val="20"/>
          <w:szCs w:val="20"/>
          <w:color w:val="auto"/>
        </w:rPr>
      </w:pPr>
      <w:r>
        <w:rPr>
          <w:rFonts w:ascii="Arial" w:cs="Arial" w:eastAsia="Arial" w:hAnsi="Arial"/>
          <w:sz w:val="16"/>
          <w:szCs w:val="16"/>
          <w:color w:val="auto"/>
        </w:rPr>
        <w:t xml:space="preserve">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structure-based design principles to develop a potent and selective FGFR4 inhibitor starting from known FGFR inhibitor templates. This effort yielded our development candidate, BLU-554. We have conducted comprehensive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characterize the potency and selectivity of BLU-554. BLU-554 potently inhibits FGFR4 enzyme activity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5 nM) and inhibits the activity of FGFR1-3 at least 100-fold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³ 600 nM). In contrast, pan-FGFR inhibitors such</w:t>
      </w:r>
    </w:p>
    <w:p>
      <w:pPr>
        <w:spacing w:after="0" w:line="6"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as BGJ-398 fail to exhibit paralog specificity. The selectivity of BLU-554 was further evaluated by profiling BLU-554 at a concentration of 3 µM across a panel of over 450 kinases and disease 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BLU-554 demonstrated high selectivity for FGFR4 in this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274320</wp:posOffset>
            </wp:positionV>
            <wp:extent cx="3171825" cy="1697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182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Paralog selectivity of BLU-554 compared to the pan-FGFR inhibitor BGJ-398. The inhibitory potency of BLU-554</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431800</wp:posOffset>
            </wp:positionV>
            <wp:extent cx="1248410" cy="2005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4841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20" w:right="1740"/>
        <w:spacing w:after="0"/>
        <w:rPr>
          <w:sz w:val="20"/>
          <w:szCs w:val="20"/>
          <w:color w:val="auto"/>
        </w:rPr>
      </w:pPr>
      <w:r>
        <w:rPr>
          <w:rFonts w:ascii="Arial" w:cs="Arial" w:eastAsia="Arial" w:hAnsi="Arial"/>
          <w:sz w:val="14"/>
          <w:szCs w:val="14"/>
          <w:color w:val="auto"/>
        </w:rPr>
        <w:t xml:space="preserve">Kinome selectivity of BLU-554 as determined using the KINOME scan assay. BLU-554 was screened at 3 µM against a panel of over 450 kinases and disease-relevant mutants. </w:t>
      </w:r>
      <w:r>
        <w:rPr>
          <w:rFonts w:ascii="Arial" w:cs="Arial" w:eastAsia="Arial" w:hAnsi="Arial"/>
          <w:sz w:val="14"/>
          <w:szCs w:val="14"/>
          <w:i w:val="1"/>
          <w:iCs w:val="1"/>
          <w:color w:val="auto"/>
        </w:rPr>
        <w:t>Kinome illustration reproduced courtesy of CSTI (www.cellsignal.com). The</w:t>
      </w:r>
      <w:r>
        <w:rPr>
          <w:rFonts w:ascii="Arial" w:cs="Arial" w:eastAsia="Arial" w:hAnsi="Arial"/>
          <w:sz w:val="14"/>
          <w:szCs w:val="14"/>
          <w:color w:val="auto"/>
        </w:rPr>
        <w:t xml:space="preserve"> </w:t>
      </w:r>
      <w:r>
        <w:rPr>
          <w:rFonts w:ascii="Arial" w:cs="Arial" w:eastAsia="Arial" w:hAnsi="Arial"/>
          <w:sz w:val="14"/>
          <w:szCs w:val="14"/>
          <w:i w:val="1"/>
          <w:iCs w:val="1"/>
          <w:color w:val="auto"/>
        </w:rPr>
        <w:t>foregoing website is maintained by CSTI, and Blueprint Medicines is not responsible for its content.</w:t>
      </w:r>
    </w:p>
    <w:p>
      <w:pPr>
        <w:spacing w:after="0" w:line="179"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 xml:space="preserve">We demonstrated significant anti-tumor efficacy with BLU-554 in two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HCC xenograft models where tumor growth is driven by FGFR4 signaling. BLU-554 administered orally for 21 days resulted in robust and dose-dependent growth inhibition of Hep3B tumors, an FGF19-amplified model. At a dose of 100 mg/kg twice daily, a well-tolerated dose, BLU-554 induced complete remission in a subset of mice for at least 30 days after cessation of treatment. We observed a correlation between the concentration of BLU-554 in mouse plasma and the level of expression of CYP7A1, a downstream biomarker, in the tumor. At the 100 mg/kg twice daily dose, significant induction of CYP7A1 expression was seen, which is an expected consequence of inhibiting FGFR4 signaling. This correlation between BLU-554 plasma concentration, the level of induction of CYP7A1 expression and anti-tumor efficacy supports that the observed anti-tumor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276225</wp:posOffset>
            </wp:positionV>
            <wp:extent cx="3496310" cy="1847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6310" cy="184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720" w:right="1700"/>
        <w:spacing w:after="0" w:line="245" w:lineRule="auto"/>
        <w:rPr>
          <w:sz w:val="20"/>
          <w:szCs w:val="20"/>
          <w:color w:val="auto"/>
        </w:rPr>
      </w:pPr>
      <w:r>
        <w:rPr>
          <w:rFonts w:ascii="Arial" w:cs="Arial" w:eastAsia="Arial" w:hAnsi="Arial"/>
          <w:sz w:val="14"/>
          <w:szCs w:val="14"/>
          <w:color w:val="auto"/>
        </w:rPr>
        <w:t>BLU-554 elicits dose-dependent tumor inhibition in the Hep3B tumor xenograft mouse model, a model of FGF19 amplification. In the figure above, BID means twice a day and PO means orally.</w:t>
      </w:r>
    </w:p>
    <w:p>
      <w:pPr>
        <w:spacing w:after="0" w:line="194"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Aberrant FGFR4 signaling can also be driven by FGF19 overexpression in the absence of amplification. Hence, we have also evaluated the anti-tumor efficacy of BLU-554 in a patient-derived xenograft model driven by FGF19 overexpression in the absence of amplification. Treatment with BLU-554 led to dose-dependent tumor growth inhibition. The anti-tumor efficacy of sorafenib, the only approved systemic treatment for HCC, was also evaluated in this study. Sorafenib dosed once daily at 40 mg/kg, a dose that led to body weight loss in the mice, had only a modest effect on tumor growth.</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281940</wp:posOffset>
            </wp:positionV>
            <wp:extent cx="4827905" cy="2056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27905" cy="205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20" w:right="1780"/>
        <w:spacing w:after="0"/>
        <w:rPr>
          <w:sz w:val="20"/>
          <w:szCs w:val="20"/>
          <w:color w:val="auto"/>
        </w:rPr>
      </w:pPr>
      <w:r>
        <w:rPr>
          <w:rFonts w:ascii="Arial" w:cs="Arial" w:eastAsia="Arial" w:hAnsi="Arial"/>
          <w:sz w:val="14"/>
          <w:szCs w:val="14"/>
          <w:color w:val="auto"/>
        </w:rPr>
        <w:t>BLU-554 elicits dose-dependent tumor inhibition in a patient-derived tumor xenograft mouse model in which tumor growth is driven by FGF19 overexpression in the absence of FGF19 amplification. In the figure above, BID means twice a day; QD means once a day; and PO means orally.</w:t>
      </w:r>
    </w:p>
    <w:p>
      <w:pPr>
        <w:spacing w:after="0" w:line="179"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 xml:space="preserve">Taken together, the data presented above indicate that potent and selective FGFR4 inhibition leads to robust anti-tumor effects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where tumor growth is driven by FGF19 amplification or FGF19 overexpression in the absence of amplification. These findings, together with analysis of genomic data from HCC patients (indicating that up to 30% of HCC patients have FGF19 overexpression, with or without amplification), provide critical information to identify a potential responder population and will inform patient selection criteria in our planned clinical trial.</w:t>
      </w:r>
    </w:p>
    <w:p>
      <w:pPr>
        <w:spacing w:after="0" w:line="193"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We are completing the 28-day GLP toxicology studies, which are expected to identify the dose limiting toxicity and anticipated first-in-human dose for BLU-554.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Clinical Development Plan</w:t>
      </w:r>
    </w:p>
    <w:p>
      <w:pPr>
        <w:spacing w:after="0" w:line="22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plan to submit an IND for BLU-554 in mid-2015. Our Phase 1 clinical trial will test the safety and tolerability of BLU-554 in multiple ascending doses in patients with HCC and other advanced solid tumors with the goal of establishing an MTD, or a recommended dose if the MTD is not achieved. In the dose escalation phase, FGF19 expression and amplification status will be assessed in patients with available archival tumor tissue. We will then open expansion cohorts for HCC patients selected based on FGF19 expression and stratified according to FGF19 amplification status. The key primary endpoints of the trial are to determine safety, tolerability and the MTD of BLU-554 in HCC. Secondary endpoints include assessing pharmacokinetics, pharmacodynamics and efficacy.</w:t>
      </w:r>
    </w:p>
    <w:p>
      <w:pPr>
        <w:spacing w:after="0" w:line="202"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Early signs of biological activity will be assessed using disease-specific circulating biomarkers and, when on-treatment biopsies are available, pharmacodynamic markers. Clinical efficacy will be assessed in the expansion phase using MRI/CT imaging to assess overall response rate by RECIST criteria or a modified version thereof. We anticipate conducting additional trials to support development in front-line advanced HCC. Additional development beyond HCC will be considered pending further evidence of FGFR4 pathway relevance in cholangiocarcinoma and other solid tumors.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third program targets RET fusions and predicted RET resistant mutants. RET is a receptor tyrosine kinase that activates multiple downstream pathways involved in cell proliferation and survival. Sometimes a portion of the RET gene that encodes the kinase domain is joined to part of another gene creating a fusion gene that encodes an aberrantly activated RET fusion protein. RET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fusions are implicated in several cancers including papillary thyroid carcinoma (approximately 35% of patients) and non-small cell lung cancer (1-2% of patients). Our recently published genomics analyses on the landscape of kinase fusions identified RET fusions in breast and colon cancer patient samples (both &lt;1% of patients), providing a therapeutic rationale for the use of RET inhibitors in multiple patient subpopulations.</w:t>
      </w:r>
    </w:p>
    <w:p>
      <w:pPr>
        <w:spacing w:after="0" w:line="199"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wild-type RET fusions and their predicted RET resistant mutants.</w:t>
      </w:r>
    </w:p>
    <w:p>
      <w:pPr>
        <w:spacing w:after="0" w:line="202"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leveraged our proprietary compound library to identify compounds that fit this challenging drug profile. We have identified library compounds that inhibit both wild-type and mutant RET but not key off-target kinases and are using these as the basis for designing potent and selective RET inhibitors suitable for clinical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drug candidates, including BLU-285 and BLU-554, and our core technologies, including our novel target discovery engine and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1"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7, 2015, we owned one issued U.S. patent, 16 pending U.S. patent applications, 41 foreign patent applications pending in a number of jurisdictions, including Australia, Brazil, Canada, China, Europe, Israel, India, Japan, South Korea, Mexico New Zealand, Russia, South Africa, and seven pending Patent Cooperation Treaty, or PCT, patent applications. A significant portion of our pending patent applications pertain to our key discovery programs, specifically novel recurrent fusions. Our issued U.S. patent is projected to expire in 2033, and any patents that may issue from our pending U.S. applications would be projected to expire between 2034 and 2036.</w:t>
      </w:r>
    </w:p>
    <w:p>
      <w:pPr>
        <w:spacing w:after="0" w:line="206"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intellectual property portfolios for our most advanced drug candidates as of February 7, 2015 are summarized below. Each of these portfolios is in its very early stages and, with respect to most of the pending patent applications covering our drug candidates, prosecution has yet to commence. Prosecution is a lengthy process, during which the scope of the claims initially submitted for examination by the USPTO often significantly narrowed by the time they issue, if they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issue at all. We expect this to be the case with respect to our pending patent applications referred to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Exon 17</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intellectual property portfolio for our KIT Exon 17 program contains patent applications directed to compositions of matter for BLU-285 and analogs, compositions of matter for KIT Exon 17 inhibitors with different compound families, as well as methods of use for these novel compounds. As of February 7, 2015, we owned four pending U.S. patent applications, nine pending foreign patent applications in a number of jurisdictions, including Argentina, Bolivia, Pakistan, Taiwan and Venezuela, and three pending PCT patent applications directed to this program.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intellectual property portfolio for our FGFR4 program contains patent applications directed to compositions of matter for BLU-554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February 7, 2015, we owned one issued U.S. patent, three pending U.S. patent applications, 32 foreign patent applications in a number of jurisdictions, including Australia, Brazil, Canada, China, Europe, Israel, India, Japan, South Korea, Mexico New Zealand, Russia, South Africa, and two pending PCT patent applications directed to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w:t>
      </w:r>
    </w:p>
    <w:p>
      <w:pPr>
        <w:spacing w:after="0" w:line="231" w:lineRule="exact"/>
        <w:rPr>
          <w:sz w:val="20"/>
          <w:szCs w:val="20"/>
          <w:color w:val="auto"/>
        </w:rPr>
      </w:pPr>
    </w:p>
    <w:p>
      <w:pPr>
        <w:jc w:val="both"/>
        <w:ind w:right="400" w:firstLine="470"/>
        <w:spacing w:after="0" w:line="246" w:lineRule="auto"/>
        <w:rPr>
          <w:sz w:val="20"/>
          <w:szCs w:val="20"/>
          <w:color w:val="auto"/>
        </w:rPr>
      </w:pPr>
      <w:r>
        <w:rPr>
          <w:rFonts w:ascii="Arial" w:cs="Arial" w:eastAsia="Arial" w:hAnsi="Arial"/>
          <w:sz w:val="17"/>
          <w:szCs w:val="17"/>
          <w:color w:val="auto"/>
        </w:rPr>
        <w:t>The intellectual property portfolio for our RET program contains a patent application directed to compositions of matter for inhibitors of the predicted RET resistance mutations, as well as methods of use for these novel compounds. As of February 7, 2015, we owned one pending U.S. patent application directed to this program.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w:t>
      </w:r>
    </w:p>
    <w:p>
      <w:pPr>
        <w:spacing w:after="0" w:line="231"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February 7, 2015, we owned eight pending U.S. patent applications and two pending PCT patent applications directed to this technology.</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01" w:lineRule="exact"/>
        <w:rPr>
          <w:sz w:val="20"/>
          <w:szCs w:val="20"/>
          <w:color w:val="auto"/>
        </w:rPr>
      </w:pPr>
    </w:p>
    <w:p>
      <w:pPr>
        <w:jc w:val="both"/>
        <w:ind w:right="60" w:firstLine="474"/>
        <w:spacing w:after="0" w:line="246" w:lineRule="auto"/>
        <w:rPr>
          <w:sz w:val="20"/>
          <w:szCs w:val="20"/>
          <w:color w:val="auto"/>
        </w:rPr>
      </w:pPr>
      <w:r>
        <w:rPr>
          <w:rFonts w:ascii="Arial" w:cs="Arial" w:eastAsia="Arial" w:hAnsi="Arial"/>
          <w:sz w:val="17"/>
          <w:szCs w:val="17"/>
          <w:color w:val="auto"/>
        </w:rPr>
        <w:t>With respect to the building of our proprietary compound library,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and public presentations describing the methodology.</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ind w:right="240" w:firstLine="470"/>
        <w:spacing w:after="0" w:line="244"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99" w:lineRule="exact"/>
        <w:rPr>
          <w:sz w:val="20"/>
          <w:szCs w:val="20"/>
          <w:color w:val="auto"/>
        </w:rPr>
      </w:pPr>
    </w:p>
    <w:p>
      <w:pPr>
        <w:jc w:val="both"/>
        <w:ind w:right="320" w:firstLine="474"/>
        <w:spacing w:after="0" w:line="246" w:lineRule="auto"/>
        <w:rPr>
          <w:sz w:val="20"/>
          <w:szCs w:val="20"/>
          <w:color w:val="auto"/>
        </w:rPr>
      </w:pPr>
      <w:r>
        <w:rPr>
          <w:rFonts w:ascii="Arial" w:cs="Arial" w:eastAsia="Arial" w:hAnsi="Arial"/>
          <w:sz w:val="17"/>
          <w:szCs w:val="17"/>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20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If the drug candidates for our priority programs are approved for the indications for which are currently planning clinical trials, they will compete with the drugs discussed below and will likely compete with other drugs that are currently in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BLU-285</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We are initially developing BLU-285, which is designed to target KIT Exon 17, for advanced SM and GIST patients, as well as for patients with GIST with the PDGFRa D842V mutation.</w:t>
      </w:r>
    </w:p>
    <w:p>
      <w:pPr>
        <w:spacing w:after="0" w:line="206"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color w:val="auto"/>
        </w:rPr>
        <w:t>For advanced SM, the only approved medical therapy is imatinib for patients without the KIT D816V mutation or mutational status unknown. Several treatments are used off-label for cytoreduction including interferon-a and cytoreductive agents for advanced forms of SM. If BLU-285 receives marketing approval, it may face competition from other drug candidates in development for advanced SM, including drug candidates in development from AB Science S.A., Plexxikon Inc., a wholly-owned subsidiary of Daiichi Sankyo Company, Limited, Deciphera Pharmaceuticals, LLC and Novartis AG.</w:t>
      </w:r>
    </w:p>
    <w:p>
      <w:pPr>
        <w:spacing w:after="0" w:line="196"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color w:val="auto"/>
        </w:rPr>
        <w:t>For GIST, the current approved standards of care for unresectable or metastatic patients are first-line imatinib, followed by second-line sunitinib upon imatinib progression, followed by third-line regorafenib upon sunitinib progression. While these agents do not address patients with the PDGFRa D842V mutation, they may be competitor therapies if the recommended mutational status testing is not performed. If BLU-285 receives marketing approval for this indication, it may also face competition from drug candidates in development by AROG Pharmaceuticals, Inc., Plexxikon Inc. and ARIAD Pharmaceuticals, Inc.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BLU-554</w:t>
      </w:r>
    </w:p>
    <w:p>
      <w:pPr>
        <w:spacing w:after="0" w:line="231"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development of BLU-554 will focus on a subset of patients with HCC with FGF19 overexpression. The only approved systemic medical therapy for HCC is sorafenib. In addition, there are potentially competitive drug candidates in development by AstraZeneca plc, Bayer AG, Johnson &amp; Johnson, Novartis AG, Taiho Pharmaceutical Co., Ltd. and Xoma Ltd.</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Commercialization Plans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vision is to become a fully-integrated biopharmaceutical company. This will enable us to realize our goal of delivering transformative drugs to patients. Given our stage of development, we have not yet established our own commercial organization or distribution capabilities. Our initial focus is on genomically-defined patient populations in oncology allowing us to efficiently commercialize our drug candidates in the United States on our own initially and worldwide longer-term.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Supply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BLU-285 and BLU-554 for our pre-clinical and planned Phase 1 testing from one third-party manufacturer and drug product from another third party manufacturer. We obtain our supplies from these manufacturers on a purchase order basis and do not have a long-term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206" w:lineRule="exact"/>
        <w:rPr>
          <w:sz w:val="20"/>
          <w:szCs w:val="20"/>
          <w:color w:val="auto"/>
        </w:rPr>
      </w:pPr>
    </w:p>
    <w:p>
      <w:pPr>
        <w:ind w:right="380" w:firstLine="474"/>
        <w:spacing w:after="0" w:line="245" w:lineRule="auto"/>
        <w:rPr>
          <w:sz w:val="20"/>
          <w:szCs w:val="20"/>
          <w:color w:val="auto"/>
        </w:rPr>
      </w:pPr>
      <w:r>
        <w:rPr>
          <w:rFonts w:ascii="Arial" w:cs="Arial" w:eastAsia="Arial" w:hAnsi="Arial"/>
          <w:sz w:val="17"/>
          <w:szCs w:val="17"/>
          <w:color w:val="auto"/>
        </w:rPr>
        <w:t>BLU-285 and BLU-554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to develop drug candidates that can be produced cost-effectively at contract manufacturing facilities.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generally expect to rely on third parties for the manufacture of any companion diagnostics we develop.</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Government Regulation</w:t>
      </w:r>
    </w:p>
    <w:p>
      <w:pPr>
        <w:spacing w:after="0" w:line="231"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99" w:lineRule="exact"/>
        <w:rPr>
          <w:sz w:val="20"/>
          <w:szCs w:val="20"/>
          <w:color w:val="auto"/>
        </w:rPr>
      </w:pPr>
    </w:p>
    <w:p>
      <w:pPr>
        <w:ind w:right="360" w:firstLine="474"/>
        <w:spacing w:after="0" w:line="244" w:lineRule="auto"/>
        <w:rPr>
          <w:sz w:val="20"/>
          <w:szCs w:val="20"/>
          <w:color w:val="auto"/>
        </w:rPr>
      </w:pPr>
      <w:r>
        <w:rPr>
          <w:rFonts w:ascii="Arial" w:cs="Arial" w:eastAsia="Arial" w:hAnsi="Arial"/>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720"/>
        <w:spacing w:after="0" w:line="246" w:lineRule="auto"/>
        <w:rPr>
          <w:sz w:val="20"/>
          <w:szCs w:val="20"/>
          <w:color w:val="auto"/>
        </w:rPr>
      </w:pPr>
      <w:r>
        <w:rPr>
          <w:rFonts w:ascii="Arial" w:cs="Arial" w:eastAsia="Arial" w:hAnsi="Arial"/>
          <w:sz w:val="17"/>
          <w:szCs w:val="17"/>
          <w:color w:val="auto"/>
        </w:rPr>
        <w:t>holds, warning letters, product recalls or withdrawals from the market, product seizures, total or partial suspension of production or distribution injunctions, disbarment, fines, refusals of government contracts, restitution, disgorgement, or civil or criminal penalties. Any agency or judicial enforcement action could have a material adverse effect on us.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U.S. Drug Development</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98" w:lineRule="exact"/>
        <w:rPr>
          <w:sz w:val="20"/>
          <w:szCs w:val="20"/>
          <w:color w:val="auto"/>
        </w:rPr>
      </w:pPr>
    </w:p>
    <w:p>
      <w:pPr>
        <w:ind w:left="1060" w:right="34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Completion of extensive pre-clinical, sometimes referred to as pre-clinical laboratory tests, pre-clinical animal studies and formulation studies all performed in accordance with applicable regulations, including the FDA's GLP regulations;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97" w:lineRule="exact"/>
        <w:rPr>
          <w:rFonts w:ascii="Arial" w:cs="Arial" w:eastAsia="Arial" w:hAnsi="Arial"/>
          <w:sz w:val="17"/>
          <w:szCs w:val="17"/>
          <w:color w:val="auto"/>
        </w:rPr>
      </w:pPr>
    </w:p>
    <w:p>
      <w:pPr>
        <w:ind w:left="1060" w:right="280" w:hanging="531"/>
        <w:spacing w:after="0" w:line="246"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Submission to the FDA of an NDA, for a new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NDA for review;</w:t>
      </w:r>
    </w:p>
    <w:p>
      <w:pPr>
        <w:spacing w:after="0" w:line="197"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API and finished drug product are produced to assess compliance with the FDA's current good manufacturing practice requirements, or cGMP;</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Potential FDA audit of the pre-clinical and/or clinical trial sites that generated the data in support of the NDA;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FDA review and approval of the NDA prior to any commercial marketing or sale of the drug in the United States.</w:t>
      </w:r>
    </w:p>
    <w:p>
      <w:pPr>
        <w:spacing w:after="0" w:line="21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IND will result in the FDA allowing clinical trials to begin, or that, once begun, issues will not arise that could cause the trial to be suspended or terminated.</w:t>
      </w:r>
    </w:p>
    <w:p>
      <w:pPr>
        <w:spacing w:after="0" w:line="193" w:lineRule="exact"/>
        <w:rPr>
          <w:sz w:val="20"/>
          <w:szCs w:val="20"/>
          <w:color w:val="auto"/>
        </w:rPr>
      </w:pPr>
    </w:p>
    <w:p>
      <w:pPr>
        <w:ind w:right="120" w:firstLine="470"/>
        <w:spacing w:after="0" w:line="242"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05"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generally involve a small number of healthy volunteers who are initially exposed to a single dose and then multiple doses of the drug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w:t>
      </w:r>
    </w:p>
    <w:p>
      <w:pPr>
        <w:spacing w:after="0" w:line="205"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pivotal study is a clinical study that adequately meets regulatory agency requirements for the evaluation of a drug candidate's efficacy and safety such that it can be used to justify the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202"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NDA and FDA Review Process</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Following trial completion, trial data is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205" w:lineRule="exact"/>
        <w:rPr>
          <w:sz w:val="20"/>
          <w:szCs w:val="20"/>
          <w:color w:val="auto"/>
        </w:rPr>
      </w:pPr>
    </w:p>
    <w:p>
      <w:pPr>
        <w:ind w:right="360" w:firstLine="474"/>
        <w:spacing w:after="0" w:line="24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 to the FDA's fee schedule, effective through September 30, 2015, the user fee for an application requiring clinical data, such as an NDA, is $2,335,200. PDUFA also imposes an annual product fee for human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202"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4" w:lineRule="exact"/>
        <w:rPr>
          <w:sz w:val="20"/>
          <w:szCs w:val="20"/>
          <w:color w:val="auto"/>
        </w:rPr>
      </w:pPr>
    </w:p>
    <w:p>
      <w:pPr>
        <w:ind w:right="160" w:firstLine="470"/>
        <w:spacing w:after="0" w:line="243"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FDA Expedited Review and Approval Programs</w:t>
      </w:r>
    </w:p>
    <w:p>
      <w:pPr>
        <w:spacing w:after="0" w:line="231"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a Fast Track Designation, the FDA must determine, based on the request of a sponsor, that a drug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0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20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Moreover, under the provisions of the new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99" w:lineRule="exact"/>
        <w:rPr>
          <w:sz w:val="20"/>
          <w:szCs w:val="20"/>
          <w:color w:val="auto"/>
        </w:rPr>
      </w:pPr>
    </w:p>
    <w:p>
      <w:pPr>
        <w:ind w:right="500" w:firstLine="474"/>
        <w:spacing w:after="0" w:line="24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Trials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Pursuant to FDASIA, which was signed into law on July 9, 2012,a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Post-Marketing Requirements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206"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05"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Regulatory Matters</w:t>
      </w:r>
    </w:p>
    <w:p>
      <w:pPr>
        <w:spacing w:after="0" w:line="229"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Health Care Reform Law, as amended by the Health Care and Education Affordability Reconciliation Act, or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93"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1" w:lineRule="exact"/>
        <w:rPr>
          <w:sz w:val="20"/>
          <w:szCs w:val="20"/>
          <w:color w:val="auto"/>
        </w:rPr>
      </w:pPr>
    </w:p>
    <w:p>
      <w:pPr>
        <w:ind w:left="200" w:hanging="195"/>
        <w:spacing w:after="0"/>
        <w:tabs>
          <w:tab w:leader="none" w:pos="2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1" w:lineRule="exact"/>
        <w:rPr>
          <w:rFonts w:ascii="Arial" w:cs="Arial" w:eastAsia="Arial" w:hAnsi="Arial"/>
          <w:sz w:val="17"/>
          <w:szCs w:val="17"/>
          <w:color w:val="auto"/>
        </w:rPr>
      </w:pPr>
    </w:p>
    <w:p>
      <w:pPr>
        <w:ind w:left="280" w:hanging="275"/>
        <w:spacing w:after="0"/>
        <w:tabs>
          <w:tab w:leader="none" w:pos="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05"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31" w:lineRule="exact"/>
        <w:rPr>
          <w:sz w:val="20"/>
          <w:szCs w:val="20"/>
          <w:color w:val="auto"/>
        </w:rPr>
      </w:pPr>
    </w:p>
    <w:p>
      <w:pPr>
        <w:ind w:right="60" w:firstLine="470"/>
        <w:spacing w:after="0" w:line="242"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conditions affecting not more than five in 10,000 persons in the European Union Community.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206"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9" w:lineRule="exact"/>
        <w:rPr>
          <w:sz w:val="20"/>
          <w:szCs w:val="20"/>
          <w:color w:val="auto"/>
        </w:rPr>
      </w:pPr>
    </w:p>
    <w:p>
      <w:pPr>
        <w:ind w:right="400" w:firstLine="474"/>
        <w:spacing w:after="0" w:line="245"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8"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Diagnostic Tests</w:t>
      </w:r>
    </w:p>
    <w:p>
      <w:pPr>
        <w:spacing w:after="0" w:line="231" w:lineRule="exact"/>
        <w:rPr>
          <w:sz w:val="20"/>
          <w:szCs w:val="20"/>
          <w:color w:val="auto"/>
        </w:rPr>
      </w:pPr>
    </w:p>
    <w:p>
      <w:pPr>
        <w:ind w:right="220" w:firstLine="474"/>
        <w:spacing w:after="0" w:line="246" w:lineRule="auto"/>
        <w:rPr>
          <w:sz w:val="20"/>
          <w:szCs w:val="20"/>
          <w:color w:val="auto"/>
        </w:rPr>
      </w:pPr>
      <w:r>
        <w:rPr>
          <w:rFonts w:ascii="Arial" w:cs="Arial" w:eastAsia="Arial" w:hAnsi="Arial"/>
          <w:sz w:val="17"/>
          <w:szCs w:val="17"/>
          <w:color w:val="auto"/>
        </w:rPr>
        <w:t>We expect that our drug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drug candidates will utilize the PMA pathway.</w:t>
      </w:r>
    </w:p>
    <w:p>
      <w:pPr>
        <w:spacing w:after="0" w:line="202"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04"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On August 6, 2014, the FDA issued a final guidance document addressing the development and approval process for "In Vitro Companion Diagnostic Devices." According to the guidance, for novel drugs such as our drug candidates, a companion diagnostic device and its corresponding drug should be approved or cleared contemporaneously by FDA for the use indicated in the therapeutic product labeling.</w:t>
      </w:r>
    </w:p>
    <w:p>
      <w:pPr>
        <w:spacing w:after="0" w:line="199"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 the EEA, in vitro medical devices are required to conform with the essential requirements of the E.U. Directive on in vitro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 The data generated for the U.S. registration will be sufficient to satisfy the regulatory requirements for the European Union and other countries.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Development</w:t>
      </w:r>
    </w:p>
    <w:p>
      <w:pPr>
        <w:spacing w:after="0" w:line="231" w:lineRule="exact"/>
        <w:rPr>
          <w:sz w:val="20"/>
          <w:szCs w:val="20"/>
          <w:color w:val="auto"/>
        </w:rPr>
      </w:pPr>
    </w:p>
    <w:p>
      <w:pPr>
        <w:ind w:right="240" w:firstLine="474"/>
        <w:spacing w:after="0" w:line="252" w:lineRule="auto"/>
        <w:rPr>
          <w:sz w:val="20"/>
          <w:szCs w:val="20"/>
          <w:color w:val="auto"/>
        </w:rPr>
      </w:pPr>
      <w:r>
        <w:rPr>
          <w:rFonts w:ascii="Arial" w:cs="Arial" w:eastAsia="Arial" w:hAnsi="Arial"/>
          <w:sz w:val="17"/>
          <w:szCs w:val="17"/>
          <w:color w:val="auto"/>
        </w:rPr>
        <w:t>In Europe, our future drugs may also be subject to extensive regulatory requirements. As in the United States, medicinal products can only be marketed if a marketing authorization from the competent regulatory agencies has been obtained.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Similar to the United States, the various phases of pre-clinical and clinical research in Europe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06"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European Union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Review and Approval</w:t>
      </w:r>
    </w:p>
    <w:p>
      <w:pPr>
        <w:spacing w:after="0" w:line="231"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99"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202"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States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205"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Chemical Entity Exclusivity</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231"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For other countries outside of the Europe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98"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enacted in March 2010, has had a significant impact on the health care industry. The ACA expanded coverage for the uninsured while at the same time containing overall healthcare costs. With regard to 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06"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2024 unless additional Congressional action is taken. On January 2, 2013,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205" w:lineRule="exact"/>
        <w:rPr>
          <w:sz w:val="20"/>
          <w:szCs w:val="20"/>
          <w:color w:val="auto"/>
        </w:rPr>
      </w:pPr>
    </w:p>
    <w:p>
      <w:pPr>
        <w:ind w:right="240" w:firstLine="474"/>
        <w:spacing w:after="0" w:line="25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06"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services. Similar to the federal Anti-Kickback Statute, a person or entity does not need to have actual knowledge of the statute or specific intent to violate it in order to have committed a violation.</w:t>
      </w:r>
    </w:p>
    <w:p>
      <w:pPr>
        <w:spacing w:after="0" w:line="193"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to the government by March 31, 2014 and June 30, 2014, and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As of February 15, 2015, we had 59 full-time employees, including 30 employees with M.D. or Ph.D. degrees. Of these full-time employees, 47 employees are engaged in research and development activities and 12 are engaged in general and administrative activities. None of our employees is represented by a labor union or covered by a collective bargaining agreement. We consider our relationship with our employees to be good.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Facilities</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occupy approximately 20,000 rentable square feet of office and laboratory space in Cambridge, Massachusetts under a lease that expires on October 31, 2015.</w:t>
      </w:r>
    </w:p>
    <w:p>
      <w:pPr>
        <w:spacing w:after="0" w:line="193"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On February 11, 2015, we entered into a lease for approximately 38,500 rentable square feet of office and laboratory space in Cambridge, Massachusetts, with a lease term commencing June 15, 2015 and ending on October 31, 2022, assuming occupancy in October 2015. We have an option to extend the lease term for five additional years. We believe that this new office and laboratory space is sufficient to meet our needs for the foreseeable future and that suitable additional space will be available as and when needed.</w:t>
      </w:r>
    </w:p>
    <w:p>
      <w:pPr>
        <w:spacing w:after="0" w:line="375"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 and Directors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February 15, 2015:</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580" w:type="dxa"/>
            <w:vAlign w:val="bottom"/>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Age</w:t>
            </w:r>
          </w:p>
        </w:tc>
        <w:tc>
          <w:tcPr>
            <w:tcW w:w="148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Position(s)</w:t>
            </w:r>
          </w:p>
        </w:tc>
        <w:tc>
          <w:tcPr>
            <w:tcW w:w="1300" w:type="dxa"/>
            <w:vAlign w:val="bottom"/>
          </w:tcPr>
          <w:p>
            <w:pPr>
              <w:spacing w:after="0"/>
              <w:rPr>
                <w:sz w:val="18"/>
                <w:szCs w:val="18"/>
                <w:color w:val="auto"/>
              </w:rPr>
            </w:pPr>
          </w:p>
        </w:tc>
      </w:tr>
      <w:tr>
        <w:trPr>
          <w:trHeight w:val="190"/>
        </w:trPr>
        <w:tc>
          <w:tcPr>
            <w:tcW w:w="50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Executive Officers:</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Jeffrey W. Albers</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President, Chief Executive Officer and Director</w:t>
            </w: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Anthony L. Boral, M.D.,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 Clinical Development</w:t>
            </w: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Kyle D. Kuvalanka</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Chief Business Officer</w:t>
            </w: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 Lengauer,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r>
      <w:tr>
        <w:trPr>
          <w:trHeight w:val="406"/>
        </w:trPr>
        <w:tc>
          <w:tcPr>
            <w:tcW w:w="5080" w:type="dxa"/>
            <w:vAlign w:val="bottom"/>
            <w:gridSpan w:val="2"/>
          </w:tcPr>
          <w:p>
            <w:pPr>
              <w:ind w:left="20"/>
              <w:spacing w:after="0"/>
              <w:rPr>
                <w:sz w:val="20"/>
                <w:szCs w:val="20"/>
                <w:color w:val="auto"/>
              </w:rPr>
            </w:pPr>
            <w:r>
              <w:rPr>
                <w:rFonts w:ascii="Arial" w:cs="Arial" w:eastAsia="Arial" w:hAnsi="Arial"/>
                <w:sz w:val="17"/>
                <w:szCs w:val="17"/>
                <w:b w:val="1"/>
                <w:bCs w:val="1"/>
                <w:color w:val="auto"/>
              </w:rPr>
              <w:t>Directors: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Daniel S. Lynch</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Executive Chairman</w:t>
            </w: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Alexis Borisy</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George D. Demetri, M.D.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Stephen C. Knight, M.D.</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Nicholas Lydon,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David Schenkein, M.D.</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Thilo Schroeder,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33</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bl>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ind w:right="20" w:firstLine="473"/>
        <w:spacing w:after="0" w:line="246"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Chief Executive Officer and President and a member of our board of directors since July 2014. Mr. Albers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more than 20 years of experience in leadership roles in the biopharmaceutical industry. Prior to joining us, from January 2012 to April 2014, he was president of the U.S. subsidiary of Algeta ASA, or Algeta U.S., a Norwegian biopharmaceutical company, where he oversaw the commercial and business functions. At Algeta U.S., Mr. Albers was responsible for the U.S. launch of Radium-223 in metastatic castrate resistant prostate cancer. Prior to Algeta U.S., from July 2005 to November 2011, Mr. Albers was at Genzyme Corporation, or Genzyme, a biotechnology company which is now a wholly-owned subsidiary of Sanofi S.A., most recently as vice president of the U.S. hematology and oncology business unit. Mr. Albers received his B.S. from Indiana University and an M.B.A. and a J.D. from Georgetown University. We believe that Mr. Albers' leadership in the life sciences industry qualifies him to serve on our board of directors.</w:t>
      </w:r>
    </w:p>
    <w:p>
      <w:pPr>
        <w:spacing w:after="0" w:line="180" w:lineRule="exact"/>
        <w:rPr>
          <w:sz w:val="20"/>
          <w:szCs w:val="20"/>
          <w:color w:val="auto"/>
        </w:rPr>
      </w:pPr>
    </w:p>
    <w:p>
      <w:pPr>
        <w:ind w:firstLine="473"/>
        <w:spacing w:after="0" w:line="245" w:lineRule="auto"/>
        <w:rPr>
          <w:sz w:val="20"/>
          <w:szCs w:val="20"/>
          <w:color w:val="auto"/>
        </w:rPr>
      </w:pPr>
      <w:r>
        <w:rPr>
          <w:rFonts w:ascii="Arial" w:cs="Arial" w:eastAsia="Arial" w:hAnsi="Arial"/>
          <w:sz w:val="17"/>
          <w:szCs w:val="17"/>
          <w:b w:val="1"/>
          <w:bCs w:val="1"/>
          <w:i w:val="1"/>
          <w:iCs w:val="1"/>
          <w:color w:val="auto"/>
        </w:rPr>
        <w:t xml:space="preserve">Anthony L. Boral, M.D., Ph.D. </w:t>
      </w:r>
      <w:r>
        <w:rPr>
          <w:rFonts w:ascii="Arial" w:cs="Arial" w:eastAsia="Arial" w:hAnsi="Arial"/>
          <w:sz w:val="17"/>
          <w:szCs w:val="17"/>
          <w:color w:val="auto"/>
        </w:rPr>
        <w:t>has served as our Senior Vice President, Clinical Development since February 2015. Prior to joining us,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 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his B.A. from Wesleyan University, and an M.D. and a Ph.D. from the Albert Einstein College of Medicine, in New York.</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b w:val="1"/>
          <w:bCs w:val="1"/>
          <w:i w:val="1"/>
          <w:iCs w:val="1"/>
          <w:color w:val="auto"/>
        </w:rPr>
        <w:t xml:space="preserve">Kyle D. Kuvalanka </w:t>
      </w:r>
      <w:r>
        <w:rPr>
          <w:rFonts w:ascii="Arial" w:cs="Arial" w:eastAsia="Arial" w:hAnsi="Arial"/>
          <w:sz w:val="17"/>
          <w:szCs w:val="17"/>
          <w:color w:val="auto"/>
        </w:rPr>
        <w:t>has served as our Chief Business Officer since September 2013. Mr. Kuvalanka has more than 15 years of business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experience in the biopharmaceutical industry. Prior to joining us, from March 2002 to September 2013, Mr. Kuvalanka worked at Takeda and Millennium, prior to its takeover by Takeda, including as Vice President, Corporate Strategy and Development from 2009 to 2012 and as Vice President, Business Development, Corporate Strategy and Alliance Management from 2012 to 2013. Earlier in his career at Millennium, Mr. Kuvalanka held leadership positions in finance and led the investor relations effort until the company's acquisition by Takeda. Mr. Kuvalanka holds a B.A. from Wesleyan University and an M.B.A. from The Wharton Business School at the University of Pennsylvania.</w:t>
      </w:r>
    </w:p>
    <w:p>
      <w:pPr>
        <w:spacing w:after="0" w:line="178" w:lineRule="exact"/>
        <w:rPr>
          <w:sz w:val="20"/>
          <w:szCs w:val="20"/>
          <w:color w:val="auto"/>
        </w:rPr>
      </w:pPr>
    </w:p>
    <w:p>
      <w:pPr>
        <w:ind w:right="40" w:firstLine="473"/>
        <w:spacing w:after="0" w:line="250" w:lineRule="auto"/>
        <w:rPr>
          <w:sz w:val="20"/>
          <w:szCs w:val="20"/>
          <w:color w:val="auto"/>
        </w:rPr>
      </w:pPr>
      <w:r>
        <w:rPr>
          <w:rFonts w:ascii="Arial" w:cs="Arial" w:eastAsia="Arial" w:hAnsi="Arial"/>
          <w:sz w:val="17"/>
          <w:szCs w:val="17"/>
          <w:b w:val="1"/>
          <w:bCs w:val="1"/>
          <w:i w:val="1"/>
          <w:iCs w:val="1"/>
          <w:color w:val="auto"/>
        </w:rPr>
        <w:t xml:space="preserve">Christoph Lengauer, Ph.D. </w:t>
      </w:r>
      <w:r>
        <w:rPr>
          <w:rFonts w:ascii="Arial" w:cs="Arial" w:eastAsia="Arial" w:hAnsi="Arial"/>
          <w:sz w:val="17"/>
          <w:szCs w:val="17"/>
          <w:color w:val="auto"/>
        </w:rPr>
        <w:t>has served as our Chief Scientific Officer since January 2012. Prior to joining us, Dr. Lengauer was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Global Head of Oncology Drug Discovery and Pre-Clinical Development at Sanofi S.A., a multinational pharmaceutical company, from May 2008 to January 2012. Dr. Lengauer has served as an adjunct associate professor of oncology at the Sidney Kimmel Comprehensive Cancer Center at Johns Hopkins University since 2005. Dr. Lengauer received an M.Sc. from the University of Salzburg, Austria, a Ph.D. in biology from the University of Heidelberg, Germany, and an M.B.A. in medical services management from The Johns Hopkins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Non-Management Directors</w:t>
      </w:r>
    </w:p>
    <w:p>
      <w:pPr>
        <w:spacing w:after="0" w:line="211" w:lineRule="exact"/>
        <w:rPr>
          <w:sz w:val="20"/>
          <w:szCs w:val="20"/>
          <w:color w:val="auto"/>
        </w:rPr>
      </w:pPr>
    </w:p>
    <w:p>
      <w:pPr>
        <w:ind w:firstLine="473"/>
        <w:spacing w:after="0" w:line="246" w:lineRule="auto"/>
        <w:rPr>
          <w:sz w:val="20"/>
          <w:szCs w:val="20"/>
          <w:color w:val="auto"/>
        </w:rPr>
      </w:pPr>
      <w:r>
        <w:rPr>
          <w:rFonts w:ascii="Arial" w:cs="Arial" w:eastAsia="Arial" w:hAnsi="Arial"/>
          <w:sz w:val="17"/>
          <w:szCs w:val="17"/>
          <w:b w:val="1"/>
          <w:bCs w:val="1"/>
          <w:i w:val="1"/>
          <w:iCs w:val="1"/>
          <w:color w:val="auto"/>
        </w:rPr>
        <w:t xml:space="preserve">Daniel S. Lynch </w:t>
      </w:r>
      <w:r>
        <w:rPr>
          <w:rFonts w:ascii="Arial" w:cs="Arial" w:eastAsia="Arial" w:hAnsi="Arial"/>
          <w:sz w:val="17"/>
          <w:szCs w:val="17"/>
          <w:color w:val="auto"/>
        </w:rPr>
        <w:t>has served as Executive Chairman of our board of directors since September 2012. Mr. Lynch has served as a venture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Third Rock Ventures, or Third Rock, a life sciences venture capital firm focused on the formation, development and strategy of new companies, since May 2013 and as an entrepreneur-in-residence from May 2011 to May 2013. Since 2005, Mr. Lynch has served on the boards of directors of several life sciences companies, including on the board of directors of BIND Therapeutics, Inc. since 2012, on the board of directors of bluebird bio, Inc. since 2011, and on the board of directors of U.S. Oncology, Inc. from 2005 to 2010. Prior to that,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180" w:lineRule="exact"/>
        <w:rPr>
          <w:sz w:val="20"/>
          <w:szCs w:val="20"/>
          <w:color w:val="auto"/>
        </w:rPr>
      </w:pPr>
    </w:p>
    <w:p>
      <w:pPr>
        <w:ind w:right="100" w:firstLine="473"/>
        <w:spacing w:after="0" w:line="245" w:lineRule="auto"/>
        <w:rPr>
          <w:sz w:val="20"/>
          <w:szCs w:val="20"/>
          <w:color w:val="auto"/>
        </w:rPr>
      </w:pPr>
      <w:r>
        <w:rPr>
          <w:rFonts w:ascii="Arial" w:cs="Arial" w:eastAsia="Arial" w:hAnsi="Arial"/>
          <w:sz w:val="17"/>
          <w:szCs w:val="17"/>
          <w:b w:val="1"/>
          <w:bCs w:val="1"/>
          <w:i w:val="1"/>
          <w:iCs w:val="1"/>
          <w:color w:val="auto"/>
        </w:rPr>
        <w:t xml:space="preserve">Alexis Borisy </w:t>
      </w:r>
      <w:r>
        <w:rPr>
          <w:rFonts w:ascii="Arial" w:cs="Arial" w:eastAsia="Arial" w:hAnsi="Arial"/>
          <w:sz w:val="17"/>
          <w:szCs w:val="17"/>
          <w:color w:val="auto"/>
        </w:rPr>
        <w:t>has served as a member of our board of directors since April 2011. Mr. Borisy co-founded Blueprint Medicines and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Chief Executive Officer from May 2013 through July 2014. Since 2010, Mr. Borisy has been a partner at Third Rock. In addition, since 2011, Mr. Borisy has served as executive chairman of Warp Drive Bio, LLC, a life sciences company focusing on genomics where he served as chief executive officer from 2011 to July 2013. From 2007 to 2012, Mr. Borisy served as chairman of FORMA Therapeutics, Inc., a life science company focused on targeting cancers for treatment. Mr. Borisy co-founded Foundation Medicine, Inc. and served as its interim Chief Executive Officer from 2009 to 2011. Mr. Borisy holds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184" w:lineRule="exact"/>
        <w:rPr>
          <w:sz w:val="20"/>
          <w:szCs w:val="20"/>
          <w:color w:val="auto"/>
        </w:rPr>
      </w:pPr>
    </w:p>
    <w:p>
      <w:pPr>
        <w:jc w:val="both"/>
        <w:ind w:right="20" w:firstLine="473"/>
        <w:spacing w:after="0" w:line="259" w:lineRule="auto"/>
        <w:rPr>
          <w:sz w:val="20"/>
          <w:szCs w:val="20"/>
          <w:color w:val="auto"/>
        </w:rPr>
      </w:pPr>
      <w:r>
        <w:rPr>
          <w:rFonts w:ascii="Arial" w:cs="Arial" w:eastAsia="Arial" w:hAnsi="Arial"/>
          <w:sz w:val="17"/>
          <w:szCs w:val="17"/>
          <w:b w:val="1"/>
          <w:bCs w:val="1"/>
          <w:i w:val="1"/>
          <w:iCs w:val="1"/>
          <w:color w:val="auto"/>
        </w:rPr>
        <w:t xml:space="preserve">George D. Demetri, M.D. </w:t>
      </w:r>
      <w:r>
        <w:rPr>
          <w:rFonts w:ascii="Arial" w:cs="Arial" w:eastAsia="Arial" w:hAnsi="Arial"/>
          <w:sz w:val="17"/>
          <w:szCs w:val="17"/>
          <w:color w:val="auto"/>
        </w:rPr>
        <w:t>has served as a member of our board of directors since December 2014. Since 1988, he has served as a Professor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Medicine at Harvard Medical School and as an academic medical oncologist at the Dana-Farber Cancer Institute, or Dana-Farber, and Harvard Medical School. Dr. Demetri's research and clinical interests have centered on mechanism-based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drug development for solid tumors, with a particular emphasis on molecularly-defined subsets of sarcomas such as gastrointestinal stromal tumours.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he also serves on the Medical Advisory Board of ASCO's CancerNet as well as CancerCommons.org. He received an A.B. in biochemistry from Harvard College and his M.D. from Stanford University School of Medicine. We believe that Dr. Demetri's more than 25 years of experience as an oncologist and his significant leadership experience on various scientific and editorial advisory boards qualifies him to serve as a member of our board of directors.</w:t>
      </w:r>
    </w:p>
    <w:p>
      <w:pPr>
        <w:spacing w:after="0" w:line="181" w:lineRule="exact"/>
        <w:rPr>
          <w:sz w:val="20"/>
          <w:szCs w:val="20"/>
          <w:color w:val="auto"/>
        </w:rPr>
      </w:pPr>
    </w:p>
    <w:p>
      <w:pPr>
        <w:ind w:right="80" w:firstLine="473"/>
        <w:spacing w:after="0" w:line="245" w:lineRule="auto"/>
        <w:rPr>
          <w:sz w:val="20"/>
          <w:szCs w:val="20"/>
          <w:color w:val="auto"/>
        </w:rPr>
      </w:pPr>
      <w:r>
        <w:rPr>
          <w:rFonts w:ascii="Arial" w:cs="Arial" w:eastAsia="Arial" w:hAnsi="Arial"/>
          <w:sz w:val="17"/>
          <w:szCs w:val="17"/>
          <w:b w:val="1"/>
          <w:bCs w:val="1"/>
          <w:i w:val="1"/>
          <w:iCs w:val="1"/>
          <w:color w:val="auto"/>
        </w:rPr>
        <w:t xml:space="preserve">Stephen C. Knight, M.D. </w:t>
      </w:r>
      <w:r>
        <w:rPr>
          <w:rFonts w:ascii="Arial" w:cs="Arial" w:eastAsia="Arial" w:hAnsi="Arial"/>
          <w:sz w:val="17"/>
          <w:szCs w:val="17"/>
          <w:color w:val="auto"/>
        </w:rPr>
        <w:t>has served as a member of our board of directors since March 2012. Dr. Knight is currently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Fidelity Biosciences Corp., or Fidelity, a healthcare venture firm owned by Fidelity Investments, which he joined in 2003. Prior to joining Fidelity in 2003, Dr. Knight was president and chief operating officer for EPIX Pharmaceuticals, Inc. in Cambridge, Massachusetts. Dr. Knight currently serves as chairman of the board of directors for FORUM Pharmaceuticals, Inc., a biopharmaceutical company based in Watertown, Massachusetts. Dr. Knight previously served on the boards of several public healthcare companies including FoldRx Pharmaceuticals, Inc., now a wholly-owned subsidiary of Pfizer Inc., Ironwood Pharmaceuticals, Inc. and Respivert, Ltd., which was acquired by Centocor Ortho Biotech Inc., a division of Johnson &amp; Johnson. Dr. Knight holds an M.D. from the Yale University School of Medicine, an M.B.A. from the Yale School of Organization and Management, and a B.S. in biology from Columbia University. We believe that Dr. Knight's detailed knowledge of the life sciences industry and substantial experience as member of the board of directors of numerous other life sciences companies qualifies him to serve on our board of directors.</w:t>
      </w:r>
    </w:p>
    <w:p>
      <w:pPr>
        <w:spacing w:after="0" w:line="184" w:lineRule="exact"/>
        <w:rPr>
          <w:sz w:val="20"/>
          <w:szCs w:val="20"/>
          <w:color w:val="auto"/>
        </w:rPr>
      </w:pPr>
    </w:p>
    <w:p>
      <w:pPr>
        <w:ind w:right="20" w:firstLine="473"/>
        <w:spacing w:after="0" w:line="247" w:lineRule="auto"/>
        <w:rPr>
          <w:sz w:val="20"/>
          <w:szCs w:val="20"/>
          <w:color w:val="auto"/>
        </w:rPr>
      </w:pPr>
      <w:r>
        <w:rPr>
          <w:rFonts w:ascii="Arial" w:cs="Arial" w:eastAsia="Arial" w:hAnsi="Arial"/>
          <w:sz w:val="17"/>
          <w:szCs w:val="17"/>
          <w:b w:val="1"/>
          <w:bCs w:val="1"/>
          <w:i w:val="1"/>
          <w:iCs w:val="1"/>
          <w:color w:val="auto"/>
        </w:rPr>
        <w:t xml:space="preserve">Nicholas Lydon, Ph.D. </w:t>
      </w:r>
      <w:r>
        <w:rPr>
          <w:rFonts w:ascii="Arial" w:cs="Arial" w:eastAsia="Arial" w:hAnsi="Arial"/>
          <w:sz w:val="17"/>
          <w:szCs w:val="17"/>
          <w:color w:val="auto"/>
        </w:rPr>
        <w:t>has served as a member of our board of directors since April 2011. He is a scientific founder of Blueprint Medicines.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Dr. Lydon has served as a scientific advisor and member of the board of directors of AnaptysBio Inc., a company he co-founded. From 2003 to 2011, Dr. Lydon served as a scientific advisor and member of the board of directors of Ambit Biosciences Corp., a biopharmaceutical company. From 2000 to 2002, Dr. Lydon served as vice president, small molecule drug discovery at Amgen, Inc., or Amgen. Prior to joining Amgen, in 1997</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Dr. Lydon founded Kinetix Pharmaceuticals, Inc., or Kinetix, a biotechnology company focused on the discovery and development of selective protein kinase inhibitors, which was acquired by Amgen in 2000, and served as its chief executive officer and on its board of directors. Dr. Lydon earned a B.S. in biochemistry and zoology from the University of Leeds, England, and received his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182"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b w:val="1"/>
          <w:bCs w:val="1"/>
          <w:i w:val="1"/>
          <w:iCs w:val="1"/>
          <w:color w:val="auto"/>
        </w:rPr>
        <w:t xml:space="preserve">David Schenkein, M.D. </w:t>
      </w:r>
      <w:r>
        <w:rPr>
          <w:rFonts w:ascii="Arial" w:cs="Arial" w:eastAsia="Arial" w:hAnsi="Arial"/>
          <w:sz w:val="17"/>
          <w:szCs w:val="17"/>
          <w:color w:val="auto"/>
        </w:rPr>
        <w:t>has served as a member of our board of directors since December 2012. Dr. Schenkein currently serves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Agios Pharmaceuticals, Inc., or Agios, a biopharmaceutical company, a position he has held since August 2009. From April 2006 to July 2009, Dr. Schenkein served as a senior vice president, clinical hematology/oncology development at Genetech, Inc., where he was responsible for leading the medical and scientific strategies for their bio-oncology portfolio. Prior to joining Genentech, from 2001 to 2006, he served as the senior vice president of clinical research at Millennium, overseeing the clinical development and worldwide approval of VELCADE®. Prior to joining Millennium, Dr. Schenkein spent 17 years in academic and clinical medicine as an attending physician in hematology/oncology at the Tufts-New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England Medical Center, where he was an associate professor and held the position of director of the cancer center. He currently serves as an adjunct attending physician in hematology at Tufts Medical Center and is a member of the board of directors of the Biotechnology Industry Organization, the world's largest biotechnology trade association, a position he has held since 2012. He also currently serves on the board of directors of Foundation Medicine, Inc. and bluebird bio, Inc. Dr. Schenkein holds a B.A. in chemistry from Wesleyan University and an M.D. from the State University of New York Upstate Medical School. We believe that Dr. Schenkein's medical experience as an oncologist and extensive background in the biotechnology industry, including his roles at Agios and Genentech, qualifies him to serve as a member of our board of directors.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Thilo Schroeder, Ph.D. </w:t>
      </w:r>
      <w:r>
        <w:rPr>
          <w:rFonts w:ascii="Arial" w:cs="Arial" w:eastAsia="Arial" w:hAnsi="Arial"/>
          <w:sz w:val="17"/>
          <w:szCs w:val="17"/>
          <w:color w:val="auto"/>
        </w:rPr>
        <w:t>has served as a member of our board of directors since January 2014. Since 2013, he has served as a principal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Nextech Invest Ltd., or Nextech, a global venture fund, focused on investing in oncology companies. Prior to joining Nextech, from 2007 to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Dr. Schroeder was president of SiROP Global, a web based technology company that connects universities in Europe and world-wide. Dr. Schroeder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currently serves as an observer of the board of Tracon Pharmaceuticals, a biopharmaceutical company. He received a B.Sc. in biology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Technical University of Darmstadt in Germany, an M.Sc. in biotechnology from the Ecole Supérieure de Biotechnologie de Strasbourg in France, and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Ph.D. in biochemistry from the University of Zurich in Switzerland. We believe that Dr. Schroeder's extensive experience working with various life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sciences companies as an executive and a member of the board of directors qualifies him to serve as a member of our board of directors.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Board Composition</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of February 15, 2015, our board of directors consisted of eight members, each of whom are members pursuant to the board composition provisions of our existing certificate of incorporation and Second Amended and Restated Stockholders Agreement, dated November 7, 2014,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right="20" w:firstLine="474"/>
        <w:spacing w:after="0" w:line="274"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Our board of directors has determined that all members of our board of directors, except Messrs. Albers, Borisy, Lynch</w:t>
      </w:r>
      <w:r>
        <w:rPr>
          <w:rFonts w:ascii="Arial" w:cs="Arial" w:eastAsia="Arial" w:hAnsi="Arial"/>
          <w:sz w:val="17"/>
          <w:szCs w:val="17"/>
          <w:i w:val="1"/>
          <w:iCs w:val="1"/>
          <w:color w:val="auto"/>
        </w:rPr>
        <w:t xml:space="preserve"> </w:t>
      </w:r>
      <w:r>
        <w:rPr>
          <w:rFonts w:ascii="Arial" w:cs="Arial" w:eastAsia="Arial" w:hAnsi="Arial"/>
          <w:sz w:val="17"/>
          <w:szCs w:val="17"/>
          <w:color w:val="auto"/>
        </w:rPr>
        <w:t>and Dr. Lydon, are independent directors, including for purposes of the rules of The NASDAQ Stock Market and relevant federal securities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laws and regulations. There are no family relationships among any of our directors or executive officers.</w:t>
      </w:r>
    </w:p>
    <w:p>
      <w:pPr>
        <w:spacing w:after="0" w:line="193" w:lineRule="exact"/>
        <w:rPr>
          <w:sz w:val="20"/>
          <w:szCs w:val="20"/>
          <w:color w:val="auto"/>
        </w:rPr>
      </w:pPr>
    </w:p>
    <w:p>
      <w:pPr>
        <w:ind w:right="20" w:firstLine="474"/>
        <w:spacing w:after="0" w:line="248" w:lineRule="auto"/>
        <w:rPr>
          <w:sz w:val="20"/>
          <w:szCs w:val="20"/>
          <w:color w:val="auto"/>
        </w:rPr>
      </w:pPr>
      <w:r>
        <w:rPr>
          <w:rFonts w:ascii="Arial" w:cs="Arial" w:eastAsia="Arial" w:hAnsi="Arial"/>
          <w:sz w:val="17"/>
          <w:szCs w:val="17"/>
          <w:i w:val="1"/>
          <w:iCs w:val="1"/>
          <w:color w:val="auto"/>
        </w:rPr>
        <w:t xml:space="preserve">Staggered Board. </w:t>
      </w:r>
      <w:r>
        <w:rPr>
          <w:rFonts w:ascii="Arial" w:cs="Arial" w:eastAsia="Arial" w:hAnsi="Arial"/>
          <w:sz w:val="17"/>
          <w:szCs w:val="17"/>
          <w:color w:val="auto"/>
        </w:rPr>
        <w:t>In accordance with the terms of our amended and restated certificate of incorporation and amended and restated bylaws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become effective upon the completion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196"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620" w:type="dxa"/>
            <w:vAlign w:val="bottom"/>
          </w:tcPr>
          <w:p>
            <w:pPr>
              <w:ind w:left="240"/>
              <w:spacing w:after="0"/>
              <w:rPr>
                <w:sz w:val="20"/>
                <w:szCs w:val="20"/>
                <w:color w:val="auto"/>
              </w:rPr>
            </w:pPr>
            <w:r>
              <w:rPr>
                <w:rFonts w:ascii="Arial" w:cs="Arial" w:eastAsia="Arial" w:hAnsi="Arial"/>
                <w:sz w:val="17"/>
                <w:szCs w:val="17"/>
                <w:color w:val="auto"/>
              </w:rPr>
              <w:t>Our Class I directors will be</w:t>
            </w:r>
          </w:p>
        </w:tc>
        <w:tc>
          <w:tcPr>
            <w:tcW w:w="70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5"/>
              <w:spacing w:after="0"/>
              <w:rPr>
                <w:sz w:val="20"/>
                <w:szCs w:val="20"/>
                <w:color w:val="auto"/>
              </w:rPr>
            </w:pPr>
            <w:r>
              <w:rPr>
                <w:rFonts w:ascii="Arial" w:cs="Arial" w:eastAsia="Arial" w:hAnsi="Arial"/>
                <w:sz w:val="17"/>
                <w:szCs w:val="17"/>
                <w:color w:val="auto"/>
              </w:rPr>
              <w:t>and</w:t>
            </w:r>
          </w:p>
        </w:tc>
        <w:tc>
          <w:tcPr>
            <w:tcW w:w="800" w:type="dxa"/>
            <w:vAlign w:val="bottom"/>
          </w:tcPr>
          <w:p>
            <w:pPr>
              <w:jc w:val="right"/>
              <w:ind w:right="575"/>
              <w:spacing w:after="0"/>
              <w:rPr>
                <w:sz w:val="20"/>
                <w:szCs w:val="20"/>
                <w:color w:val="auto"/>
              </w:rPr>
            </w:pPr>
            <w:r>
              <w:rPr>
                <w:rFonts w:ascii="Arial" w:cs="Arial" w:eastAsia="Arial" w:hAnsi="Arial"/>
                <w:sz w:val="17"/>
                <w:szCs w:val="17"/>
                <w:color w:val="auto"/>
              </w:rPr>
              <w:t>;</w:t>
            </w:r>
          </w:p>
        </w:tc>
      </w:tr>
      <w:tr>
        <w:trPr>
          <w:trHeight w:val="40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620" w:type="dxa"/>
            <w:vAlign w:val="bottom"/>
          </w:tcPr>
          <w:p>
            <w:pPr>
              <w:ind w:left="240"/>
              <w:spacing w:after="0"/>
              <w:rPr>
                <w:sz w:val="20"/>
                <w:szCs w:val="20"/>
                <w:color w:val="auto"/>
              </w:rPr>
            </w:pPr>
            <w:r>
              <w:rPr>
                <w:rFonts w:ascii="Arial" w:cs="Arial" w:eastAsia="Arial" w:hAnsi="Arial"/>
                <w:sz w:val="17"/>
                <w:szCs w:val="17"/>
                <w:color w:val="auto"/>
              </w:rPr>
              <w:t>Our Class II directors will be</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and</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 and</w:t>
            </w:r>
          </w:p>
        </w:tc>
        <w:tc>
          <w:tcPr>
            <w:tcW w:w="800" w:type="dxa"/>
            <w:vAlign w:val="bottom"/>
          </w:tcPr>
          <w:p>
            <w:pPr>
              <w:jc w:val="right"/>
              <w:spacing w:after="0"/>
              <w:rPr>
                <w:sz w:val="20"/>
                <w:szCs w:val="20"/>
                <w:color w:val="auto"/>
              </w:rPr>
            </w:pPr>
            <w:r>
              <w:rPr>
                <w:rFonts w:ascii="Arial" w:cs="Arial" w:eastAsia="Arial" w:hAnsi="Arial"/>
                <w:sz w:val="17"/>
                <w:szCs w:val="17"/>
                <w:color w:val="auto"/>
              </w:rPr>
              <w:t>; and</w:t>
            </w:r>
          </w:p>
        </w:tc>
      </w:tr>
      <w:tr>
        <w:trPr>
          <w:trHeight w:val="393"/>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620" w:type="dxa"/>
            <w:vAlign w:val="bottom"/>
          </w:tcPr>
          <w:p>
            <w:pPr>
              <w:ind w:left="240"/>
              <w:spacing w:after="0"/>
              <w:rPr>
                <w:sz w:val="20"/>
                <w:szCs w:val="20"/>
                <w:color w:val="auto"/>
              </w:rPr>
            </w:pPr>
            <w:r>
              <w:rPr>
                <w:rFonts w:ascii="Arial" w:cs="Arial" w:eastAsia="Arial" w:hAnsi="Arial"/>
                <w:sz w:val="17"/>
                <w:szCs w:val="17"/>
                <w:color w:val="auto"/>
              </w:rPr>
              <w:t>Our Class III directors will be</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and</w:t>
            </w:r>
          </w:p>
        </w:tc>
        <w:tc>
          <w:tcPr>
            <w:tcW w:w="8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4"/>
                <w:szCs w:val="24"/>
                <w:color w:val="auto"/>
              </w:rPr>
            </w:pPr>
          </w:p>
        </w:tc>
      </w:tr>
    </w:tbl>
    <w:p>
      <w:pPr>
        <w:spacing w:after="0" w:line="202"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99" w:lineRule="exact"/>
        <w:rPr>
          <w:sz w:val="20"/>
          <w:szCs w:val="20"/>
          <w:color w:val="auto"/>
        </w:rPr>
      </w:pPr>
    </w:p>
    <w:p>
      <w:pPr>
        <w:ind w:right="480" w:firstLine="47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Board Committees</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Our board of directors plans on established three standing committees: an audit committee, a compensation committee and a nominating and corporate governance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SEC rules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Effective upon completion of this offering, our audit committee will be comprised of , and , with serving as chairman of the committee. Our board of directors has determined that , and meet the independence requirements of Rule 10A-3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the Exchange Act and the applicable NASDAQ Stock Market rules, and have sufficient knowledge in financial and auditing matters to serve on</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audit committee. Our board of directors has determined that is an "audit committee financial expert" within the meaning of the SEC regulations and the applicable rules of The NASDAQ Stock Market. The audit committee's responsibilities upon completion of this offering will include:</w:t>
      </w:r>
    </w:p>
    <w:p>
      <w:pPr>
        <w:spacing w:after="0" w:line="193"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10"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179"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42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197" w:lineRule="exact"/>
        <w:rPr>
          <w:rFonts w:ascii="Arial" w:cs="Arial" w:eastAsia="Arial" w:hAnsi="Arial"/>
          <w:sz w:val="17"/>
          <w:szCs w:val="17"/>
          <w:color w:val="auto"/>
        </w:rPr>
      </w:pPr>
    </w:p>
    <w:p>
      <w:pPr>
        <w:ind w:left="1060" w:right="52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92" w:lineRule="exact"/>
        <w:rPr>
          <w:rFonts w:ascii="Arial" w:cs="Arial" w:eastAsia="Arial" w:hAnsi="Arial"/>
          <w:sz w:val="17"/>
          <w:szCs w:val="17"/>
          <w:color w:val="auto"/>
        </w:rPr>
      </w:pPr>
    </w:p>
    <w:p>
      <w:pPr>
        <w:ind w:left="1060" w:right="58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all related party transactions for potential conflict of interest situations and approving all such transactions;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quarterly earnings releases and scripts.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jc w:val="both"/>
        <w:ind w:right="120" w:firstLine="474"/>
        <w:spacing w:after="0" w:line="246" w:lineRule="auto"/>
        <w:rPr>
          <w:sz w:val="20"/>
          <w:szCs w:val="20"/>
          <w:color w:val="auto"/>
        </w:rPr>
      </w:pPr>
      <w:r>
        <w:rPr>
          <w:rFonts w:ascii="Arial" w:cs="Arial" w:eastAsia="Arial" w:hAnsi="Arial"/>
          <w:sz w:val="17"/>
          <w:szCs w:val="17"/>
          <w:color w:val="auto"/>
        </w:rPr>
        <w:t>Effective upon completion of this offering, our compensation committee will be composed of , and , with serving as chairman of the committee. Our board of directors has determined each member of the compensation committee is "independent" as defined in the rules of the NASDAQ Stock Market. The compensation committee's responsibilities upon completion of this offering will include:</w:t>
      </w:r>
    </w:p>
    <w:p>
      <w:pPr>
        <w:spacing w:after="0" w:line="199"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our chief executive officer;</w:t>
      </w:r>
    </w:p>
    <w:p>
      <w:pPr>
        <w:spacing w:after="0" w:line="197" w:lineRule="exact"/>
        <w:rPr>
          <w:rFonts w:ascii="Arial" w:cs="Arial" w:eastAsia="Arial" w:hAnsi="Arial"/>
          <w:sz w:val="17"/>
          <w:szCs w:val="17"/>
          <w:color w:val="auto"/>
        </w:rPr>
      </w:pPr>
    </w:p>
    <w:p>
      <w:pPr>
        <w:ind w:left="1060" w:right="108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determining the compensation of our chief executive officer;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to be included in our annual proxy statement or Annual Report on Form 10-K;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the chief executive officer and other key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gridSpan w:val="3"/>
          </w:tcPr>
          <w:p>
            <w:pPr>
              <w:jc w:val="right"/>
              <w:ind w:right="215"/>
              <w:spacing w:after="0"/>
              <w:rPr>
                <w:sz w:val="20"/>
                <w:szCs w:val="20"/>
                <w:color w:val="auto"/>
              </w:rPr>
            </w:pPr>
            <w:r>
              <w:rPr>
                <w:rFonts w:ascii="Arial" w:cs="Arial" w:eastAsia="Arial" w:hAnsi="Arial"/>
                <w:sz w:val="17"/>
                <w:szCs w:val="17"/>
                <w:color w:val="auto"/>
              </w:rPr>
              <w:t>Effective upon completion of this offering, our nominating and corporate governance committee will be composed of</w:t>
            </w:r>
          </w:p>
        </w:tc>
        <w:tc>
          <w:tcPr>
            <w:tcW w:w="1940" w:type="dxa"/>
            <w:vAlign w:val="bottom"/>
          </w:tcPr>
          <w:p>
            <w:pPr>
              <w:jc w:val="right"/>
              <w:ind w:right="1495"/>
              <w:spacing w:after="0"/>
              <w:rPr>
                <w:sz w:val="20"/>
                <w:szCs w:val="20"/>
                <w:color w:val="auto"/>
              </w:rPr>
            </w:pPr>
            <w:r>
              <w:rPr>
                <w:rFonts w:ascii="Arial" w:cs="Arial" w:eastAsia="Arial" w:hAnsi="Arial"/>
                <w:sz w:val="17"/>
                <w:szCs w:val="17"/>
                <w:color w:val="auto"/>
              </w:rPr>
              <w:t>,</w:t>
            </w:r>
          </w:p>
        </w:tc>
      </w:tr>
      <w:tr>
        <w:trPr>
          <w:trHeight w:val="204"/>
        </w:trPr>
        <w:tc>
          <w:tcPr>
            <w:tcW w:w="1220" w:type="dxa"/>
            <w:vAlign w:val="bottom"/>
          </w:tcPr>
          <w:p>
            <w:pPr>
              <w:ind w:left="620"/>
              <w:spacing w:after="0"/>
              <w:rPr>
                <w:sz w:val="20"/>
                <w:szCs w:val="20"/>
                <w:color w:val="auto"/>
              </w:rPr>
            </w:pPr>
            <w:r>
              <w:rPr>
                <w:rFonts w:ascii="Arial" w:cs="Arial" w:eastAsia="Arial" w:hAnsi="Arial"/>
                <w:sz w:val="17"/>
                <w:szCs w:val="17"/>
                <w:color w:val="auto"/>
              </w:rPr>
              <w:t>and</w:t>
            </w:r>
          </w:p>
        </w:tc>
        <w:tc>
          <w:tcPr>
            <w:tcW w:w="1120" w:type="dxa"/>
            <w:vAlign w:val="bottom"/>
          </w:tcPr>
          <w:p>
            <w:pPr>
              <w:ind w:left="300"/>
              <w:spacing w:after="0"/>
              <w:rPr>
                <w:sz w:val="20"/>
                <w:szCs w:val="20"/>
                <w:color w:val="auto"/>
              </w:rPr>
            </w:pPr>
            <w:r>
              <w:rPr>
                <w:rFonts w:ascii="Arial" w:cs="Arial" w:eastAsia="Arial" w:hAnsi="Arial"/>
                <w:sz w:val="17"/>
                <w:szCs w:val="17"/>
                <w:color w:val="auto"/>
              </w:rPr>
              <w:t>, with</w:t>
            </w:r>
          </w:p>
        </w:tc>
        <w:tc>
          <w:tcPr>
            <w:tcW w:w="7140" w:type="dxa"/>
            <w:vAlign w:val="bottom"/>
          </w:tcPr>
          <w:p>
            <w:pPr>
              <w:jc w:val="right"/>
              <w:ind w:right="4915"/>
              <w:spacing w:after="0"/>
              <w:rPr>
                <w:sz w:val="20"/>
                <w:szCs w:val="20"/>
                <w:color w:val="auto"/>
              </w:rPr>
            </w:pPr>
            <w:r>
              <w:rPr>
                <w:rFonts w:ascii="Arial" w:cs="Arial" w:eastAsia="Arial" w:hAnsi="Arial"/>
                <w:sz w:val="17"/>
                <w:szCs w:val="17"/>
                <w:color w:val="auto"/>
              </w:rPr>
              <w:t>serving as chairman of</w:t>
            </w:r>
          </w:p>
        </w:tc>
        <w:tc>
          <w:tcPr>
            <w:tcW w:w="1940" w:type="dxa"/>
            <w:vAlign w:val="bottom"/>
          </w:tcPr>
          <w:p>
            <w:pPr>
              <w:spacing w:after="0"/>
              <w:rPr>
                <w:sz w:val="17"/>
                <w:szCs w:val="17"/>
                <w:color w:val="auto"/>
              </w:rPr>
            </w:pPr>
          </w:p>
        </w:tc>
      </w:tr>
      <w:tr>
        <w:trPr>
          <w:trHeight w:val="406"/>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40" w:type="dxa"/>
            <w:vAlign w:val="bottom"/>
          </w:tcPr>
          <w:p>
            <w:pPr>
              <w:jc w:val="right"/>
              <w:ind w:right="3535"/>
              <w:spacing w:after="0"/>
              <w:rPr>
                <w:sz w:val="20"/>
                <w:szCs w:val="20"/>
                <w:color w:val="auto"/>
              </w:rPr>
            </w:pPr>
            <w:r>
              <w:rPr>
                <w:rFonts w:ascii="Arial" w:cs="Arial" w:eastAsia="Arial" w:hAnsi="Arial"/>
                <w:sz w:val="17"/>
                <w:szCs w:val="17"/>
                <w:color w:val="auto"/>
              </w:rPr>
              <w:t>124</w:t>
            </w:r>
          </w:p>
        </w:tc>
        <w:tc>
          <w:tcPr>
            <w:tcW w:w="1940" w:type="dxa"/>
            <w:vAlign w:val="bottom"/>
          </w:tcPr>
          <w:p>
            <w:pPr>
              <w:spacing w:after="0"/>
              <w:rPr>
                <w:sz w:val="24"/>
                <w:szCs w:val="24"/>
                <w:color w:val="auto"/>
              </w:rPr>
            </w:pPr>
          </w:p>
        </w:tc>
      </w:tr>
      <w:tr>
        <w:trPr>
          <w:trHeight w:val="209"/>
        </w:trPr>
        <w:tc>
          <w:tcPr>
            <w:tcW w:w="12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 committee. Our board of directors has determined that each member of the nominating and corporate governance committee is "independent" as defined in the applicable rules of the NASDAQ Stock Market. The nominating and corporate governance committee's responsibilities upon completion of this offering will include:</w:t>
      </w:r>
    </w:p>
    <w:p>
      <w:pPr>
        <w:spacing w:after="0" w:line="199"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shareholders;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guidelines;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establish other committees from time to time.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Leadership Structure and Risk Oversight</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Our board of directors is currently chaired by Mr. Lynch. 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As such, Mr. Albers serves as our president and chief executive officer while Mr. Lynch serves as our chairman of the board of directors but is not an officer.</w:t>
      </w:r>
    </w:p>
    <w:p>
      <w:pPr>
        <w:spacing w:after="0" w:line="198"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Each of our board committees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of any entity that has one or more executive officers serving on our board of directors or compensation committee. For a description of transactions between us and members of our compensation committee and affiliates of such members, please see "Certain Relationships and Related Party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www.blueprintmedicines.com. We intend to disclose any amendments to the code, or any waivers of its requirements, on our website or in a Current Report on Form 8-K.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jc w:val="both"/>
        <w:ind w:right="220" w:firstLine="470"/>
        <w:spacing w:after="0" w:line="246" w:lineRule="auto"/>
        <w:rPr>
          <w:sz w:val="20"/>
          <w:szCs w:val="20"/>
          <w:color w:val="auto"/>
        </w:rPr>
      </w:pPr>
      <w:r>
        <w:rPr>
          <w:rFonts w:ascii="Arial" w:cs="Arial" w:eastAsia="Arial" w:hAnsi="Arial"/>
          <w:sz w:val="17"/>
          <w:szCs w:val="17"/>
          <w:color w:val="auto"/>
        </w:rPr>
        <w:t>The following table sets forth the compensation paid or accrued during the fiscal year ended December 31, 2014 to our chief executive officer, our interim chief executive officer and our next two highest-paid executive officers as of December 31, 2014. We refer to these officers as our named executive officers.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right"/>
              <w:ind w:right="410"/>
              <w:spacing w:after="0" w:line="157"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Salary</w:t>
            </w:r>
          </w:p>
        </w:tc>
        <w:tc>
          <w:tcPr>
            <w:tcW w:w="8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90"/>
              <w:spacing w:after="0" w:line="157" w:lineRule="exact"/>
              <w:rPr>
                <w:sz w:val="20"/>
                <w:szCs w:val="20"/>
                <w:color w:val="auto"/>
              </w:rPr>
            </w:pPr>
            <w:r>
              <w:rPr>
                <w:rFonts w:ascii="Arial" w:cs="Arial" w:eastAsia="Arial" w:hAnsi="Arial"/>
                <w:sz w:val="14"/>
                <w:szCs w:val="14"/>
                <w:b w:val="1"/>
                <w:bCs w:val="1"/>
                <w:color w:val="auto"/>
              </w:rPr>
              <w:t>Awards(2)</w:t>
            </w:r>
          </w:p>
        </w:tc>
        <w:tc>
          <w:tcPr>
            <w:tcW w:w="12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3"/>
          </w:tcPr>
          <w:p>
            <w:pPr>
              <w:jc w:val="center"/>
              <w:ind w:right="3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0"/>
        </w:trPr>
        <w:tc>
          <w:tcPr>
            <w:tcW w:w="194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Jeffrey W. Albers(3)</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w w:val="94"/>
              </w:rPr>
              <w:t>169,231</w:t>
            </w:r>
          </w:p>
        </w:tc>
        <w:tc>
          <w:tcPr>
            <w:tcW w:w="84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w w:val="98"/>
              </w:rPr>
              <w:t>141,986</w:t>
            </w:r>
          </w:p>
        </w:tc>
        <w:tc>
          <w:tcPr>
            <w:tcW w:w="1040" w:type="dxa"/>
            <w:vAlign w:val="bottom"/>
            <w:gridSpan w:val="2"/>
            <w:shd w:val="clear" w:color="auto" w:fill="CCEEFF"/>
          </w:tcPr>
          <w:p>
            <w:pPr>
              <w:jc w:val="right"/>
              <w:ind w:right="130"/>
              <w:spacing w:after="0" w:line="151" w:lineRule="exact"/>
              <w:rPr>
                <w:sz w:val="20"/>
                <w:szCs w:val="20"/>
                <w:color w:val="auto"/>
              </w:rPr>
            </w:pPr>
            <w:r>
              <w:rPr>
                <w:rFonts w:ascii="Arial" w:cs="Arial" w:eastAsia="Arial" w:hAnsi="Arial"/>
                <w:sz w:val="14"/>
                <w:szCs w:val="14"/>
                <w:color w:val="auto"/>
              </w:rPr>
              <w:t>2,060,939</w:t>
            </w:r>
          </w:p>
        </w:tc>
        <w:tc>
          <w:tcPr>
            <w:tcW w:w="1200" w:type="dxa"/>
            <w:vAlign w:val="bottom"/>
            <w:gridSpan w:val="2"/>
            <w:shd w:val="clear" w:color="auto" w:fill="CCEEFF"/>
          </w:tcPr>
          <w:p>
            <w:pPr>
              <w:ind w:left="860"/>
              <w:spacing w:after="0" w:line="151"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2,372,156</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Executive Officer and President</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Alexis Borisy(4)</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360" w:type="dxa"/>
            <w:vAlign w:val="bottom"/>
          </w:tcPr>
          <w:p>
            <w:pPr>
              <w:jc w:val="right"/>
              <w:ind w:right="130"/>
              <w:spacing w:after="0" w:line="148" w:lineRule="exact"/>
              <w:rPr>
                <w:sz w:val="20"/>
                <w:szCs w:val="20"/>
                <w:color w:val="auto"/>
              </w:rPr>
            </w:pPr>
            <w:r>
              <w:rPr>
                <w:rFonts w:ascii="Arial" w:cs="Arial" w:eastAsia="Arial" w:hAnsi="Arial"/>
                <w:sz w:val="14"/>
                <w:szCs w:val="14"/>
                <w:color w:val="auto"/>
                <w:w w:val="99"/>
              </w:rPr>
              <w:t>—</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jc w:val="right"/>
              <w:ind w:right="70"/>
              <w:spacing w:after="0" w:line="148"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Interim Chief Executive Officer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Kyle D. Kuvalanka</w:t>
            </w:r>
          </w:p>
        </w:tc>
        <w:tc>
          <w:tcPr>
            <w:tcW w:w="840" w:type="dxa"/>
            <w:vAlign w:val="bottom"/>
            <w:gridSpan w:val="3"/>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w w:val="94"/>
              </w:rPr>
              <w:t>330,000</w:t>
            </w:r>
          </w:p>
        </w:tc>
        <w:tc>
          <w:tcPr>
            <w:tcW w:w="84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82,500</w:t>
            </w:r>
          </w:p>
        </w:tc>
        <w:tc>
          <w:tcPr>
            <w:tcW w:w="1040" w:type="dxa"/>
            <w:vAlign w:val="bottom"/>
            <w:gridSpan w:val="2"/>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52,405</w:t>
            </w:r>
          </w:p>
        </w:tc>
        <w:tc>
          <w:tcPr>
            <w:tcW w:w="1200" w:type="dxa"/>
            <w:vAlign w:val="bottom"/>
            <w:gridSpan w:val="2"/>
            <w:shd w:val="clear" w:color="auto" w:fill="CCEEFF"/>
          </w:tcPr>
          <w:p>
            <w:pPr>
              <w:ind w:left="86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464,905</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Business Officer</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Christoph Lengauer, Ph.D.</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w w:val="94"/>
              </w:rPr>
              <w:t>400,000</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w w:val="98"/>
              </w:rPr>
              <w:t>120,000</w:t>
            </w:r>
          </w:p>
        </w:tc>
        <w:tc>
          <w:tcPr>
            <w:tcW w:w="1040" w:type="dxa"/>
            <w:vAlign w:val="bottom"/>
            <w:gridSpan w:val="2"/>
          </w:tcPr>
          <w:p>
            <w:pPr>
              <w:jc w:val="right"/>
              <w:ind w:right="130"/>
              <w:spacing w:after="0" w:line="148" w:lineRule="exact"/>
              <w:rPr>
                <w:sz w:val="20"/>
                <w:szCs w:val="20"/>
                <w:color w:val="auto"/>
              </w:rPr>
            </w:pPr>
            <w:r>
              <w:rPr>
                <w:rFonts w:ascii="Arial" w:cs="Arial" w:eastAsia="Arial" w:hAnsi="Arial"/>
                <w:sz w:val="14"/>
                <w:szCs w:val="14"/>
                <w:color w:val="auto"/>
              </w:rPr>
              <w:t>104,809</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70"/>
              <w:spacing w:after="0" w:line="148" w:lineRule="exact"/>
              <w:rPr>
                <w:sz w:val="20"/>
                <w:szCs w:val="20"/>
                <w:color w:val="auto"/>
              </w:rPr>
            </w:pPr>
            <w:r>
              <w:rPr>
                <w:rFonts w:ascii="Arial" w:cs="Arial" w:eastAsia="Arial" w:hAnsi="Arial"/>
                <w:sz w:val="14"/>
                <w:szCs w:val="14"/>
                <w:color w:val="auto"/>
              </w:rPr>
              <w:t>624,809</w:t>
            </w:r>
          </w:p>
        </w:tc>
      </w:tr>
      <w:tr>
        <w:trPr>
          <w:trHeight w:val="182"/>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Chief Scientific Officer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89"/>
        </w:trPr>
        <w:tc>
          <w:tcPr>
            <w:tcW w:w="64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214" w:lineRule="exact"/>
        <w:rPr>
          <w:sz w:val="20"/>
          <w:szCs w:val="20"/>
          <w:color w:val="auto"/>
        </w:rPr>
      </w:pPr>
    </w:p>
    <w:p>
      <w:pPr>
        <w:ind w:left="1680" w:right="20" w:hanging="533"/>
        <w:spacing w:after="0" w:line="245"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represent cash bonuses earned for the 12-month period from January 1, 2014 to December 31, 2014 and exclude payments made in 2014 for 2013 bonuses. For Mr. Albers, this amount also includes a $75,000 sign-on bonus paid to him when he commenced employment with us.</w:t>
      </w:r>
    </w:p>
    <w:p>
      <w:pPr>
        <w:spacing w:after="0" w:line="143" w:lineRule="exact"/>
        <w:rPr>
          <w:rFonts w:ascii="Arial" w:cs="Arial" w:eastAsia="Arial" w:hAnsi="Arial"/>
          <w:sz w:val="14"/>
          <w:szCs w:val="14"/>
          <w:color w:val="auto"/>
        </w:rPr>
      </w:pPr>
    </w:p>
    <w:p>
      <w:pPr>
        <w:ind w:left="1680" w:hanging="533"/>
        <w:spacing w:after="0" w:line="237"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represent the aggregate grant-date fair value of option awards granted to our named executive officers in 2014 computed in accordance with FASB ASC Topic 718. The assumptions used in the valuation of these awards are consistent with the valuation methodologies specified in the notes to our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148" w:lineRule="exact"/>
        <w:rPr>
          <w:rFonts w:ascii="Arial" w:cs="Arial" w:eastAsia="Arial" w:hAnsi="Arial"/>
          <w:sz w:val="14"/>
          <w:szCs w:val="14"/>
          <w:color w:val="auto"/>
        </w:rPr>
      </w:pPr>
    </w:p>
    <w:p>
      <w:pPr>
        <w:ind w:left="1680" w:hanging="533"/>
        <w:spacing w:after="0"/>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Albers became our Chief Executive Officer and President in July 2014. Amounts shown represent compensation earned by Mr. Albers since July 2014.</w:t>
      </w:r>
    </w:p>
    <w:p>
      <w:pPr>
        <w:spacing w:after="0" w:line="153" w:lineRule="exact"/>
        <w:rPr>
          <w:rFonts w:ascii="Arial" w:cs="Arial" w:eastAsia="Arial" w:hAnsi="Arial"/>
          <w:sz w:val="14"/>
          <w:szCs w:val="14"/>
          <w:color w:val="auto"/>
        </w:rPr>
      </w:pPr>
    </w:p>
    <w:p>
      <w:pPr>
        <w:jc w:val="both"/>
        <w:ind w:left="1680" w:right="180" w:hanging="533"/>
        <w:spacing w:after="0"/>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Borisy served as Interim Chief Executive Officer from May 2013 to July 2014. Pursuant to our arrangement with Third Rock Ventures, LLC, we incurred consulting fees to Third Rock Ventures, LLC for Mr. Borisy's services as interim Chief Executive Officer. None of these consulting fees were paid directly to Mr. Borisy.</w:t>
      </w:r>
    </w:p>
    <w:p>
      <w:pPr>
        <w:spacing w:after="0" w:line="37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We have entered into an offer letter agreement with each of the named executive officers in connection with their employment with us. Except as noted below, these offer letters provide for "at will" employment and were each subject to execution of our standard confidential information and invention assignment agreement.</w:t>
      </w:r>
    </w:p>
    <w:p>
      <w:pPr>
        <w:spacing w:after="0" w:line="179" w:lineRule="exact"/>
        <w:rPr>
          <w:sz w:val="20"/>
          <w:szCs w:val="20"/>
          <w:color w:val="auto"/>
        </w:rPr>
      </w:pPr>
    </w:p>
    <w:p>
      <w:pPr>
        <w:ind w:right="80" w:firstLine="474"/>
        <w:spacing w:after="0" w:line="247"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We entered into a letter agreement with Mr. Albers on May 29, 2014, and he assumed the role of Chief Executive Officer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2014. The agreement entitles Mr. Albers to an initial base salary of $375,000 and eligibility to participate in our bonus pool with a target bonus of 40% of his base salary, with the actual bonus earned based upon the achievement of corporate and individual goals, all as determined by the Board in its discretion. Under the agreement, we agreed to pay Mr. Albers a one-time sign-on bonus of $75,000, reflecting his 12 month commitment to the Company, which was paid in 2014 and which must be repaid if he is terminated by the Company for "cause" within one year of commencing employment. We agreed to make an equity award to Mr. Albers in the form of options to purchase 3,156,700 shares of our common stock with an exercise price equal to the fair market value of our common stock on the day of the option grant,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with such options vesting on the terms set forth in the applicable option agreements with Mr. Albers. This amount represented approximately 4% of our shares on a fully-diluted basis. Pursuant to his letter agreement, Mr. Albers is entitled to 12 months of base salary as severance in the event we terminate his employment without Cause or Mr. Albers terminates his employment for Good Reason (each as defined in the letter agreement), subject to his executing a release of claims in our favor. In addition, in the event Mr. Albers' employment is terminated by us without Cause or by Mr. Albers for Good Reason within 12 months following a change in control, all stock options and other stock based awards held by Mr. Albers will vest and become exercisable and nonforfeitable.</w:t>
      </w:r>
    </w:p>
    <w:p>
      <w:pPr>
        <w:spacing w:after="0" w:line="182" w:lineRule="exact"/>
        <w:rPr>
          <w:sz w:val="20"/>
          <w:szCs w:val="20"/>
          <w:color w:val="auto"/>
        </w:rPr>
      </w:pPr>
    </w:p>
    <w:p>
      <w:pPr>
        <w:ind w:left="480"/>
        <w:spacing w:after="0"/>
        <w:tabs>
          <w:tab w:leader="none" w:pos="1960" w:val="left"/>
        </w:tabs>
        <w:rPr>
          <w:sz w:val="20"/>
          <w:szCs w:val="20"/>
          <w:color w:val="auto"/>
        </w:rPr>
      </w:pPr>
      <w:r>
        <w:rPr>
          <w:rFonts w:ascii="Arial" w:cs="Arial" w:eastAsia="Arial" w:hAnsi="Arial"/>
          <w:sz w:val="17"/>
          <w:szCs w:val="17"/>
          <w:b w:val="1"/>
          <w:bCs w:val="1"/>
          <w:i w:val="1"/>
          <w:iCs w:val="1"/>
          <w:color w:val="auto"/>
        </w:rPr>
        <w:t>Kyle Kuvalanka.</w:t>
      </w:r>
      <w:r>
        <w:rPr>
          <w:sz w:val="20"/>
          <w:szCs w:val="20"/>
          <w:color w:val="auto"/>
        </w:rPr>
        <w:tab/>
      </w:r>
      <w:r>
        <w:rPr>
          <w:rFonts w:ascii="Arial" w:cs="Arial" w:eastAsia="Arial" w:hAnsi="Arial"/>
          <w:sz w:val="16"/>
          <w:szCs w:val="16"/>
          <w:color w:val="auto"/>
        </w:rPr>
        <w:t>We entered into a letter agreement with Mr. Kuvalanka on August 1, 2013, and he assumed the role of Chief Business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2013. The agreement entitles Mr. Kuvalanka to an initial base salary of $330,000 and eligibility to participate in our bonus pool with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target bonus of 25% of his base salary, with the actual bonus earned based upon the achievement of corporate and individual goals agreed to between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Kuvalanka and the Company's Chief Executive Officer. Under the agreement, we agreed to pay Mr. Kuvalanka a one-time sign-on bonus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$50,000, reflecting his 12-month commitment to the Company, which was paid in 2013. We agreed to make an equity award to Mr. Kuvalanka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 of options to purchase 750,000 shares of our common stock with an exercise price equal to the fair market value of our common stock on the day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the option grant, with such options vesting on the terms set forth in the applicable option agreements with Mr. Kuvalanka. Pursuant to his letter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Mr. Kuvalanka is entitled to 12 months of base salary as severance in the event we terminate his employment without Cause (as defined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letter agreement).</w:t>
      </w:r>
    </w:p>
    <w:p>
      <w:pPr>
        <w:spacing w:after="0" w:line="191"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Christoph Lengauer. </w:t>
      </w:r>
      <w:r>
        <w:rPr>
          <w:rFonts w:ascii="Arial" w:cs="Arial" w:eastAsia="Arial" w:hAnsi="Arial"/>
          <w:sz w:val="17"/>
          <w:szCs w:val="17"/>
          <w:color w:val="auto"/>
        </w:rPr>
        <w:t>We entered into a letter agreement with Dr. Lengauer on November 22, 2011, which was later amended on November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He assumed the role of Chief Scientific Officer in January 2012. The amended agreement entitles Dr. Lengauer to an initial base salary of</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$400,000 and eligibility to participate in our bonus pool with a target bonus of 30% of his base salary, with the actual bonus earned based upon the achievement of corporate and individual goals agreed to between Dr. Lengauer and the Company's Chief Executive Officer. Under the agreement, we agreed to pay Dr. Lengauer a one-time sign-on bonus of $50,000, reflecting his 12 month commitment to the Company, which was paid in 2013. We agreed to make an equity award to Dr. Lengauer in the form of options to purchase 750,000 shares of our common stock with an exercise price equal to the fair market value of our common stock on the day of the option grant, with such options vesting on the terms set forth in the applicable option agreements with Dr. Lengauer. Pursuant to his letter agreement, as amended, Mr. Lengauer is entitled to 12 months of base salary as severance in the event we terminate his employment without Cause (as defined in the letter agreement), subject to his executing a release of claims in our favor. In addition, upon a change in control, Mr. Lengauer's currently outstanding awards of restricted stock will vest and become nonforfeitable upon such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Confidentiality, Non-competition, Non-solicitation and Assignment Agreements</w:t>
      </w:r>
    </w:p>
    <w:p>
      <w:pPr>
        <w:spacing w:after="0" w:line="23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Equity Awards at December 31, 2014</w:t>
      </w:r>
    </w:p>
    <w:p>
      <w:pPr>
        <w:spacing w:after="0" w:line="231" w:lineRule="exact"/>
        <w:rPr>
          <w:sz w:val="20"/>
          <w:szCs w:val="20"/>
          <w:color w:val="auto"/>
        </w:rPr>
      </w:pPr>
    </w:p>
    <w:p>
      <w:pPr>
        <w:ind w:right="840" w:firstLine="470"/>
        <w:spacing w:after="0" w:line="252" w:lineRule="auto"/>
        <w:rPr>
          <w:sz w:val="20"/>
          <w:szCs w:val="20"/>
          <w:color w:val="auto"/>
        </w:rPr>
      </w:pPr>
      <w:r>
        <w:rPr>
          <w:rFonts w:ascii="Arial" w:cs="Arial" w:eastAsia="Arial" w:hAnsi="Arial"/>
          <w:sz w:val="17"/>
          <w:szCs w:val="17"/>
          <w:color w:val="auto"/>
        </w:rPr>
        <w:t>The following table sets forth information concerning the outstanding equity awards held by each of the named executive officers as of December 31, 2014.</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auto"/>
              </w:rPr>
              <w:t>Stock Awards</w:t>
            </w:r>
          </w:p>
        </w:tc>
      </w:tr>
      <w:tr>
        <w:trPr>
          <w:trHeight w:val="139"/>
        </w:trPr>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Number of</w:t>
            </w: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securities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securities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securities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underlying</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unexercised</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shares or</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86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exercise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7"/>
              </w:rPr>
              <w:t>Option</w:t>
            </w: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Units of Stock</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Market value of</w:t>
            </w: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exercisable</w:t>
            </w:r>
          </w:p>
        </w:tc>
        <w:tc>
          <w:tcPr>
            <w:tcW w:w="128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rPr>
              <w:t>unexercisable</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price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rPr>
              <w:t>expiration</w:t>
            </w: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that have not</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shares that have</w:t>
            </w:r>
          </w:p>
        </w:tc>
      </w:tr>
      <w:tr>
        <w:trPr>
          <w:trHeight w:val="16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/share)</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not vested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w:t>
            </w:r>
          </w:p>
        </w:tc>
        <w:tc>
          <w:tcPr>
            <w:tcW w:w="180" w:type="dxa"/>
            <w:vAlign w:val="bottom"/>
            <w:gridSpan w:val="2"/>
          </w:tcPr>
          <w:p>
            <w:pPr>
              <w:spacing w:after="0"/>
              <w:rPr>
                <w:sz w:val="14"/>
                <w:szCs w:val="14"/>
                <w:color w:val="auto"/>
              </w:rPr>
            </w:pPr>
          </w:p>
        </w:tc>
      </w:tr>
      <w:tr>
        <w:trPr>
          <w:trHeight w:val="150"/>
        </w:trPr>
        <w:tc>
          <w:tcPr>
            <w:tcW w:w="1320" w:type="dxa"/>
            <w:vAlign w:val="bottom"/>
            <w:gridSpan w:val="3"/>
            <w:shd w:val="clear" w:color="auto" w:fill="CCEEFF"/>
          </w:tcPr>
          <w:p>
            <w:pPr>
              <w:spacing w:after="0" w:line="151" w:lineRule="exact"/>
              <w:rPr>
                <w:sz w:val="20"/>
                <w:szCs w:val="20"/>
                <w:color w:val="auto"/>
              </w:rPr>
            </w:pPr>
            <w:r>
              <w:rPr>
                <w:rFonts w:ascii="Arial" w:cs="Arial" w:eastAsia="Arial" w:hAnsi="Arial"/>
                <w:sz w:val="14"/>
                <w:szCs w:val="14"/>
                <w:color w:val="auto"/>
              </w:rPr>
              <w:t>Jeffrey W. Albers</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789,175(2)</w:t>
            </w: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1,176,468(3)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896,940(4)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294,117(5)</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30"/>
        </w:trPr>
        <w:tc>
          <w:tcPr>
            <w:tcW w:w="1320" w:type="dxa"/>
            <w:vAlign w:val="bottom"/>
            <w:gridSpan w:val="3"/>
          </w:tcPr>
          <w:p>
            <w:pPr>
              <w:spacing w:after="0"/>
              <w:rPr>
                <w:sz w:val="20"/>
                <w:szCs w:val="20"/>
                <w:color w:val="auto"/>
              </w:rPr>
            </w:pPr>
            <w:r>
              <w:rPr>
                <w:rFonts w:ascii="Arial" w:cs="Arial" w:eastAsia="Arial" w:hAnsi="Arial"/>
                <w:sz w:val="14"/>
                <w:szCs w:val="14"/>
                <w:color w:val="auto"/>
              </w:rPr>
              <w:t>Kyle D. Kuvalanka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127,315(6)</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176,504</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388,311(7)</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0.27</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9/17/2023</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6,666</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73,334(8)</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15"/>
        </w:trPr>
        <w:tc>
          <w:tcPr>
            <w:tcW w:w="1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Christoph Lengauer</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281,250(9)</w:t>
            </w: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81,250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218,750(10)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0.27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11/1/2023</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13,333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146,667(11)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05"/>
        </w:trPr>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1" w:lineRule="exact"/>
        <w:rPr>
          <w:sz w:val="20"/>
          <w:szCs w:val="20"/>
          <w:color w:val="auto"/>
        </w:rPr>
      </w:pPr>
    </w:p>
    <w:p>
      <w:pPr>
        <w:ind w:left="1680" w:hanging="533"/>
        <w:spacing w:after="0"/>
        <w:tabs>
          <w:tab w:leader="none" w:pos="1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There was no public market for our common stock at December 31, 2014. We have estimated the market value of the unvested stock awards assuming an</w:t>
      </w:r>
    </w:p>
    <w:p>
      <w:pPr>
        <w:ind w:left="1680"/>
        <w:spacing w:after="0"/>
        <w:tabs>
          <w:tab w:leader="none" w:pos="4000" w:val="left"/>
        </w:tabs>
        <w:rPr>
          <w:sz w:val="20"/>
          <w:szCs w:val="20"/>
          <w:color w:val="auto"/>
        </w:rPr>
      </w:pPr>
      <w:r>
        <w:rPr>
          <w:rFonts w:ascii="Arial" w:cs="Arial" w:eastAsia="Arial" w:hAnsi="Arial"/>
          <w:sz w:val="14"/>
          <w:szCs w:val="14"/>
          <w:color w:val="auto"/>
        </w:rPr>
        <w:t>initial public offering price of $</w:t>
      </w:r>
      <w:r>
        <w:rPr>
          <w:sz w:val="20"/>
          <w:szCs w:val="20"/>
          <w:color w:val="auto"/>
        </w:rPr>
        <w:tab/>
      </w:r>
      <w:r>
        <w:rPr>
          <w:rFonts w:ascii="Arial" w:cs="Arial" w:eastAsia="Arial" w:hAnsi="Arial"/>
          <w:sz w:val="13"/>
          <w:szCs w:val="13"/>
          <w:color w:val="auto"/>
        </w:rPr>
        <w:t>per share, the midpoint of the estimated price range set forth on the cover page of this prospectus.</w:t>
      </w:r>
    </w:p>
    <w:p>
      <w:pPr>
        <w:spacing w:after="0" w:line="154" w:lineRule="exact"/>
        <w:rPr>
          <w:sz w:val="20"/>
          <w:szCs w:val="20"/>
          <w:color w:val="auto"/>
        </w:rPr>
      </w:pPr>
    </w:p>
    <w:p>
      <w:pPr>
        <w:ind w:left="1680" w:right="40" w:hanging="533"/>
        <w:spacing w:after="0" w:line="238"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 July 30, 2014, Mr. Albers was granted an option for 789,175 shares of our common stock, 100% of such option to vest on July 21, 2015. Pursuant to the terms of his option agreement, Mr. Albers early exercised his option on August 8, 2014 in exchange for shares of restricted stock. Pursuant to the terms of Mr. Albers' corresponding restricted stock agreement, the unvested shares will be fully vested on July 21, 2015. Vesting of the restricted shares subject to the agreement accelerates in connection with a change in control.</w:t>
      </w:r>
    </w:p>
    <w:p>
      <w:pPr>
        <w:spacing w:after="0" w:line="147" w:lineRule="exact"/>
        <w:rPr>
          <w:rFonts w:ascii="Arial" w:cs="Arial" w:eastAsia="Arial" w:hAnsi="Arial"/>
          <w:sz w:val="14"/>
          <w:szCs w:val="14"/>
          <w:color w:val="auto"/>
        </w:rPr>
      </w:pPr>
    </w:p>
    <w:p>
      <w:pPr>
        <w:ind w:left="1680" w:hanging="533"/>
        <w:spacing w:after="0" w:line="236"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four equal tranches and installments as follows: (i) 294,117 vests in five installments at a rate of 65,764.5833 on each of August 21, 2015, September 21, 2015, October 21, 2015 and November 21, 2015, and the remaining 31,058.6668 vests on December 21, 2015, (ii) 294,117 vests in five installments at a rate of 65,764.5833 on each of January 21, 2016, February 21, 2016, March 21, 2016 and April 21, 2016, and the remaining 31,058.6668 vests on May 21, 2016, (iii) 294,117 vests in five installments at a rate of 65,764.5833 on each of January 21, 2017, February 21, 2017, March 21, 2017 and April 21, 2017, and the remaining 31,058.6668 vests on May 21, 2017, and (iv) 294,117 vests in five installments at a rate of 65,764.5833 on each of January 21, 2018, February 21, 2018, March 21, 2018 and April 21, 2018, and the remaining 31,058.6668 vests on May 21, 2018. Vesting of the options subject to the agreement accelerates in connection with a change in control.</w:t>
      </w:r>
    </w:p>
    <w:p>
      <w:pPr>
        <w:spacing w:after="0" w:line="149" w:lineRule="exact"/>
        <w:rPr>
          <w:rFonts w:ascii="Arial" w:cs="Arial" w:eastAsia="Arial" w:hAnsi="Arial"/>
          <w:sz w:val="14"/>
          <w:szCs w:val="14"/>
          <w:color w:val="auto"/>
        </w:rPr>
      </w:pPr>
    </w:p>
    <w:p>
      <w:pPr>
        <w:ind w:left="1680" w:right="60" w:hanging="533"/>
        <w:spacing w:after="0" w:line="237"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three tranches and installments as follows: (i) 235,646.9311 vests in four installments at a rate of 38,353.1662 on September 21, 2016, and 65,764.5833 on each of October 21, 2016 and November 21, 2016, and 65.764.5983 on December 21, 2016, (ii) 495,057.9996 vests in eight installments at a rate of 34,705.9165 on May 21, 2017 and 65,764.5833 on each of June 21, 2017, July 21, 2017, August 21, 2017, September 21, 2017, October 21, 2017, November 21, 2017 and December 21, 2017, and (ii) 166,235.0693 vests in three installments at a rate of 34,705.9165 on May 21, 2018, 65,764.5833 on June 21, 2018 and 65,764.5695 on July 21, 2018.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200" w:hanging="533"/>
        <w:spacing w:after="0" w:line="238"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none of which are vested but are eligible for early exercise. The shares underlying these options vest as follows: (i) 34,705.9165 vests on each of December 21, 2015 and May 21, 2016, (ii) 65,764.5833 vests on each of June 21, 2016, July 21, 2016 and August 21, 2016, and (iii) 27,411.4171 vests on September 21, 2016.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60" w:hanging="533"/>
        <w:spacing w:after="0" w:line="234"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 September 17, 2013, Mr. Kuvalanka was granted an option for 185,185 shares of our common stock, 25% of such option to vest on September 16, 2014, and the remaining unvested shares to vest in equal monthly installments through September 16, 2017. Pursuant to the terms of his option agreement,</w:t>
      </w:r>
    </w:p>
    <w:p>
      <w:pPr>
        <w:ind w:left="1680"/>
        <w:spacing w:after="0"/>
        <w:rPr>
          <w:rFonts w:ascii="Arial" w:cs="Arial" w:eastAsia="Arial" w:hAnsi="Arial"/>
          <w:sz w:val="14"/>
          <w:szCs w:val="14"/>
          <w:color w:val="auto"/>
        </w:rPr>
      </w:pPr>
      <w:r>
        <w:rPr>
          <w:rFonts w:ascii="Arial" w:cs="Arial" w:eastAsia="Arial" w:hAnsi="Arial"/>
          <w:sz w:val="14"/>
          <w:szCs w:val="14"/>
          <w:color w:val="auto"/>
        </w:rPr>
        <w:t>Mr. Kuvalanka early exercised his option on October 2, 2013 in exchange for shares of restricted stock. Under the terms of Mr. Kuvalanka's corresponding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right="340"/>
        <w:spacing w:after="0" w:line="245" w:lineRule="auto"/>
        <w:rPr>
          <w:sz w:val="20"/>
          <w:szCs w:val="20"/>
          <w:color w:val="auto"/>
        </w:rPr>
      </w:pPr>
      <w:r>
        <w:rPr>
          <w:rFonts w:ascii="Arial" w:cs="Arial" w:eastAsia="Arial" w:hAnsi="Arial"/>
          <w:sz w:val="14"/>
          <w:szCs w:val="14"/>
          <w:color w:val="auto"/>
        </w:rPr>
        <w:t>restricted stock agreement, 25% of the shares vested on September 16, 2014 and the remaining unvested shares will vest in equal monthly installments through September 16, 2017.</w:t>
      </w:r>
    </w:p>
    <w:p>
      <w:pPr>
        <w:spacing w:after="0" w:line="196" w:lineRule="exact"/>
        <w:rPr>
          <w:sz w:val="20"/>
          <w:szCs w:val="20"/>
          <w:color w:val="auto"/>
        </w:rPr>
      </w:pPr>
    </w:p>
    <w:p>
      <w:pPr>
        <w:ind w:left="1680" w:right="20" w:hanging="533"/>
        <w:spacing w:after="0" w:line="283" w:lineRule="auto"/>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September 17, 2013. The shares underlying these options vest as follows: 25% vest on September 16, 2014, with the remainder of the shares vesting in equal monthly installments over the following three years through September 16, 2017.</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143" w:lineRule="exact"/>
        <w:rPr>
          <w:rFonts w:ascii="Arial" w:cs="Arial" w:eastAsia="Arial" w:hAnsi="Arial"/>
          <w:sz w:val="14"/>
          <w:szCs w:val="14"/>
          <w:color w:val="auto"/>
        </w:rPr>
      </w:pPr>
    </w:p>
    <w:p>
      <w:pPr>
        <w:jc w:val="both"/>
        <w:ind w:left="1680" w:right="140" w:hanging="533"/>
        <w:spacing w:after="0"/>
        <w:tabs>
          <w:tab w:leader="none" w:pos="1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the terms of Dr. Lengauer's December 15, 2011 and January 31, 2013 restricted stock agreements, the remaining unvested shares will vest in equal monthly installments through January 1, 2016 and January 1, 2017, respectively. Vesting of the restricted shares accelerates in connection with a change in control.</w:t>
      </w:r>
    </w:p>
    <w:p>
      <w:pPr>
        <w:spacing w:after="0" w:line="146" w:lineRule="exact"/>
        <w:rPr>
          <w:rFonts w:ascii="Arial" w:cs="Arial" w:eastAsia="Arial" w:hAnsi="Arial"/>
          <w:sz w:val="14"/>
          <w:szCs w:val="14"/>
          <w:color w:val="auto"/>
        </w:rPr>
      </w:pPr>
    </w:p>
    <w:p>
      <w:pPr>
        <w:ind w:left="1680" w:right="160" w:hanging="533"/>
        <w:spacing w:after="0" w:line="283" w:lineRule="auto"/>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November 3, 2013. The shares underlying these options vest in equal monthly installments over four years through November 1, 2017. Vesting of the options subject to the agreement accelerates in connection with a change in control.</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 Compensation</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table sets forth a summary of the compensation we paid to our non-employee directors during 2014. Other than as set forth in the table and described more fully below, we did not pay any compensation, reimburse any expense of, make any equity awards or non-equity awards to, or pay any other compensation to any of the other non-employee members of our board of directors in 2014. Jeffrey W. Albers, our President and Chief Executive Officer, receives no compensation for his service as a director, and, consequently, is not included in this table. The compensation received by Mr. Albers as an employee during 2014 is presented in the "Summary Compensation Table" above.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Fees Earned 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7"/>
        </w:trPr>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5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Awards</w:t>
            </w:r>
          </w:p>
        </w:tc>
        <w:tc>
          <w:tcPr>
            <w:tcW w:w="240" w:type="dxa"/>
            <w:vAlign w:val="bottom"/>
          </w:tcPr>
          <w:p>
            <w:pPr>
              <w:spacing w:after="0"/>
              <w:rPr>
                <w:sz w:val="13"/>
                <w:szCs w:val="13"/>
                <w:color w:val="auto"/>
              </w:rPr>
            </w:pP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3"/>
                <w:szCs w:val="13"/>
                <w:color w:val="auto"/>
              </w:rPr>
            </w:pPr>
          </w:p>
        </w:tc>
        <w:tc>
          <w:tcPr>
            <w:tcW w:w="6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Name</w:t>
            </w:r>
          </w:p>
        </w:tc>
        <w:tc>
          <w:tcPr>
            <w:tcW w:w="4760" w:type="dxa"/>
            <w:vAlign w:val="bottom"/>
            <w:gridSpan w:val="2"/>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r>
      <w:tr>
        <w:trPr>
          <w:trHeight w:val="150"/>
        </w:trPr>
        <w:tc>
          <w:tcPr>
            <w:tcW w:w="5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Daniel S. Lynch(1)</w:t>
            </w:r>
          </w:p>
        </w:tc>
        <w:tc>
          <w:tcPr>
            <w:tcW w:w="12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130,000</w:t>
            </w:r>
          </w:p>
        </w:tc>
        <w:tc>
          <w:tcPr>
            <w:tcW w:w="78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130,000</w:t>
            </w:r>
          </w:p>
        </w:tc>
      </w:tr>
      <w:tr>
        <w:trPr>
          <w:trHeight w:val="157"/>
        </w:trPr>
        <w:tc>
          <w:tcPr>
            <w:tcW w:w="5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Nicholas Lydon, Ph.D.(2)</w:t>
            </w:r>
          </w:p>
        </w:tc>
        <w:tc>
          <w:tcPr>
            <w:tcW w:w="1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3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65,000</w:t>
            </w: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65,000</w:t>
            </w:r>
          </w:p>
        </w:tc>
      </w:tr>
      <w:tr>
        <w:trPr>
          <w:trHeight w:val="157"/>
        </w:trPr>
        <w:tc>
          <w:tcPr>
            <w:tcW w:w="51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David Schenkein, M.D.(3)</w:t>
            </w:r>
          </w:p>
        </w:tc>
        <w:tc>
          <w:tcPr>
            <w:tcW w:w="12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35,000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35,000</w:t>
            </w:r>
          </w:p>
        </w:tc>
      </w:tr>
      <w:tr>
        <w:trPr>
          <w:trHeight w:val="173"/>
        </w:trPr>
        <w:tc>
          <w:tcPr>
            <w:tcW w:w="5180" w:type="dxa"/>
            <w:vAlign w:val="bottom"/>
            <w:gridSpan w:val="3"/>
          </w:tcPr>
          <w:p>
            <w:pPr>
              <w:ind w:left="20"/>
              <w:spacing w:after="0"/>
              <w:rPr>
                <w:sz w:val="20"/>
                <w:szCs w:val="20"/>
                <w:color w:val="auto"/>
              </w:rPr>
            </w:pPr>
            <w:r>
              <w:rPr>
                <w:rFonts w:ascii="Arial" w:cs="Arial" w:eastAsia="Arial" w:hAnsi="Arial"/>
                <w:sz w:val="14"/>
                <w:szCs w:val="14"/>
                <w:color w:val="auto"/>
              </w:rPr>
              <w:t>George D. Demetri, M.D.(4)</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100,000</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100,000</w:t>
            </w:r>
          </w:p>
        </w:tc>
      </w:tr>
      <w:tr>
        <w:trPr>
          <w:trHeight w:val="89"/>
        </w:trPr>
        <w:tc>
          <w:tcPr>
            <w:tcW w:w="4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14" w:lineRule="exact"/>
        <w:rPr>
          <w:sz w:val="20"/>
          <w:szCs w:val="20"/>
          <w:color w:val="auto"/>
        </w:rPr>
      </w:pPr>
    </w:p>
    <w:p>
      <w:pPr>
        <w:ind w:left="1680" w:right="80" w:hanging="533"/>
        <w:spacing w:after="0" w:line="283"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Mr. Lynch received payment for service as a director and consultant pursuant to a consulting agreement. Amount includes cash bonus of $30,000 earned for the 12-month period from January 1, 2014 to December 31, 2014. As of December 31, 2014, Mr. Lynch held 1,500,000 shares of restricted common stock.</w:t>
      </w:r>
    </w:p>
    <w:p>
      <w:pPr>
        <w:spacing w:after="0" w:line="119" w:lineRule="exact"/>
        <w:rPr>
          <w:rFonts w:ascii="Arial" w:cs="Arial" w:eastAsia="Arial" w:hAnsi="Arial"/>
          <w:sz w:val="13"/>
          <w:szCs w:val="13"/>
          <w:color w:val="auto"/>
        </w:rPr>
      </w:pPr>
    </w:p>
    <w:p>
      <w:pPr>
        <w:ind w:left="1680" w:right="160" w:hanging="533"/>
        <w:spacing w:after="0" w:line="245"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Lydon received payment for service as a consultant pursuant to a consulting agreement. As of December 31, 2014, Mr. Lydon held 1,500,000 shares of restricted common stock.</w:t>
      </w:r>
    </w:p>
    <w:p>
      <w:pPr>
        <w:spacing w:after="0" w:line="143" w:lineRule="exact"/>
        <w:rPr>
          <w:rFonts w:ascii="Arial" w:cs="Arial" w:eastAsia="Arial" w:hAnsi="Arial"/>
          <w:sz w:val="14"/>
          <w:szCs w:val="14"/>
          <w:color w:val="auto"/>
        </w:rPr>
      </w:pPr>
    </w:p>
    <w:p>
      <w:pPr>
        <w:ind w:left="1680" w:right="660" w:hanging="533"/>
        <w:spacing w:after="0" w:line="245"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Dr. Schenkein received payment for service as a director pursuant to a board service agreement. As of December 31, 2014, trusts for the benefit of Dr. Schenkein and certain of his family members held 185,000 shares of restricted common stock.</w:t>
      </w:r>
    </w:p>
    <w:p>
      <w:pPr>
        <w:spacing w:after="0" w:line="143" w:lineRule="exact"/>
        <w:rPr>
          <w:rFonts w:ascii="Arial" w:cs="Arial" w:eastAsia="Arial" w:hAnsi="Arial"/>
          <w:sz w:val="14"/>
          <w:szCs w:val="14"/>
          <w:color w:val="auto"/>
        </w:rPr>
      </w:pPr>
    </w:p>
    <w:p>
      <w:pPr>
        <w:ind w:left="1680" w:hanging="533"/>
        <w:spacing w:after="0" w:line="245"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Dr. Demetri received payment for service as an advisor pursuant to an advisory agreement. As of December 31, 2014, Dr. Demetri held an option to purchase 50,000 shares of common stock and 100,000 shares of restricted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Risk Assessment</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Plans and Other 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2011 Stock Option Plan</w:t>
      </w:r>
    </w:p>
    <w:p>
      <w:pPr>
        <w:spacing w:after="0" w:line="231"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2011 Stock Option Plan, was approved by our board of directors and our stockholders on April 4, 2011 and was most recently amended on August 14, 2014. Under the 2011 Stock Option Plan, 17,200,000 shares of common stock have been reserved for issuance in the form of incentive stock options, non-qualified stock options, restricted stock, unrestricted stock, restricted stock units, or any combination of the foregoing. The shares issuable pursuant to awards granted under the 2011 Stock Option Plan are authorized but unissued shares.</w:t>
      </w:r>
    </w:p>
    <w:p>
      <w:pPr>
        <w:spacing w:after="0" w:line="198"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2011 Stock Option Plan is administered by our board or at the discretion of the board, a committee of the board comprised of not less than two (2) directors, which has full power to select the employees, directors and service providers to whom awards will be granted and to determine the specific terms and conditions of each award, subject to the provisions of the 2011 Stock Option Plan.</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option exercise price of each option granted under the 2011 Stock Option Plan is determined by our board and may not be less than the fair market value of a share of common stock on the date of grant. The term of each option is fixed by the board and may not exceed ten years from the date of grant. The board determines at what time or times each option may be exercised when granting the option.</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board of directors may grant awards under the 2011 Stock Option Plan entitling the participants to acquire shares of common stock subject to the right of repurchase (or forfeiture if issued at no cost) in the event the conditions specified by the board in connection with the awards are not met. The board may also grant awards of restricted stock units under the 2011 Stock Option Plan entitling the participants to receive shares of common stock or cash at the time the awards vest.</w:t>
      </w:r>
    </w:p>
    <w:p>
      <w:pPr>
        <w:spacing w:after="0" w:line="198"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board of directors may also grant other stock-based awards under the 2011 Stock Option Plan such as stock appreciation rights and other types of awards which entitle the participants to receive shares of common stock or cash in the future.</w:t>
      </w:r>
    </w:p>
    <w:p>
      <w:pPr>
        <w:spacing w:after="0" w:line="193" w:lineRule="exact"/>
        <w:rPr>
          <w:sz w:val="20"/>
          <w:szCs w:val="20"/>
          <w:color w:val="auto"/>
        </w:rPr>
      </w:pPr>
    </w:p>
    <w:p>
      <w:pPr>
        <w:ind w:right="280" w:firstLine="470"/>
        <w:spacing w:after="0" w:line="245" w:lineRule="auto"/>
        <w:rPr>
          <w:sz w:val="20"/>
          <w:szCs w:val="20"/>
          <w:color w:val="auto"/>
        </w:rPr>
      </w:pPr>
      <w:r>
        <w:rPr>
          <w:rFonts w:ascii="Arial" w:cs="Arial" w:eastAsia="Arial" w:hAnsi="Arial"/>
          <w:sz w:val="17"/>
          <w:szCs w:val="17"/>
          <w:color w:val="auto"/>
        </w:rPr>
        <w:t>The 2011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 and all restricted stock and restricted stock unit awards will be forfeited immediately prior to the closing of the sale transaction.</w:t>
      </w:r>
    </w:p>
    <w:p>
      <w:pPr>
        <w:spacing w:after="0" w:line="198"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Our board may amend the 2011 Stock Option Plan but no such action may adversely affect the rights of an award holder without such holder's consent. Approval by our stockholders of amendments to the 2011 Stock Option Plan must be obtained if required by law.</w:t>
      </w:r>
    </w:p>
    <w:p>
      <w:pPr>
        <w:spacing w:after="0" w:line="193" w:lineRule="exact"/>
        <w:rPr>
          <w:sz w:val="20"/>
          <w:szCs w:val="20"/>
          <w:color w:val="auto"/>
        </w:rPr>
      </w:pPr>
    </w:p>
    <w:p>
      <w:pPr>
        <w:ind w:right="220" w:firstLine="464"/>
        <w:spacing w:after="0" w:line="246" w:lineRule="auto"/>
        <w:rPr>
          <w:sz w:val="20"/>
          <w:szCs w:val="20"/>
          <w:color w:val="auto"/>
        </w:rPr>
      </w:pPr>
      <w:r>
        <w:rPr>
          <w:rFonts w:ascii="Arial" w:cs="Arial" w:eastAsia="Arial" w:hAnsi="Arial"/>
          <w:sz w:val="17"/>
          <w:szCs w:val="17"/>
          <w:color w:val="auto"/>
        </w:rPr>
        <w:t>As of December 31, 2014, options to purchase 7,344,277 shares of common stock were outstanding, and 8,351,086 shares of restricted stock were outstanding under the 2011 Stock Option Plan. Our board has determined not to make any further awards under the 2011 Stock Option Plan following the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2015 Stock Option Plan, or the 2015 Stock Option Plan, was adopted by our board of directors and approved by our stockholders in</w:t>
      </w:r>
    </w:p>
    <w:p>
      <w:pPr>
        <w:spacing w:after="0" w:line="1" w:lineRule="exact"/>
        <w:rPr>
          <w:sz w:val="20"/>
          <w:szCs w:val="20"/>
          <w:color w:val="auto"/>
        </w:rPr>
      </w:pPr>
    </w:p>
    <w:p>
      <w:pPr>
        <w:ind w:firstLine="1232"/>
        <w:spacing w:after="0" w:line="252" w:lineRule="auto"/>
        <w:rPr>
          <w:sz w:val="20"/>
          <w:szCs w:val="20"/>
          <w:color w:val="auto"/>
        </w:rPr>
      </w:pPr>
      <w:r>
        <w:rPr>
          <w:rFonts w:ascii="Arial" w:cs="Arial" w:eastAsia="Arial" w:hAnsi="Arial"/>
          <w:sz w:val="17"/>
          <w:szCs w:val="17"/>
          <w:color w:val="auto"/>
        </w:rPr>
        <w:t>2015 and will become effective immediately prior to the closing of this offering. The 2015 Stock Option Plan will replace the 2011 Stock Option Plan. The 2015 Stock Option Plan provides us flexibility to use various equity-based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incentive and other awards as compensation tools to motivate our workforce. These tools include stock options, stock appreciation rights, restricted stock, restricted stock units, unrestricted stock, performance share awards and cash-based awards.</w:t>
      </w:r>
    </w:p>
    <w:p>
      <w:pPr>
        <w:spacing w:after="0" w:line="193"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have initially reserved sha res of our common stock for the issuance of awards under the 2015 Stock Option Plan (including shares of common stock reserved for issuance under our 2011 Stock Option Plan, which will be added to the shares reserved under the 2015 Stock Option Plan), which will be cumulatively increased by % of the number of shares of common stock issued and outstanding</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on the immediately preceding December 31. This number is subject to adjustment in the event of a stock split, stock dividend or other change in our capitalization.</w:t>
      </w:r>
    </w:p>
    <w:p>
      <w:pPr>
        <w:spacing w:after="0" w:line="193"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The shares issuable pursuant to awards granted under the 2015 Stock Option Plan will be authorized but unissued shares or shares that we reacquire. The shares of common stock underlying any awards from the 2015 Stock Option Plan and the 2011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2015 Stock Option Plan will be added back to the shares available for issuance under the 2015 Stock Option Plan.</w:t>
      </w:r>
    </w:p>
    <w:p>
      <w:pPr>
        <w:spacing w:after="0" w:line="199"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color w:val="auto"/>
        </w:rPr>
        <w:t>Under the 2015 Stock Option Plan, stock options or stock appreciation rights with respect to no more than shares may be granted to any one individual in any one calendar year and the maximum aggregate number of shares that may be issued in the form of incentive stock options shall not exceed the initial number of shares reserved and available for issuance under the 2015 Stock Option Plan.</w:t>
      </w:r>
    </w:p>
    <w:p>
      <w:pPr>
        <w:spacing w:after="0" w:line="199"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2015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2015 Stock Option Plan. Employees, nonemployee directors and other key persons (including consultants) are eligible to receive awards under the 2015 Stock Option Plan.</w:t>
      </w:r>
    </w:p>
    <w:p>
      <w:pPr>
        <w:spacing w:after="0" w:line="198"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2015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the vesting schedule for granted stock options.</w:t>
      </w:r>
    </w:p>
    <w:p>
      <w:pPr>
        <w:spacing w:after="0" w:line="202" w:lineRule="exact"/>
        <w:rPr>
          <w:sz w:val="20"/>
          <w:szCs w:val="20"/>
          <w:color w:val="auto"/>
        </w:rPr>
      </w:pPr>
    </w:p>
    <w:p>
      <w:pPr>
        <w:ind w:right="80" w:firstLine="470"/>
        <w:spacing w:after="0" w:line="246" w:lineRule="auto"/>
        <w:rPr>
          <w:sz w:val="20"/>
          <w:szCs w:val="20"/>
          <w:color w:val="auto"/>
        </w:rPr>
      </w:pPr>
      <w:r>
        <w:rPr>
          <w:rFonts w:ascii="Arial" w:cs="Arial" w:eastAsia="Arial" w:hAnsi="Arial"/>
          <w:sz w:val="17"/>
          <w:szCs w:val="17"/>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99" w:lineRule="exact"/>
        <w:rPr>
          <w:sz w:val="20"/>
          <w:szCs w:val="20"/>
          <w:color w:val="auto"/>
        </w:rPr>
      </w:pPr>
    </w:p>
    <w:p>
      <w:pPr>
        <w:jc w:val="both"/>
        <w:ind w:right="160" w:firstLine="470"/>
        <w:spacing w:after="0" w:line="245" w:lineRule="auto"/>
        <w:rPr>
          <w:sz w:val="20"/>
          <w:szCs w:val="20"/>
          <w:color w:val="auto"/>
        </w:rPr>
      </w:pPr>
      <w:r>
        <w:rPr>
          <w:rFonts w:ascii="Arial" w:cs="Arial" w:eastAsia="Arial" w:hAnsi="Arial"/>
          <w:sz w:val="17"/>
          <w:szCs w:val="17"/>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may determine. Our compensation committee may also grant shares of common stock that are free from any restrictions under the 2015 Stock Option Plan. Unrestricted stock may be granted to participants in recognition of past services or for other valid consideration and may be issued in lieu of cash compensation due to such participant.</w:t>
      </w:r>
    </w:p>
    <w:p>
      <w:pPr>
        <w:spacing w:after="0" w:line="199" w:lineRule="exact"/>
        <w:rPr>
          <w:sz w:val="20"/>
          <w:szCs w:val="20"/>
          <w:color w:val="auto"/>
        </w:rPr>
      </w:pPr>
    </w:p>
    <w:p>
      <w:pPr>
        <w:ind w:right="120" w:firstLine="470"/>
        <w:spacing w:after="0" w:line="252" w:lineRule="auto"/>
        <w:rPr>
          <w:sz w:val="20"/>
          <w:szCs w:val="20"/>
          <w:color w:val="auto"/>
        </w:rPr>
      </w:pPr>
      <w:r>
        <w:rPr>
          <w:rFonts w:ascii="Arial" w:cs="Arial" w:eastAsia="Arial" w:hAnsi="Arial"/>
          <w:sz w:val="17"/>
          <w:szCs w:val="17"/>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93"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compensation committee may grant cash bonuses under the 2015 Stock Option Plan to participants, subject to the achievement of certain performance goals.</w:t>
      </w:r>
    </w:p>
    <w:p>
      <w:pPr>
        <w:spacing w:after="0" w:line="193"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2015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 may be made to any one employee during any one</w:t>
      </w:r>
    </w:p>
    <w:p>
      <w:pPr>
        <w:spacing w:after="0" w:line="5" w:lineRule="exact"/>
        <w:rPr>
          <w:sz w:val="20"/>
          <w:szCs w:val="20"/>
          <w:color w:val="auto"/>
        </w:rPr>
      </w:pPr>
    </w:p>
    <w:p>
      <w:pPr>
        <w:spacing w:after="0"/>
        <w:tabs>
          <w:tab w:leader="none" w:pos="2980" w:val="left"/>
          <w:tab w:leader="none" w:pos="7360" w:val="left"/>
        </w:tabs>
        <w:rPr>
          <w:sz w:val="20"/>
          <w:szCs w:val="20"/>
          <w:color w:val="auto"/>
        </w:rPr>
      </w:pPr>
      <w:r>
        <w:rPr>
          <w:rFonts w:ascii="Arial" w:cs="Arial" w:eastAsia="Arial" w:hAnsi="Arial"/>
          <w:sz w:val="17"/>
          <w:szCs w:val="17"/>
          <w:color w:val="auto"/>
        </w:rPr>
        <w:t>calendar year period is</w:t>
      </w:r>
      <w:r>
        <w:rPr>
          <w:sz w:val="20"/>
          <w:szCs w:val="20"/>
          <w:color w:val="auto"/>
        </w:rPr>
        <w:tab/>
      </w:r>
      <w:r>
        <w:rPr>
          <w:rFonts w:ascii="Arial" w:cs="Arial" w:eastAsia="Arial" w:hAnsi="Arial"/>
          <w:sz w:val="17"/>
          <w:szCs w:val="17"/>
          <w:color w:val="auto"/>
        </w:rPr>
        <w:t>shares with respect to a stock-based award and $</w:t>
      </w:r>
      <w:r>
        <w:rPr>
          <w:sz w:val="20"/>
          <w:szCs w:val="20"/>
          <w:color w:val="auto"/>
        </w:rPr>
        <w:tab/>
      </w:r>
      <w:r>
        <w:rPr>
          <w:rFonts w:ascii="Arial" w:cs="Arial" w:eastAsia="Arial" w:hAnsi="Arial"/>
          <w:sz w:val="16"/>
          <w:szCs w:val="16"/>
          <w:color w:val="auto"/>
        </w:rPr>
        <w:t>with respect to a cash-based award.</w:t>
      </w:r>
    </w:p>
    <w:p>
      <w:pPr>
        <w:spacing w:after="0" w:line="211" w:lineRule="exact"/>
        <w:rPr>
          <w:sz w:val="20"/>
          <w:szCs w:val="20"/>
          <w:color w:val="auto"/>
        </w:rPr>
      </w:pPr>
    </w:p>
    <w:p>
      <w:pPr>
        <w:ind w:right="140" w:firstLine="470"/>
        <w:spacing w:after="0" w:line="242" w:lineRule="auto"/>
        <w:rPr>
          <w:sz w:val="20"/>
          <w:szCs w:val="20"/>
          <w:color w:val="auto"/>
        </w:rPr>
      </w:pPr>
      <w:r>
        <w:rPr>
          <w:rFonts w:ascii="Arial" w:cs="Arial" w:eastAsia="Arial" w:hAnsi="Arial"/>
          <w:sz w:val="17"/>
          <w:szCs w:val="17"/>
          <w:color w:val="auto"/>
        </w:rPr>
        <w:t>The 2015 Stock Option Plan provides that upon the effectiveness of a "sale event," as defined in the 2015 Stock Option Plan,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2015 Stock Option Plan shall terminate. In addition, in connection with the termination of the 2015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206"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Our board of directors may amend or discontinue the 2015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2015 Stock Option Plan may require the approval of our stockholders.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No awards may be granted under the 2015 Stock Option Plan after the date that is ten years from the date of stockholder approval of the 2015 Stock Option Plan.</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Other Compensation</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currently maintain broad-based benefits that are provided to all employees, including health insurance, life and disability insurance and dental insurance.</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employees may elect to reduce their current compensation by up to the statutorily prescribed annual limit and to have the amount of such reduction contributed to the 401(k) plan. The 401(k) plan permits us to make contributions up to the limits allowed by law on behalf of all eligible employees. Historically, we have not made any matching contributions to the 401(k) plan.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following is a description of transactions since January 1, 2012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206"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Sales and Purchases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Financing</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April 2011, we entered into a Series A convertible preferred stock purchase agreement, or the Series A purchase agreement, pursuant to which we agreed to issue and sell to investors an aggregate of 25,000,000 shares of our Series A Preferred Stock at a purchase price of $1.00 per share. These shares were to be issued in three tranches with the first tranche consisting of 10,000,000 shares and the last two tranches of 7,500,000 shares each. The first tranche of Series A Preferred Stock was issued in April 2011. In connection with the first tranche described above, certain convertible promissory notes, along with accrued but unpaid interest thereon, were automatically converted into an aggregate of 525,315 shares of our Series A Preferred Stock.</w:t>
      </w:r>
    </w:p>
    <w:p>
      <w:pPr>
        <w:spacing w:after="0" w:line="202"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Series A purchase agreement was subsequently amended in February 2012 to provide for the issuance of the remaining 15,000,000 shares in three tranches of 5,000,000 shares each. These tranches were issued in February 2012, March 2012 and October 2012, respectively. In January 2013, the Series A purchase agreement was further amended to provide for the issuance of an additional 15,000,000 shares of Series A Preferred Stock in three tranches. These tranches were issued in January and September of 2013.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table below sets forth the aggregate number of shares of Series A Preferred Stock sold to our directors, executive officers or holders of more than 5% of our capital stock, or an affiliate or immediate family member thereof:</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30,000,000</w:t>
            </w:r>
          </w:p>
        </w:tc>
        <w:tc>
          <w:tcPr>
            <w:tcW w:w="860" w:type="dxa"/>
            <w:vAlign w:val="bottom"/>
            <w:gridSpan w:val="2"/>
            <w:shd w:val="clear" w:color="auto" w:fill="CCEEFF"/>
          </w:tcPr>
          <w:p>
            <w:pPr>
              <w:jc w:val="right"/>
              <w:ind w:right="595"/>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30,000,000</w:t>
            </w:r>
          </w:p>
        </w:tc>
      </w:tr>
      <w:tr>
        <w:trPr>
          <w:trHeight w:val="207"/>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920" w:type="dxa"/>
            <w:vAlign w:val="bottom"/>
            <w:gridSpan w:val="3"/>
          </w:tcPr>
          <w:p>
            <w:pPr>
              <w:jc w:val="right"/>
              <w:ind w:right="80"/>
              <w:spacing w:after="0"/>
              <w:rPr>
                <w:sz w:val="20"/>
                <w:szCs w:val="20"/>
                <w:color w:val="auto"/>
              </w:rPr>
            </w:pPr>
            <w:r>
              <w:rPr>
                <w:rFonts w:ascii="Arial" w:cs="Arial" w:eastAsia="Arial" w:hAnsi="Arial"/>
                <w:sz w:val="17"/>
                <w:szCs w:val="17"/>
                <w:color w:val="auto"/>
              </w:rPr>
              <w:t>10,000,000</w:t>
            </w:r>
          </w:p>
        </w:tc>
        <w:tc>
          <w:tcPr>
            <w:tcW w:w="86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w:t>
      </w:r>
    </w:p>
    <w:p>
      <w:pPr>
        <w:spacing w:after="0" w:line="231"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In January 2014, we issued an aggregate of 20,916,663 shares of our Series B Preferred Stock at a purchase price of $1.20 per share for aggregate consideration of $25.1 million to seven investors. The table below sets forth the number of shares of Series B Preferred Stock sold to our directors, executive officers or holders of more than 5% of our capital stock, or an affiliate or immediate family member thereof:</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7,833,333</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9,399,999.60</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2,583,333</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3,099,999.60</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49,999.20</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49,999.20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Financing</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 November 2014, we issued an aggregate of 24,154,589 shares of our Series C Preferred Stock at a purchase price of $2.07 per share for aggregate consideration of $49.9 million to eighteen investors. The table below sets forth the number of shares of Series C Preferred Stock sold to our directors, executive officers or holders of more than 5% of our capital stock, or an affiliate or immediate family member thereof:</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1,328,502</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2,749,999.14</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483,092</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1,000,000.44</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124,999.02</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124,999.02</w:t>
            </w: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Agreements with Stockholders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connection with the Series C Preferred Stock financing, we entered into the Second Amended and Restated Investors' Rights Agreement, or Investor's Rights Agreement, dated as of November 7, 2014, with certain of our stockholders, including our principal stockholders and their affiliates and the Second Amended and Restated Stockholders Agreement, or Stockholders Agreement, dated as of November 7, 2014,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 — Registration Rights."</w:t>
      </w:r>
    </w:p>
    <w:p>
      <w:pPr>
        <w:spacing w:after="0" w:line="20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Since inception, we have received consulting and management services from Third Rock Ventures LLC, which through its affiliates, has a controlling interest in us. We have paid Third Rock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Ventures LLC $3.3 million for these services, including the reimbursement of expenses, from inception through the date of this prospectus.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and Executive Officer Compensation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Please see "Executive and Director Compensation — Director Compensation" for a discussion of options granted to our non-employee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Please see "Executive and Director Compensation — Equity Compensation" for additional information regarding compensation of executive officers.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Employment Agreements</w:t>
      </w:r>
    </w:p>
    <w:p>
      <w:pPr>
        <w:spacing w:after="0" w:line="23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have entered into offer letters with our executive officers. For more information regarding these agreements, see "Executive and Director Compensation — Employment Agreements with Our Named Executive Officers."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Indemnification Agreements and Directors' and Officers' Liability Insurance</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connection with this offering, we have entered into indemnification agreements with each of our executive officers and directors. We also maintain a general liability insurance policy which covers certain liabilities of directors and officers of our company arising out of claims based on acts or omissions in their capacities as directors or officers.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 Agreements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We and certain holders of our convertible preferred stock have entered into an Investor's Rights Agreement pursuant to which these stockholders will have, among other things, registration rights under the Securities Act of 1933, as amended, with respect to common stock that they will hold following this offering. Upon the closing of this offering, all outstanding shares of our convertible preferred stock will be converted into common stock. See "Description of Capital Stock — Registration Rights" for a further description of the terms of these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relating to the beneficial ownership of our common stock as of December 31, 2014, by:</w:t>
      </w:r>
    </w:p>
    <w:p>
      <w:pPr>
        <w:spacing w:after="0" w:line="211"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outstanding shares of common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211" w:lineRule="exact"/>
        <w:rPr>
          <w:sz w:val="20"/>
          <w:szCs w:val="20"/>
          <w:color w:val="auto"/>
        </w:rPr>
      </w:pPr>
    </w:p>
    <w:p>
      <w:pPr>
        <w:ind w:right="220" w:firstLine="470"/>
        <w:spacing w:after="0" w:line="243" w:lineRule="auto"/>
        <w:rPr>
          <w:sz w:val="20"/>
          <w:szCs w:val="20"/>
          <w:color w:val="auto"/>
        </w:rPr>
      </w:pPr>
      <w:r>
        <w:rPr>
          <w:rFonts w:ascii="Arial" w:cs="Arial" w:eastAsia="Arial" w:hAnsi="Arial"/>
          <w:sz w:val="17"/>
          <w:szCs w:val="17"/>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percentage of shares beneficially owned is computed on the basis of 97,274,004 shares of our common stock outstanding as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which reflects the assumed conversion of all of our outstanding shares of preferred stock into an aggregate of 85,071,252 shares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Shares of our common stock that a person has the right to acquire within 60 days of December 31, 2014 are deemed outstanding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purposes of computing the percentage ownership of the person holding such rights, but are not deemed outstanding for purposes of computing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percentage ownership of any other person, except with respect to the percentage ownership of all directors and executive officers as a group. Unless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otherwise indicated below, the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address for each beneficial owner listed is c/o Blueprint Medicines Corporation, 215 First Street, Cambridge, MA 02142.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rPr>
              <w:t>Percentage of shares</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2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w w:val="99"/>
              </w:rPr>
              <w:t>Number of shares</w:t>
            </w:r>
          </w:p>
        </w:tc>
        <w:tc>
          <w:tcPr>
            <w:tcW w:w="6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Arial" w:cs="Arial" w:eastAsia="Arial" w:hAnsi="Arial"/>
                <w:sz w:val="17"/>
                <w:szCs w:val="17"/>
                <w:b w:val="1"/>
                <w:bCs w:val="1"/>
                <w:color w:val="auto"/>
              </w:rPr>
              <w:t>beneficially owned</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660"/>
              <w:spacing w:after="0" w:line="173" w:lineRule="exact"/>
              <w:rPr>
                <w:sz w:val="20"/>
                <w:szCs w:val="20"/>
                <w:color w:val="auto"/>
              </w:rPr>
            </w:pPr>
            <w:r>
              <w:rPr>
                <w:rFonts w:ascii="Arial" w:cs="Arial" w:eastAsia="Arial" w:hAnsi="Arial"/>
                <w:sz w:val="17"/>
                <w:szCs w:val="17"/>
                <w:b w:val="1"/>
                <w:bCs w:val="1"/>
                <w:color w:val="auto"/>
              </w:rPr>
              <w:t>Before</w:t>
            </w:r>
          </w:p>
        </w:tc>
        <w:tc>
          <w:tcPr>
            <w:tcW w:w="700" w:type="dxa"/>
            <w:vAlign w:val="bottom"/>
            <w:tcBorders>
              <w:top w:val="single" w:sz="8" w:color="auto"/>
            </w:tcBorders>
            <w:gridSpan w:val="2"/>
          </w:tcPr>
          <w:p>
            <w:pPr>
              <w:jc w:val="right"/>
              <w:ind w:right="180"/>
              <w:spacing w:after="0" w:line="173" w:lineRule="exact"/>
              <w:rPr>
                <w:sz w:val="20"/>
                <w:szCs w:val="20"/>
                <w:color w:val="auto"/>
              </w:rPr>
            </w:pPr>
            <w:r>
              <w:rPr>
                <w:rFonts w:ascii="Arial" w:cs="Arial" w:eastAsia="Arial" w:hAnsi="Arial"/>
                <w:sz w:val="17"/>
                <w:szCs w:val="17"/>
                <w:b w:val="1"/>
                <w:bCs w:val="1"/>
                <w:color w:val="auto"/>
              </w:rPr>
              <w:t>After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Name and address of beneficial owner(1)</w:t>
            </w:r>
          </w:p>
        </w:tc>
        <w:tc>
          <w:tcPr>
            <w:tcW w:w="13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beneficially owned</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offering</w:t>
            </w:r>
          </w:p>
        </w:tc>
        <w:tc>
          <w:tcPr>
            <w:tcW w:w="6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offering</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5% or greater stockholders:</w:t>
            </w:r>
          </w:p>
        </w:tc>
        <w:tc>
          <w:tcPr>
            <w:tcW w:w="1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Third Rock Ventures II, L.P.(2)</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40,661,885</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41.80%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Beacon Bioventures Fund III Limited Partnership(3)</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13,066,425</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13.43%</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488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 and named executive officers: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Jeffrey W. Albers(4)</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1,083,292</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1.11%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Anthony L. Boral</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Alexis Borisy(5)</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100,000</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George Demetri(6)</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150,000</w:t>
            </w:r>
          </w:p>
        </w:tc>
        <w:tc>
          <w:tcPr>
            <w:tcW w:w="13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 Lengauer(7)</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1,013,750</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1.04%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Stephen C. Knight</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Kyle Kuvalanka(8)</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395,219</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Nicholas Lydon(9)</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1,500,000</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1.54%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Daniel S. Lynch(10)</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1,500,000</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1.54%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David Schenkein(11)</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389,104</w:t>
            </w:r>
          </w:p>
        </w:tc>
        <w:tc>
          <w:tcPr>
            <w:tcW w:w="13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Thilo Schroeder(12)</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3,641,304</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3.74%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80" w:type="dxa"/>
            <w:vAlign w:val="bottom"/>
            <w:gridSpan w:val="3"/>
          </w:tcPr>
          <w:p>
            <w:pPr>
              <w:ind w:left="20"/>
              <w:spacing w:after="0" w:line="180" w:lineRule="exact"/>
              <w:rPr>
                <w:sz w:val="20"/>
                <w:szCs w:val="20"/>
                <w:color w:val="auto"/>
              </w:rPr>
            </w:pPr>
            <w:r>
              <w:rPr>
                <w:rFonts w:ascii="Arial" w:cs="Arial" w:eastAsia="Arial" w:hAnsi="Arial"/>
                <w:sz w:val="17"/>
                <w:szCs w:val="17"/>
                <w:b w:val="1"/>
                <w:bCs w:val="1"/>
                <w:color w:val="auto"/>
              </w:rPr>
              <w:t>All executive officers and directors as a group</w:t>
            </w: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80" w:type="dxa"/>
            <w:vAlign w:val="bottom"/>
            <w:gridSpan w:val="3"/>
          </w:tcPr>
          <w:p>
            <w:pPr>
              <w:ind w:left="180"/>
              <w:spacing w:after="0"/>
              <w:rPr>
                <w:sz w:val="20"/>
                <w:szCs w:val="20"/>
                <w:color w:val="auto"/>
              </w:rPr>
            </w:pPr>
            <w:r>
              <w:rPr>
                <w:rFonts w:ascii="Arial" w:cs="Arial" w:eastAsia="Arial" w:hAnsi="Arial"/>
                <w:sz w:val="17"/>
                <w:szCs w:val="17"/>
                <w:b w:val="1"/>
                <w:bCs w:val="1"/>
                <w:color w:val="auto"/>
              </w:rPr>
              <w:t>(11 persons)</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9,772,669</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9.98%</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3"/>
        <w:spacing w:after="0"/>
        <w:tabs>
          <w:tab w:leader="none" w:pos="1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our outstanding common stock.</w:t>
      </w:r>
    </w:p>
    <w:p>
      <w:pPr>
        <w:spacing w:after="0" w:line="211" w:lineRule="exact"/>
        <w:rPr>
          <w:sz w:val="20"/>
          <w:szCs w:val="20"/>
          <w:color w:val="auto"/>
        </w:rPr>
      </w:pPr>
    </w:p>
    <w:p>
      <w:pPr>
        <w:ind w:left="1680" w:right="560" w:hanging="533"/>
        <w:spacing w:after="0" w:line="252" w:lineRule="auto"/>
        <w:tabs>
          <w:tab w:leader="none" w:pos="1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otherwise indicated, the address for each beneficial owner is c/o Blueprint Medicines Corporation, 215 First Street, Cambridge, Massachusetts 02142.</w:t>
      </w:r>
    </w:p>
    <w:p>
      <w:pPr>
        <w:spacing w:after="0" w:line="179" w:lineRule="exact"/>
        <w:rPr>
          <w:rFonts w:ascii="Arial" w:cs="Arial" w:eastAsia="Arial" w:hAnsi="Arial"/>
          <w:sz w:val="17"/>
          <w:szCs w:val="17"/>
          <w:color w:val="auto"/>
        </w:rPr>
      </w:pPr>
    </w:p>
    <w:p>
      <w:pPr>
        <w:ind w:left="1680" w:hanging="533"/>
        <w:spacing w:after="0" w:line="241" w:lineRule="auto"/>
        <w:tabs>
          <w:tab w:leader="none" w:pos="1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30,000,000 shares of common stock issuable upon conversion of series A convertible preferred stock held by Third Rock Ventures II, L.P. ("TRV LP"), (ii) 7,833,333 shares of common stock issuable upon conversion of series B convertible preferred stock held by TRV LP, (iii) 1,328,502 shares of common stock issuable upon conversion of series C convertible preferred stock held by TRV LP, and (d) 1,500,000 shares of common stock held by TRV LP. Each of Third Rock Ventures</w:t>
      </w:r>
    </w:p>
    <w:p>
      <w:pPr>
        <w:spacing w:after="0" w:line="1" w:lineRule="exact"/>
        <w:rPr>
          <w:sz w:val="20"/>
          <w:szCs w:val="20"/>
          <w:color w:val="auto"/>
        </w:rPr>
      </w:pPr>
    </w:p>
    <w:p>
      <w:pPr>
        <w:ind w:left="1680" w:right="220"/>
        <w:spacing w:after="0" w:line="244" w:lineRule="auto"/>
        <w:rPr>
          <w:sz w:val="20"/>
          <w:szCs w:val="20"/>
          <w:color w:val="auto"/>
        </w:rPr>
      </w:pPr>
      <w:r>
        <w:rPr>
          <w:rFonts w:ascii="Arial" w:cs="Arial" w:eastAsia="Arial" w:hAnsi="Arial"/>
          <w:sz w:val="17"/>
          <w:szCs w:val="17"/>
          <w:color w:val="auto"/>
        </w:rPr>
        <w:t>II GP, LP ("TRV GP"), the general partner of TRV LP, and Third Rock Ventures GP, LLC ("TRV LLC"), the general partner of TRV GP, and Mark Levin, Kevin Starr and Robert Tepper, the managers of TRV LLC, may be deemed to share voting and investment power over the shares held of record by TRV LP. Each of TRV GP, TRV LLC, Mark Levin, Kevin Starr and Robert Tepper disclaims beneficial ownership of all shares held by TRV LP except to the extent of their pecuniary interest therein. The address of TRV LP is 29 Newbury Street, Suite 401, Boston, MA 02142.</w:t>
      </w:r>
    </w:p>
    <w:p>
      <w:pPr>
        <w:spacing w:after="0" w:line="186" w:lineRule="exact"/>
        <w:rPr>
          <w:sz w:val="20"/>
          <w:szCs w:val="20"/>
          <w:color w:val="auto"/>
        </w:rPr>
      </w:pPr>
    </w:p>
    <w:p>
      <w:pPr>
        <w:ind w:left="1680" w:right="20" w:hanging="533"/>
        <w:spacing w:after="0" w:line="243"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10,000,000 shares of common stock issuable upon conversion of series A convertible preferred stock held by Beacon Bioventures Fund III Limited Partnership ("Beacon Fund"), (ii) 2,583,333 shares of common stock issuable upon conversion of series B convertible preferred stock held by Beacon Fund, and (iii) 483,092 shares of common stock issuable upon conversion of series C convertible preferred stock held by Beacon Fund. Beacon Bioventures Advisors Fund III Limited Partnership ("Advisors Fund") is the general partner of Beacon Fund. Advisors Fund is solely managed by Impresa Management LLC ("Impresa"), its general partner and investment manager. Impresa is owned by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20"/>
        <w:spacing w:after="0" w:line="244" w:lineRule="auto"/>
        <w:rPr>
          <w:sz w:val="20"/>
          <w:szCs w:val="20"/>
          <w:color w:val="auto"/>
        </w:rPr>
      </w:pPr>
      <w:r>
        <w:rPr>
          <w:rFonts w:ascii="Arial" w:cs="Arial" w:eastAsia="Arial" w:hAnsi="Arial"/>
          <w:sz w:val="17"/>
          <w:szCs w:val="17"/>
          <w:color w:val="auto"/>
        </w:rPr>
        <w:t>shareholders and certain employees of FMR LLC. Impresa is managed on a day-to-day basis by its President, Paul L. Mucci, and as and as such Mr. Mucci may be deemed to share voting and dispositive power with respect to all shares held by Beacon Fund. Each of the individuals and entities listed above expressly disclaims beneficial ownership of the securities listed above except to the extent of any pecuniary interest therein. The address for each of the individuals and entities listed above is One Main Street, Cambridge, MA 02142.</w:t>
      </w:r>
    </w:p>
    <w:p>
      <w:pPr>
        <w:spacing w:after="0" w:line="199" w:lineRule="exact"/>
        <w:rPr>
          <w:sz w:val="20"/>
          <w:szCs w:val="20"/>
          <w:color w:val="auto"/>
        </w:rPr>
      </w:pPr>
    </w:p>
    <w:p>
      <w:pPr>
        <w:ind w:left="1680" w:right="160" w:hanging="533"/>
        <w:spacing w:after="0" w:line="245"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294,117 shares of common stock issuable upon exercise of stock options within 60 days of December 31, 2014, none of which are vested but are eligible for early exercise, and (ii) 789,175 shares acquired upon an early exercise and held of record by Mr. Albers, all of which are subject to a right of repurchase by us if Mr. Albers does not satisfy the option's vesting requirements. Shares acquired upon an early exercise may not be disposed of until the vesting period has been satisfied.</w:t>
      </w:r>
    </w:p>
    <w:p>
      <w:pPr>
        <w:spacing w:after="0" w:line="198" w:lineRule="exact"/>
        <w:rPr>
          <w:rFonts w:ascii="Arial" w:cs="Arial" w:eastAsia="Arial" w:hAnsi="Arial"/>
          <w:sz w:val="17"/>
          <w:szCs w:val="17"/>
          <w:color w:val="auto"/>
        </w:rPr>
      </w:pPr>
    </w:p>
    <w:p>
      <w:pPr>
        <w:ind w:left="1680" w:hanging="533"/>
        <w:spacing w:after="0"/>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100,000 shares of restricted stock Mr. Borisy holds in his individual capacity.</w:t>
      </w:r>
    </w:p>
    <w:p>
      <w:pPr>
        <w:spacing w:after="0" w:line="197" w:lineRule="exact"/>
        <w:rPr>
          <w:rFonts w:ascii="Arial" w:cs="Arial" w:eastAsia="Arial" w:hAnsi="Arial"/>
          <w:sz w:val="17"/>
          <w:szCs w:val="17"/>
          <w:color w:val="auto"/>
        </w:rPr>
      </w:pPr>
    </w:p>
    <w:p>
      <w:pPr>
        <w:ind w:left="1680" w:right="860" w:hanging="533"/>
        <w:spacing w:after="0" w:line="252"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100,000 shares of restricted stock, and (ii) 50,000 options to purchase shares of common stock that are exercisable as of December 31, 2014 or will become exercisable within 60 days after such date.</w:t>
      </w:r>
    </w:p>
    <w:p>
      <w:pPr>
        <w:spacing w:after="0" w:line="179" w:lineRule="exact"/>
        <w:rPr>
          <w:rFonts w:ascii="Arial" w:cs="Arial" w:eastAsia="Arial" w:hAnsi="Arial"/>
          <w:sz w:val="17"/>
          <w:szCs w:val="17"/>
          <w:color w:val="auto"/>
        </w:rPr>
      </w:pPr>
    </w:p>
    <w:p>
      <w:pPr>
        <w:ind w:left="1680" w:right="200" w:hanging="533"/>
        <w:spacing w:after="0" w:line="252"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900,000 shares of restricted stock, and (ii) 113,750 options to purchase common stock that are exercisable as of December 31, 2014 or will become exercisable within 60 days after such date.</w:t>
      </w:r>
    </w:p>
    <w:p>
      <w:pPr>
        <w:spacing w:after="0" w:line="192" w:lineRule="exact"/>
        <w:rPr>
          <w:rFonts w:ascii="Arial" w:cs="Arial" w:eastAsia="Arial" w:hAnsi="Arial"/>
          <w:sz w:val="17"/>
          <w:szCs w:val="17"/>
          <w:color w:val="auto"/>
        </w:rPr>
      </w:pPr>
    </w:p>
    <w:p>
      <w:pPr>
        <w:ind w:left="1680" w:right="640" w:hanging="533"/>
        <w:spacing w:after="0" w:line="241"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210,034 options to purchase common stock that are exercisable as of December 31, 2014 or will become exercisable within 60 days after such date, and (ii) 185,185 shares acquired upon an early exercise and held of record by</w:t>
      </w:r>
    </w:p>
    <w:p>
      <w:pPr>
        <w:ind w:left="1680" w:right="80"/>
        <w:spacing w:after="0" w:line="252" w:lineRule="auto"/>
        <w:rPr>
          <w:rFonts w:ascii="Arial" w:cs="Arial" w:eastAsia="Arial" w:hAnsi="Arial"/>
          <w:sz w:val="17"/>
          <w:szCs w:val="17"/>
          <w:color w:val="auto"/>
        </w:rPr>
      </w:pPr>
      <w:r>
        <w:rPr>
          <w:rFonts w:ascii="Arial" w:cs="Arial" w:eastAsia="Arial" w:hAnsi="Arial"/>
          <w:sz w:val="17"/>
          <w:szCs w:val="17"/>
          <w:color w:val="auto"/>
        </w:rPr>
        <w:t>Mr. Kuvalanka, of which 127,315 shares are subject to a right of repurchase by us if Mr. Kuvalanka does not satisfy the option's vesting requirements. Shares acquired upon an early exercise may not be disposed of until the vesting period has been satisfied</w:t>
      </w:r>
    </w:p>
    <w:p>
      <w:pPr>
        <w:spacing w:after="0" w:line="179" w:lineRule="exact"/>
        <w:rPr>
          <w:rFonts w:ascii="Arial" w:cs="Arial" w:eastAsia="Arial" w:hAnsi="Arial"/>
          <w:sz w:val="17"/>
          <w:szCs w:val="17"/>
          <w:color w:val="auto"/>
        </w:rPr>
      </w:pPr>
    </w:p>
    <w:p>
      <w:pPr>
        <w:ind w:left="1680" w:hanging="533"/>
        <w:spacing w:after="0"/>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1,500,000 shares of restricted stock.</w:t>
      </w:r>
    </w:p>
    <w:p>
      <w:pPr>
        <w:spacing w:after="0" w:line="197" w:lineRule="exact"/>
        <w:rPr>
          <w:rFonts w:ascii="Arial" w:cs="Arial" w:eastAsia="Arial" w:hAnsi="Arial"/>
          <w:sz w:val="17"/>
          <w:szCs w:val="17"/>
          <w:color w:val="auto"/>
        </w:rPr>
      </w:pPr>
    </w:p>
    <w:p>
      <w:pPr>
        <w:ind w:left="1680" w:hanging="533"/>
        <w:spacing w:after="0"/>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1,500,000 shares of restricted stock.</w:t>
      </w:r>
    </w:p>
    <w:p>
      <w:pPr>
        <w:spacing w:after="0" w:line="210" w:lineRule="exact"/>
        <w:rPr>
          <w:rFonts w:ascii="Arial" w:cs="Arial" w:eastAsia="Arial" w:hAnsi="Arial"/>
          <w:sz w:val="17"/>
          <w:szCs w:val="17"/>
          <w:color w:val="auto"/>
        </w:rPr>
      </w:pPr>
    </w:p>
    <w:p>
      <w:pPr>
        <w:ind w:left="1680" w:hanging="533"/>
        <w:spacing w:after="0" w:line="245"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Includes (i) 83,332 shares of common stock issuable upon conversion of Series B convertible preferred stock held in trusts for the benefit of Dr. Schenkein and certain of his family members, and (ii) 120,772 shares of common stock issuable upon conversion of Series C convertible preferred stock held in such trusts. Dr. Schenkein has voting and dispositive power over the shares held by such trusts.</w:t>
      </w:r>
    </w:p>
    <w:p>
      <w:pPr>
        <w:spacing w:after="0" w:line="185" w:lineRule="exact"/>
        <w:rPr>
          <w:rFonts w:ascii="Arial" w:cs="Arial" w:eastAsia="Arial" w:hAnsi="Arial"/>
          <w:sz w:val="17"/>
          <w:szCs w:val="17"/>
          <w:color w:val="auto"/>
        </w:rPr>
      </w:pPr>
    </w:p>
    <w:p>
      <w:pPr>
        <w:ind w:left="1680" w:right="60" w:hanging="533"/>
        <w:spacing w:after="0" w:line="242"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(a) 2,916,666 shares of common stock issuable upon conversion of Series B convertible preferred stock held by Nextech III Oncology, LPCI ("Nextech III"), and (b) 724,638 shares of common stock issuable upon conversion of Series C convertible preferred stock held by Nextech III. The general partner of Nextech III is Nextech III GP Ltd. Alfred Scheidegger, Rudolf Gygax and Roland Ruckstuhl are the managing members of Nextech III GP Ltd. and may be deemed to share dispositive voting and investment power over the shares held by Nextech III. Each of these individuals disclaims beneficial ownership of such shares except to the extent of his pecuniary interest therein. Mr. Schroeder, a member of our board of directors, is a partner of Nextech Invest AG, the investment advisor of Nextech III GP Ltd., and may be deemed to have voting and investment power over the shares held by Nextech III. Mr. Schroeder disclaims beneficial ownership of such shares except to the extent of any pecuniary interest therein.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95"/>
        </w:trPr>
        <w:tc>
          <w:tcPr>
            <w:tcW w:w="724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3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620"/>
        </w:trPr>
        <w:tc>
          <w:tcPr>
            <w:tcW w:w="3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900" w:type="dxa"/>
            <w:vAlign w:val="bottom"/>
          </w:tcPr>
          <w:p>
            <w:pPr>
              <w:jc w:val="center"/>
              <w:ind w:left="2755"/>
              <w:spacing w:after="0"/>
              <w:rPr>
                <w:sz w:val="20"/>
                <w:szCs w:val="20"/>
                <w:color w:val="auto"/>
              </w:rPr>
            </w:pPr>
            <w:r>
              <w:rPr>
                <w:rFonts w:ascii="Arial" w:cs="Arial" w:eastAsia="Arial" w:hAnsi="Arial"/>
                <w:sz w:val="17"/>
                <w:szCs w:val="17"/>
                <w:b w:val="1"/>
                <w:bCs w:val="1"/>
                <w:color w:val="auto"/>
                <w:w w:val="99"/>
              </w:rPr>
              <w:t>DESCRIPTION OF CAPITAL STOCK</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3"/>
        </w:trPr>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jc w:val="center"/>
              <w:ind w:left="2715"/>
              <w:spacing w:after="0"/>
              <w:rPr>
                <w:sz w:val="20"/>
                <w:szCs w:val="20"/>
                <w:color w:val="auto"/>
              </w:rPr>
            </w:pPr>
            <w:r>
              <w:rPr>
                <w:rFonts w:ascii="Arial" w:cs="Arial" w:eastAsia="Arial" w:hAnsi="Arial"/>
                <w:sz w:val="17"/>
                <w:szCs w:val="17"/>
                <w:b w:val="1"/>
                <w:bCs w:val="1"/>
                <w:color w:val="auto"/>
                <w:w w:val="97"/>
              </w:rPr>
              <w:t>General</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9"/>
        </w:trPr>
        <w:tc>
          <w:tcPr>
            <w:tcW w:w="380" w:type="dxa"/>
            <w:vAlign w:val="bottom"/>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color w:val="auto"/>
              </w:rPr>
              <w:t>Upon the completion of this offering, our authorized capital stock will consist of</w:t>
            </w:r>
          </w:p>
        </w:tc>
        <w:tc>
          <w:tcPr>
            <w:tcW w:w="4100" w:type="dxa"/>
            <w:vAlign w:val="bottom"/>
            <w:gridSpan w:val="2"/>
          </w:tcPr>
          <w:p>
            <w:pPr>
              <w:ind w:left="80"/>
              <w:spacing w:after="0"/>
              <w:rPr>
                <w:sz w:val="20"/>
                <w:szCs w:val="20"/>
                <w:color w:val="auto"/>
              </w:rPr>
            </w:pPr>
            <w:r>
              <w:rPr>
                <w:rFonts w:ascii="Arial" w:cs="Arial" w:eastAsia="Arial" w:hAnsi="Arial"/>
                <w:sz w:val="17"/>
                <w:szCs w:val="17"/>
                <w:color w:val="auto"/>
                <w:w w:val="99"/>
              </w:rPr>
              <w:t>shares of common stock, par value $0.001 per share,</w:t>
            </w:r>
          </w:p>
        </w:tc>
      </w:tr>
      <w:tr>
        <w:trPr>
          <w:trHeight w:val="197"/>
        </w:trPr>
        <w:tc>
          <w:tcPr>
            <w:tcW w:w="380" w:type="dxa"/>
            <w:vAlign w:val="bottom"/>
          </w:tcPr>
          <w:p>
            <w:pPr>
              <w:spacing w:after="0"/>
              <w:rPr>
                <w:sz w:val="20"/>
                <w:szCs w:val="20"/>
                <w:color w:val="auto"/>
              </w:rPr>
            </w:pPr>
            <w:r>
              <w:rPr>
                <w:rFonts w:ascii="Arial" w:cs="Arial" w:eastAsia="Arial" w:hAnsi="Arial"/>
                <w:sz w:val="17"/>
                <w:szCs w:val="17"/>
                <w:color w:val="auto"/>
              </w:rPr>
              <w:t>and</w:t>
            </w:r>
          </w:p>
        </w:tc>
        <w:tc>
          <w:tcPr>
            <w:tcW w:w="9220" w:type="dxa"/>
            <w:vAlign w:val="bottom"/>
            <w:gridSpan w:val="3"/>
          </w:tcPr>
          <w:p>
            <w:pPr>
              <w:ind w:left="860"/>
              <w:spacing w:after="0"/>
              <w:rPr>
                <w:sz w:val="20"/>
                <w:szCs w:val="20"/>
                <w:color w:val="auto"/>
              </w:rPr>
            </w:pPr>
            <w:r>
              <w:rPr>
                <w:rFonts w:ascii="Arial" w:cs="Arial" w:eastAsia="Arial" w:hAnsi="Arial"/>
                <w:sz w:val="17"/>
                <w:szCs w:val="17"/>
                <w:color w:val="auto"/>
              </w:rPr>
              <w:t>shares of preferred stock, par value $0.001 per share, all of which will be undesignated, and there will be</w:t>
            </w:r>
          </w:p>
        </w:tc>
        <w:tc>
          <w:tcPr>
            <w:tcW w:w="1740" w:type="dxa"/>
            <w:vAlign w:val="bottom"/>
          </w:tcPr>
          <w:p>
            <w:pPr>
              <w:ind w:left="460"/>
              <w:spacing w:after="0"/>
              <w:rPr>
                <w:sz w:val="20"/>
                <w:szCs w:val="20"/>
                <w:color w:val="auto"/>
              </w:rPr>
            </w:pPr>
            <w:r>
              <w:rPr>
                <w:rFonts w:ascii="Arial" w:cs="Arial" w:eastAsia="Arial" w:hAnsi="Arial"/>
                <w:sz w:val="17"/>
                <w:szCs w:val="17"/>
                <w:color w:val="auto"/>
              </w:rPr>
              <w:t>shares of</w:t>
            </w:r>
          </w:p>
        </w:tc>
      </w:tr>
    </w:tbl>
    <w:p>
      <w:pPr>
        <w:spacing w:after="0" w:line="241" w:lineRule="auto"/>
        <w:rPr>
          <w:sz w:val="20"/>
          <w:szCs w:val="20"/>
          <w:color w:val="auto"/>
        </w:rPr>
      </w:pPr>
      <w:r>
        <w:rPr>
          <w:rFonts w:ascii="Arial" w:cs="Arial" w:eastAsia="Arial" w:hAnsi="Arial"/>
          <w:sz w:val="17"/>
          <w:szCs w:val="17"/>
          <w:color w:val="auto"/>
        </w:rPr>
        <w:t>common stock outstanding and no shares of convertible preferred stock outstanding. As of December 31, 2014, we had approximately 60 record holders of our capital stock. All of our outstanding shares of convertible preferred stock will automatically convert into shares of our common stock upon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the completion of this offering. In addition, upon completion of this offering, options to purchase shares of our common stock will be outstanding and shares of our common stock will be reserved for future grants under our stock option plans.</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convertible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Upon the completion of this offering, our board of directors will be authorized, without action by the stockholders, to designate and issue up to an</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aggregate of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Amended and Restated By-laws — Provisions of Our Amended and Restated Certificate of Incorporation and Amended and Restated By-Laws — Undesignated Preferred Stock" below.</w:t>
      </w:r>
    </w:p>
    <w:p>
      <w:pPr>
        <w:spacing w:after="0" w:line="198" w:lineRule="exact"/>
        <w:rPr>
          <w:sz w:val="20"/>
          <w:szCs w:val="20"/>
          <w:color w:val="auto"/>
        </w:rPr>
      </w:pPr>
    </w:p>
    <w:p>
      <w:pPr>
        <w:jc w:val="both"/>
        <w:ind w:right="120" w:firstLine="474"/>
        <w:spacing w:after="0" w:line="246"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Warrants</w:t>
      </w:r>
    </w:p>
    <w:p>
      <w:pPr>
        <w:spacing w:after="0" w:line="23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As of December 31, 2014, warrants to purchase a total of 150,000 shares of our Series A Preferred Stock were outstanding with an exercise price of $1.00 per share. These warrants to purchase 150,000 shares of Series A Preferred Stock, which will be converted into warrants to purchase 150,000 shares of common stock upon completion of this offering, are exercisable immediately and expire on May 24, 2023. As of December 31, 2014, warrants to purchase a total of 83,333 shares of our Series B Preferred Stock were outstanding with an exercise price of $1.20 per share. These warrants to purchase 83,333 shares of Series B Preferred Stock, which will be converted into warrants to purchase 83,333 shares of common stock upon completion of this offering, are exercisable immediately and expire on November 3, 2024.</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or Investors' Rights Agreement, with the holders of shares of our common stock issuable upon conversion of the shares of convertible preferred stock. These shares will represent approximately % of our outstanding common stock after this offering, or % if the underwriters exercise their option to purchase additional shares in full. These shares also may be sold under Rule 144 under the Securities Act of 1933, as amended, depending on their holding period and subject to restrictions in the case of shares held by persons deemed to be our affiliates.</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registration within 60 days before or 180 days following any offering of our securities, including this offering or a requested S-3 registration within 30 days before or 90 days following any offering of our securities, including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color w:val="auto"/>
        </w:rPr>
        <w:t>Following the six month anniversary of the date of this prospectus, the holders of at least a majority of our registrable shares may require us to file a registration statement under the Securities Act on a Form S-1 or S-3, if available, at our expense with respect to the resale of their registrable shares, and we are required to use our best efforts to effect the registration.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99"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will pay all registration expenses, other than underwriting discounts and commissions, related to any 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8" w:lineRule="exact"/>
        <w:rPr>
          <w:sz w:val="20"/>
          <w:szCs w:val="20"/>
          <w:color w:val="auto"/>
        </w:rPr>
      </w:pPr>
    </w:p>
    <w:p>
      <w:pPr>
        <w:ind w:right="400" w:firstLine="470"/>
        <w:spacing w:after="0" w:line="252" w:lineRule="auto"/>
        <w:rPr>
          <w:sz w:val="20"/>
          <w:szCs w:val="20"/>
          <w:color w:val="auto"/>
        </w:rPr>
      </w:pPr>
      <w:r>
        <w:rPr>
          <w:rFonts w:ascii="Arial" w:cs="Arial" w:eastAsia="Arial" w:hAnsi="Arial"/>
          <w:sz w:val="17"/>
          <w:szCs w:val="17"/>
          <w:color w:val="auto"/>
        </w:rPr>
        <w:t>The registration rights will terminate upon the later of the date on which all registrable shares have been sold and the fifth anniversary of the closing date of this offering.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Agreement</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entered into a second amended and restated stockholders agreement, dated as of November 7, 2014, or Stockholders Agreement, with all holders of our convertible preferred stock and certain holders of our common stock. This agreement provides for certain rights and obligations, such as board composition requirements and stock transfer restrictions. This agreement will terminate upon the completion of this offering; however, the lock-up provision under the Stockholders Agreement will survive termination pursuant to the terms of the agreement. The lock-up provision under the Investors' Rights Agreement will also be in effect in connection with this offering. See "Shares Eligible for Future Sales — Lock-up Agreements."</w:t>
      </w:r>
    </w:p>
    <w:p>
      <w:pPr>
        <w:spacing w:after="0" w:line="3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Anti-takeover Effects of Delaware Law, Our Amended and Restated Certificate of Incorporation and Our Amended and Restated By-laws</w:t>
      </w:r>
    </w:p>
    <w:p>
      <w:pPr>
        <w:spacing w:after="0" w:line="231" w:lineRule="exact"/>
        <w:rPr>
          <w:sz w:val="20"/>
          <w:szCs w:val="20"/>
          <w:color w:val="auto"/>
        </w:rPr>
      </w:pPr>
    </w:p>
    <w:p>
      <w:pPr>
        <w:jc w:val="both"/>
        <w:ind w:right="240" w:firstLine="474"/>
        <w:spacing w:after="0" w:line="245" w:lineRule="auto"/>
        <w:rPr>
          <w:sz w:val="20"/>
          <w:szCs w:val="20"/>
          <w:color w:val="auto"/>
        </w:rPr>
      </w:pPr>
      <w:r>
        <w:rPr>
          <w:rFonts w:ascii="Arial" w:cs="Arial" w:eastAsia="Arial" w:hAnsi="Arial"/>
          <w:sz w:val="17"/>
          <w:szCs w:val="17"/>
          <w:color w:val="auto"/>
        </w:rPr>
        <w:t>Our amended and restated certificate of incorporation and amended and restated by-laws that will take effect in connection with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 and Filling Vacancies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our board is divided into three classes serving three-year terms, with one class being elected each year. Our amended and restated certificate of incorporation also provides that directors may be removed only for cause and then only by the affirmative vote of the holders of %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231"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23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By-laws and Certificate of Incorporation</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Blank Check Preferred Stock</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amended and restated certificate of incorporation provides for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2"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w:t>
      </w:r>
    </w:p>
    <w:p>
      <w:pPr>
        <w:spacing w:after="0" w:line="193" w:lineRule="exact"/>
        <w:rPr>
          <w:sz w:val="20"/>
          <w:szCs w:val="20"/>
          <w:color w:val="auto"/>
        </w:rPr>
      </w:pPr>
    </w:p>
    <w:p>
      <w:pPr>
        <w:ind w:left="1060" w:right="48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92" w:lineRule="exact"/>
        <w:rPr>
          <w:rFonts w:ascii="Arial" w:cs="Arial" w:eastAsia="Arial" w:hAnsi="Arial"/>
          <w:sz w:val="17"/>
          <w:szCs w:val="17"/>
          <w:color w:val="auto"/>
        </w:rPr>
      </w:pPr>
    </w:p>
    <w:p>
      <w:pPr>
        <w:ind w:left="1060" w:right="180" w:hanging="531"/>
        <w:spacing w:after="0" w:line="245"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85" w:lineRule="exact"/>
        <w:rPr>
          <w:rFonts w:ascii="Arial" w:cs="Arial" w:eastAsia="Arial" w:hAnsi="Arial"/>
          <w:sz w:val="17"/>
          <w:szCs w:val="17"/>
          <w:color w:val="auto"/>
        </w:rPr>
      </w:pPr>
    </w:p>
    <w:p>
      <w:pPr>
        <w:ind w:left="1060" w:right="680" w:hanging="531"/>
        <w:spacing w:after="0" w:line="246"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NASDAQ Global Market Listing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intend to apply to list our common stock on The NASDAQ Global Market under the trading symbol "BPMC."</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Sale of Restricted Shares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based on the number of shares of our common stock then outstanding, upon the closing of this offering and assuming</w:t>
      </w:r>
    </w:p>
    <w:p>
      <w:pPr>
        <w:spacing w:after="0" w:line="1" w:lineRule="exact"/>
        <w:rPr>
          <w:sz w:val="20"/>
          <w:szCs w:val="20"/>
          <w:color w:val="auto"/>
        </w:rPr>
      </w:pPr>
    </w:p>
    <w:p>
      <w:pPr>
        <w:ind w:right="160" w:firstLine="5"/>
        <w:spacing w:after="0" w:line="241" w:lineRule="auto"/>
        <w:tabs>
          <w:tab w:leader="none" w:pos="25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conversion of our outstanding convertible preferred stock into common stock, (2) no exercise of the underwriters' option to purchase additional shares of common stock and (3) no exercise of outstanding options or warrants, we would have had outstanding an aggregate of</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approximately shares of common stock. Of these shares, all of the shares of common stock to be sold in this offering, and any shares sold upon exercise of the underwriters' option to purchase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01" w:lineRule="exact"/>
        <w:rPr>
          <w:sz w:val="20"/>
          <w:szCs w:val="20"/>
          <w:color w:val="auto"/>
        </w:rPr>
      </w:pPr>
    </w:p>
    <w:p>
      <w:pPr>
        <w:ind w:right="140" w:firstLine="464"/>
        <w:spacing w:after="0" w:line="252" w:lineRule="auto"/>
        <w:rPr>
          <w:sz w:val="20"/>
          <w:szCs w:val="20"/>
          <w:color w:val="auto"/>
        </w:rPr>
      </w:pPr>
      <w:r>
        <w:rPr>
          <w:rFonts w:ascii="Arial" w:cs="Arial" w:eastAsia="Arial" w:hAnsi="Arial"/>
          <w:sz w:val="17"/>
          <w:szCs w:val="17"/>
          <w:color w:val="auto"/>
        </w:rPr>
        <w:t>As a result of the lock-up agreements referred to below and the provisions of Rule 144 and Rule 701 under the Securities Act,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120015</wp:posOffset>
            </wp:positionV>
            <wp:extent cx="5793740" cy="1250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93740" cy="125095"/>
                    </a:xfrm>
                    <a:prstGeom prst="rect">
                      <a:avLst/>
                    </a:prstGeom>
                    <a:noFill/>
                  </pic:spPr>
                </pic:pic>
              </a:graphicData>
            </a:graphic>
          </wp:anchor>
        </w:drawing>
      </w:r>
    </w:p>
    <w:p>
      <w:pPr>
        <w:spacing w:after="0" w:line="173" w:lineRule="exact"/>
        <w:rPr>
          <w:sz w:val="20"/>
          <w:szCs w:val="20"/>
          <w:color w:val="auto"/>
        </w:rPr>
      </w:pPr>
    </w:p>
    <w:p>
      <w:pPr>
        <w:ind w:left="1160"/>
        <w:spacing w:after="0"/>
        <w:tabs>
          <w:tab w:leader="none" w:pos="4420" w:val="left"/>
        </w:tabs>
        <w:rPr>
          <w:sz w:val="20"/>
          <w:szCs w:val="20"/>
          <w:color w:val="auto"/>
        </w:rPr>
      </w:pPr>
      <w:r>
        <w:rPr>
          <w:rFonts w:ascii="Arial" w:cs="Arial" w:eastAsia="Arial" w:hAnsi="Arial"/>
          <w:sz w:val="17"/>
          <w:szCs w:val="17"/>
          <w:color w:val="auto"/>
        </w:rPr>
        <w:t>Approximate Number of Shares</w:t>
      </w:r>
      <w:r>
        <w:rPr>
          <w:sz w:val="20"/>
          <w:szCs w:val="20"/>
          <w:color w:val="auto"/>
        </w:rPr>
        <w:tab/>
      </w:r>
      <w:r>
        <w:rPr>
          <w:rFonts w:ascii="Arial" w:cs="Arial" w:eastAsia="Arial" w:hAnsi="Arial"/>
          <w:sz w:val="17"/>
          <w:szCs w:val="17"/>
          <w:color w:val="auto"/>
        </w:rPr>
        <w:t>First Date Available for Sale into Public Market</w:t>
      </w: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180 days after the date of this prospectus upon expiration of the lock-up</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agreements referred to below, subject in some cases to applicable volume</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limitations under Rule 144</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 connection with this offering, we, our directors, our executive officers and stockholders holding approximately % of our shares of common stock outstanding as of December 31, 2014 (assuming conversion of all of our outstanding shares of convertible preferred stock), and substantially all of our option holders who are not also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Goldman, Sachs &amp; Co. and Cowen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320"/>
        <w:spacing w:after="0" w:line="252" w:lineRule="auto"/>
        <w:rPr>
          <w:sz w:val="20"/>
          <w:szCs w:val="20"/>
          <w:color w:val="auto"/>
        </w:rPr>
      </w:pPr>
      <w:r>
        <w:rPr>
          <w:rFonts w:ascii="Arial" w:cs="Arial" w:eastAsia="Arial" w:hAnsi="Arial"/>
          <w:sz w:val="17"/>
          <w:szCs w:val="17"/>
          <w:color w:val="auto"/>
        </w:rPr>
        <w:t>Company,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193" w:lineRule="exact"/>
        <w:rPr>
          <w:sz w:val="20"/>
          <w:szCs w:val="20"/>
          <w:color w:val="auto"/>
        </w:rPr>
      </w:pPr>
    </w:p>
    <w:p>
      <w:pPr>
        <w:jc w:val="both"/>
        <w:ind w:right="340" w:firstLine="474"/>
        <w:spacing w:after="0" w:line="24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99"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In addition, pursuant to each of our second amended and restated investors' rights agreement and second amended and restated stockholders' agreement, the parties thereto have agreed that, if requested in writing by the representatives of the underwriters of the initial public offering of our securities, they will not sell, make any short sale of, grant any option for the purchase of, or otherwise dispose of any shares of our stock during the same 180-day restricted period referred to above. We expect the representatives of the underwriters to invoke this written request prior to the completion of this offering and, accordingly, that the parties to these agreements will be subject to the related transaction restrictions.</w:t>
      </w:r>
    </w:p>
    <w:p>
      <w:pPr>
        <w:spacing w:after="0" w:line="199" w:lineRule="exact"/>
        <w:rPr>
          <w:sz w:val="20"/>
          <w:szCs w:val="20"/>
          <w:color w:val="auto"/>
        </w:rPr>
      </w:pPr>
    </w:p>
    <w:p>
      <w:pPr>
        <w:ind w:right="300" w:firstLine="474"/>
        <w:spacing w:after="0" w:line="246" w:lineRule="auto"/>
        <w:rPr>
          <w:sz w:val="20"/>
          <w:szCs w:val="20"/>
          <w:color w:val="auto"/>
        </w:rPr>
      </w:pPr>
      <w:r>
        <w:rPr>
          <w:rFonts w:ascii="Arial" w:cs="Arial" w:eastAsia="Arial" w:hAnsi="Arial"/>
          <w:sz w:val="17"/>
          <w:szCs w:val="17"/>
          <w:color w:val="auto"/>
        </w:rPr>
        <w:t>Holders of approximately shares of common stock (including shares of our convertible preferred stock that will be converted into shares of our common stock upon completion of this offering), or % of our outstanding shares of common stock on an as converted basis, are, collectively subject to lock-up restrictions as parties to these agreements or lock-up agreements with the underwriters.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144</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sales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ectPr>
          <w:pgSz w:w="11900" w:h="16838" w:orient="portrait"/>
          <w:cols w:equalWidth="0" w:num="1">
            <w:col w:w="11400"/>
          </w:cols>
          <w:pgMar w:left="240" w:top="143" w:right="259" w:bottom="1440" w:gutter="0" w:footer="0" w:header="0"/>
        </w:sect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1% of the number of common shares then outstanding, which will equal approximately shares of common stock immediately after this offering (calculated on the basis of the number of shares of our common stock outstanding as of , the assumptions</w:t>
      </w:r>
    </w:p>
    <w:p>
      <w:pPr>
        <w:spacing w:after="0" w:line="1" w:lineRule="exact"/>
        <w:rPr>
          <w:sz w:val="20"/>
          <w:szCs w:val="20"/>
          <w:color w:val="auto"/>
        </w:rPr>
      </w:pPr>
    </w:p>
    <w:p>
      <w:pPr>
        <w:sectPr>
          <w:pgSz w:w="11900" w:h="16838" w:orient="portrait"/>
          <w:cols w:equalWidth="0" w:num="2">
            <w:col w:w="580" w:space="480"/>
            <w:col w:w="10340"/>
          </w:cols>
          <w:pgMar w:left="240" w:top="143" w:right="259" w:bottom="1440" w:gutter="0" w:footer="0" w:header="0"/>
          <w:type w:val="continuous"/>
        </w:sectPr>
      </w:pPr>
    </w:p>
    <w:p>
      <w:pPr>
        <w:ind w:left="1060" w:right="420"/>
        <w:spacing w:after="0" w:line="242" w:lineRule="auto"/>
        <w:rPr>
          <w:sz w:val="20"/>
          <w:szCs w:val="20"/>
          <w:color w:val="auto"/>
        </w:rPr>
      </w:pPr>
      <w:r>
        <w:rPr>
          <w:rFonts w:ascii="Arial" w:cs="Arial" w:eastAsia="Arial" w:hAnsi="Arial"/>
          <w:sz w:val="17"/>
          <w:szCs w:val="17"/>
          <w:color w:val="auto"/>
        </w:rPr>
        <w:t>described above and assuming no exercise of the underwriter's option to purchase additional shares and no exercise of outstanding options or warrants); 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18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such sale.</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below, if applicable).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Incentive Plans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intend to file with the SEC a registration statement under the Securities Act covering the shares of common stock that we may issue upon exercise of outstanding options reserved for issuance under the 2011 Stock Option Plan and the 2015 Plan.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and will not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20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This summary also does not address the tax considerations arising under the laws of any U.S. state or local or any non-U.S. jurisdiction, the Medicare tax on net investment income or any alternative minimum tax consequences. In addition, this discussion does not address tax considerations applicable to a Non-US Holder's particular circumstances or to a Non-US Holder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tax-exempt or government organizations;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capital stock;</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97"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97"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treated as partnerships for U.S. federal income tax purposes, or investors in any such entities);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for whom our stock constitutes "qualified small business stock" within the meaning of Section 1202 of the Code;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integral parts or controlled entities of foreign sovereigns;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passive foreign investment companies and corporations that accumulate earnings to avoid U.S. federal income tax;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that acquire our common stock as compensation for services.</w:t>
      </w:r>
    </w:p>
    <w:p>
      <w:pPr>
        <w:spacing w:after="0" w:line="211" w:lineRule="exact"/>
        <w:rPr>
          <w:sz w:val="20"/>
          <w:szCs w:val="20"/>
          <w:color w:val="auto"/>
        </w:rPr>
      </w:pPr>
    </w:p>
    <w:p>
      <w:pPr>
        <w:ind w:right="480" w:firstLine="474"/>
        <w:spacing w:after="0" w:line="252" w:lineRule="auto"/>
        <w:rPr>
          <w:sz w:val="20"/>
          <w:szCs w:val="20"/>
          <w:color w:val="auto"/>
        </w:rPr>
      </w:pPr>
      <w:r>
        <w:rPr>
          <w:rFonts w:ascii="Arial" w:cs="Arial" w:eastAsia="Arial" w:hAnsi="Arial"/>
          <w:sz w:val="17"/>
          <w:szCs w:val="17"/>
          <w:color w:val="auto"/>
        </w:rPr>
        <w:t>In addition, if a partnership, including any entity or arrangement classified as a partnership for U.S. federal income tax purposes, holds our common stock, the tax treatment of a partner generally</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purchase, ownership, and disposition of our common stock.</w:t>
      </w:r>
    </w:p>
    <w:p>
      <w:pPr>
        <w:spacing w:after="0" w:line="199"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 of a Non-U.S. Holder</w:t>
      </w:r>
    </w:p>
    <w:p>
      <w:pPr>
        <w:spacing w:after="0" w:line="231"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For purposes of this summary, a "Non-U.S. Holder" is any beneficial owner of our common stock that is not a "U.S. person," a partnership, or an entity disregarded from its owner, each for U.S. federal income tax purposes. A U.S. person is any person that, for U.S. federal income tax purposes, is or is treated as any of the following:</w:t>
      </w:r>
    </w:p>
    <w:p>
      <w:pPr>
        <w:spacing w:after="0" w:line="199" w:lineRule="exact"/>
        <w:rPr>
          <w:sz w:val="20"/>
          <w:szCs w:val="20"/>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10"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thereof, or the District of Columbia;</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Distributions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but not below zero. Any excess will be treated as capital gain and will be treated as described below under "Gain on Sale or Other Disposition of Common Stock."</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with an IRS Form W-8BEN (generally including a U.S. taxpayer identification number), IRS Form W-8-BEN-E or another appropriate version of IRS Form W-8 (or a successor form), in each case,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Dividends paid to a Non-U.S. Holder that are effectively connected with the Non-U.S. Holder's conduct of a U.S. trade or business within the United States (and, if required by an applicable income tax treaty, are attributable to a permanent establishment maintained by the Non-U.S. Holder in the United States) generally are exempt from the withholding tax described above. In order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obtain this exemption,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although not subject to withholding tax, are taxed at the same graduated rates applicable to U.S. persons, net of certain deductions and credits, subject to an applicable income tax treaty providing otherwise. In addition, if you are Non-U.S. Holder that is a corporation, dividends you receive that are effectively connected with your conduct of a U.S. trade or business (and, if an income tax treaty applies, are attributable to a permanent establishment maintained by the you in the United States) may also be subject to a branch profits tax at a rate of 30% (or such lower rate as may be specified by an applicable income tax treaty) on such effectively connected dividends, as adjusted for certain items.</w:t>
      </w:r>
    </w:p>
    <w:p>
      <w:pPr>
        <w:spacing w:after="0" w:line="206"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file an appropriate claim for refund with the IRS.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Gain on Sale or Other Disposition of Common Stock</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required to pay U.S. federal income tax on any gain realized upon the sale or other disposition of our common stock unless:</w:t>
      </w:r>
    </w:p>
    <w:p>
      <w:pPr>
        <w:spacing w:after="0" w:line="193" w:lineRule="exact"/>
        <w:rPr>
          <w:sz w:val="20"/>
          <w:szCs w:val="20"/>
          <w:color w:val="auto"/>
        </w:rPr>
      </w:pPr>
    </w:p>
    <w:p>
      <w:pPr>
        <w:ind w:left="1060" w:hanging="531"/>
        <w:spacing w:after="0" w:line="244"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an income tax treaty applies, the gain is attributable to a permanent establishment maintained by the Non-U.S. Holder in the U.S.), in which case the Non-U.S. Holder will be required to pay tax on the net gain derived from the sale under regular graduated U.S. federal income tax rates, and for a Non-U.S. Holder that is a corporation, such Non-U.S. Holder may be subject to the branch profits tax at a 30% rate (or such lower rate as may be specified by an applicable income tax treaty) on such effectively connected dividends, as adjusted for certain items;</w:t>
      </w:r>
    </w:p>
    <w:p>
      <w:pPr>
        <w:spacing w:after="0" w:line="199" w:lineRule="exact"/>
        <w:rPr>
          <w:rFonts w:ascii="Arial" w:cs="Arial" w:eastAsia="Arial" w:hAnsi="Arial"/>
          <w:sz w:val="17"/>
          <w:szCs w:val="17"/>
          <w:color w:val="auto"/>
        </w:rPr>
      </w:pPr>
    </w:p>
    <w:p>
      <w:pPr>
        <w:ind w:left="1060" w:right="80" w:hanging="531"/>
        <w:spacing w:after="0" w:line="245"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185" w:lineRule="exact"/>
        <w:rPr>
          <w:rFonts w:ascii="Arial" w:cs="Arial" w:eastAsia="Arial" w:hAnsi="Arial"/>
          <w:sz w:val="17"/>
          <w:szCs w:val="17"/>
          <w:color w:val="auto"/>
        </w:rPr>
      </w:pPr>
    </w:p>
    <w:p>
      <w:pPr>
        <w:ind w:left="1060" w:right="80" w:hanging="531"/>
        <w:spacing w:after="0" w:line="24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U.S. federal income tax as long as our common stock is regularly traded on an established securities market and such Non-U.S. Holder does not, actually or constructively, hold more than five percent of our common stock at any time during the applicable period that is specified in the Code. If the foregoing exception does not apply, then if we are or were to become a USRPHC a 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Generally, we must file information returns annually to the IRS in connection with any dividends on our common stock paid to a Non-U.S. Holder, regardless of whether any tax was actually withheld. A similar report will be sent to the Non-U.S. Holder. Pursuant to applicable income tax treaties or other agreements, the IRS may make these reports available to tax authorities in the Non-U.S. Holder's country of residence.</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additional information reporting and backup withholding at a current rate of 28% unless such Non-U.S. Holder establishes an exemption, for example by properly certifying its non-U.S. status on an IRS Form W-8BEN, IRS Form W-8BEN-E, IRS Form W-8ECI, or another appropriate version of IRS Form W-8 (or a successor form). Notwithstanding the foregoing, backup withholding and information reporting may apply if either we or our paying agent has actual knowledge, or reason to know, that a holder is a U.S. person.</w:t>
      </w:r>
    </w:p>
    <w:p>
      <w:pPr>
        <w:spacing w:after="0" w:line="199" w:lineRule="exact"/>
        <w:rPr>
          <w:sz w:val="20"/>
          <w:szCs w:val="20"/>
          <w:color w:val="auto"/>
        </w:rPr>
      </w:pPr>
    </w:p>
    <w:p>
      <w:pPr>
        <w:jc w:val="both"/>
        <w:ind w:right="160" w:firstLine="474"/>
        <w:spacing w:after="0" w:line="246"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Foreign Account Tax Compliance Act ("FATCA")</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Foreign Account Tax Compliance Act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Treasury requiring, among other things, that it undertake to identify accounts held by "specified United States persons" or "United States-owned foreign entities" (each as defined in the Code),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Department of the Treasury. Under final regulations and published guidance, the obligation to withhold from payments made to a foreign financial institution or a foreign non-financial entity under FATCA with respect to dividends on our common stock began on July 1, 2014, but with respect to the gross proceeds of a sale or other disposition of our common stock will not begin until January 1, 2017. Prospective investors should consult their tax advisors regarding FATCA.</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Federal Estate Tax</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Common stock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9" w:lineRule="exact"/>
        <w:rPr>
          <w:sz w:val="20"/>
          <w:szCs w:val="20"/>
          <w:color w:val="auto"/>
        </w:rPr>
      </w:pPr>
    </w:p>
    <w:p>
      <w:pPr>
        <w:ind w:right="220" w:firstLine="473"/>
        <w:spacing w:after="0" w:line="259"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jc w:val="both"/>
        <w:ind w:right="120" w:firstLine="470"/>
        <w:spacing w:after="0" w:line="246"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and Cowen and Company, LLC are the representatives of the underwriters.</w:t>
      </w:r>
    </w:p>
    <w:p>
      <w:pPr>
        <w:sectPr>
          <w:pgSz w:w="11900" w:h="16838" w:orient="portrait"/>
          <w:cols w:equalWidth="0" w:num="1">
            <w:col w:w="11420"/>
          </w:cols>
          <w:pgMar w:left="240" w:top="142" w:right="239" w:bottom="1440" w:gutter="0" w:footer="0" w:header="0"/>
        </w:sect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7"/>
          <w:szCs w:val="17"/>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19685</wp:posOffset>
            </wp:positionV>
            <wp:extent cx="5069840" cy="1250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Number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5245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8180" w:space="720"/>
            <w:col w:w="2520"/>
          </w:cols>
          <w:pgMar w:left="240" w:top="142" w:right="23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Goldman, Sachs &amp; Co.</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JMP Securities LLC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33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-635</wp:posOffset>
            </wp:positionV>
            <wp:extent cx="5245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45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15240</wp:posOffset>
            </wp:positionV>
            <wp:extent cx="5245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30" w:lineRule="exact"/>
        <w:rPr>
          <w:sz w:val="20"/>
          <w:szCs w:val="20"/>
          <w:color w:val="auto"/>
        </w:rPr>
      </w:pPr>
    </w:p>
    <w:p>
      <w:pPr>
        <w:ind w:right="140" w:firstLine="470"/>
        <w:spacing w:after="0" w:line="25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93" w:lineRule="exact"/>
        <w:rPr>
          <w:sz w:val="20"/>
          <w:szCs w:val="20"/>
          <w:color w:val="auto"/>
        </w:rPr>
      </w:pPr>
    </w:p>
    <w:p>
      <w:pPr>
        <w:ind w:left="480"/>
        <w:spacing w:after="0"/>
        <w:tabs>
          <w:tab w:leader="none" w:pos="5460" w:val="left"/>
        </w:tabs>
        <w:rPr>
          <w:sz w:val="20"/>
          <w:szCs w:val="20"/>
          <w:color w:val="auto"/>
        </w:rPr>
      </w:pPr>
      <w:r>
        <w:rPr>
          <w:rFonts w:ascii="Arial" w:cs="Arial" w:eastAsia="Arial" w:hAnsi="Arial"/>
          <w:sz w:val="17"/>
          <w:szCs w:val="17"/>
          <w:color w:val="auto"/>
        </w:rPr>
        <w:t>The underwriters have an option to buy up to an additional</w:t>
      </w:r>
      <w:r>
        <w:rPr>
          <w:sz w:val="20"/>
          <w:szCs w:val="20"/>
          <w:color w:val="auto"/>
        </w:rPr>
        <w:tab/>
      </w:r>
      <w:r>
        <w:rPr>
          <w:rFonts w:ascii="Arial" w:cs="Arial" w:eastAsia="Arial" w:hAnsi="Arial"/>
          <w:sz w:val="17"/>
          <w:szCs w:val="17"/>
          <w:color w:val="auto"/>
        </w:rPr>
        <w:t>shares from the Company to cover sales by the underwriters of a greater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the Company. Such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80" w:type="dxa"/>
            <w:vAlign w:val="bottom"/>
            <w:gridSpan w:val="5"/>
          </w:tcPr>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w:t>
            </w:r>
          </w:p>
        </w:tc>
        <w:tc>
          <w:tcPr>
            <w:tcW w:w="1760" w:type="dxa"/>
            <w:vAlign w:val="bottom"/>
            <w:gridSpan w:val="4"/>
          </w:tcPr>
          <w:p>
            <w:pPr>
              <w:ind w:left="420"/>
              <w:spacing w:after="0"/>
              <w:rPr>
                <w:sz w:val="20"/>
                <w:szCs w:val="20"/>
                <w:color w:val="auto"/>
              </w:rPr>
            </w:pPr>
            <w:r>
              <w:rPr>
                <w:rFonts w:ascii="Arial" w:cs="Arial" w:eastAsia="Arial" w:hAnsi="Arial"/>
                <w:sz w:val="17"/>
                <w:szCs w:val="17"/>
                <w:color w:val="auto"/>
                <w:w w:val="99"/>
              </w:rPr>
              <w:t>additional shares.</w:t>
            </w:r>
          </w:p>
        </w:tc>
      </w:tr>
      <w:tr>
        <w:trPr>
          <w:trHeight w:val="603"/>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gridSpan w:val="3"/>
          </w:tcPr>
          <w:p>
            <w:pPr>
              <w:ind w:left="1160"/>
              <w:spacing w:after="0"/>
              <w:rPr>
                <w:sz w:val="20"/>
                <w:szCs w:val="20"/>
                <w:color w:val="auto"/>
              </w:rPr>
            </w:pPr>
            <w:r>
              <w:rPr>
                <w:rFonts w:ascii="Arial" w:cs="Arial" w:eastAsia="Arial" w:hAnsi="Arial"/>
                <w:sz w:val="17"/>
                <w:szCs w:val="17"/>
                <w:b w:val="1"/>
                <w:bCs w:val="1"/>
                <w:color w:val="auto"/>
              </w:rPr>
              <w:t>Paid by the Company</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9"/>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No</w:t>
            </w:r>
          </w:p>
        </w:tc>
        <w:tc>
          <w:tcPr>
            <w:tcW w:w="520" w:type="dxa"/>
            <w:vAlign w:val="bottom"/>
          </w:tcPr>
          <w:p>
            <w:pPr>
              <w:spacing w:after="0"/>
              <w:rPr>
                <w:sz w:val="24"/>
                <w:szCs w:val="2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rPr>
              <w:t>Full</w:t>
            </w: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Exercise</w:t>
            </w:r>
          </w:p>
        </w:tc>
        <w:tc>
          <w:tcPr>
            <w:tcW w:w="52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rPr>
              <w:t>Exercise</w:t>
            </w:r>
          </w:p>
        </w:tc>
      </w:tr>
      <w:tr>
        <w:trPr>
          <w:trHeight w:val="190"/>
        </w:trPr>
        <w:tc>
          <w:tcPr>
            <w:tcW w:w="17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 Share</w:t>
            </w:r>
          </w:p>
        </w:tc>
        <w:tc>
          <w:tcPr>
            <w:tcW w:w="33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3660" w:type="dxa"/>
            <w:vAlign w:val="bottom"/>
            <w:gridSpan w:val="2"/>
          </w:tcPr>
          <w:p>
            <w:pPr>
              <w:ind w:left="1720"/>
              <w:spacing w:after="0"/>
              <w:rPr>
                <w:sz w:val="20"/>
                <w:szCs w:val="20"/>
                <w:color w:val="auto"/>
              </w:rPr>
            </w:pPr>
            <w:r>
              <w:rPr>
                <w:rFonts w:ascii="Arial" w:cs="Arial" w:eastAsia="Arial" w:hAnsi="Arial"/>
                <w:sz w:val="17"/>
                <w:szCs w:val="17"/>
                <w:color w:val="auto"/>
              </w:rPr>
              <w:t>Total</w:t>
            </w:r>
          </w:p>
        </w:tc>
        <w:tc>
          <w:tcPr>
            <w:tcW w:w="33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the midpoint of the estimated price range set forth</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the 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8"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99"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Company and the representatives. Among the factors to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plan to submit an application to quote our common stock on The NASDAQ Global Market under the symbol "BPMC."</w:t>
      </w:r>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4"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estimates that its share of the total expenses of the offering, excluding underwriting discounts and commissions, will be</w:t>
      </w:r>
    </w:p>
    <w:p>
      <w:pPr>
        <w:spacing w:after="0" w:line="1"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agreed to indemnify the several underwriters against certain liabilities, including liabilities under the Securities Act of 1933.</w:t>
      </w:r>
    </w:p>
    <w:p>
      <w:pPr>
        <w:spacing w:after="0" w:line="211"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1"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any legal entity that is a qualified investor as defined in the Prospectus Directive;</w:t>
      </w:r>
    </w:p>
    <w:p>
      <w:pPr>
        <w:spacing w:after="0" w:line="210" w:lineRule="exact"/>
        <w:rPr>
          <w:rFonts w:ascii="Arial" w:cs="Arial" w:eastAsia="Arial" w:hAnsi="Arial"/>
          <w:sz w:val="17"/>
          <w:szCs w:val="17"/>
          <w:color w:val="auto"/>
        </w:rPr>
      </w:pPr>
    </w:p>
    <w:p>
      <w:pPr>
        <w:ind w:left="1060" w:right="42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85" w:lineRule="exact"/>
        <w:rPr>
          <w:rFonts w:ascii="Arial" w:cs="Arial" w:eastAsia="Arial" w:hAnsi="Arial"/>
          <w:sz w:val="17"/>
          <w:szCs w:val="17"/>
          <w:color w:val="auto"/>
        </w:rPr>
      </w:pPr>
    </w:p>
    <w:p>
      <w:pPr>
        <w:jc w:val="both"/>
        <w:ind w:left="1060" w:right="36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Kingdom</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underwriter has represented and agreed that:</w:t>
      </w:r>
    </w:p>
    <w:p>
      <w:pPr>
        <w:spacing w:after="0" w:line="211" w:lineRule="exact"/>
        <w:rPr>
          <w:sz w:val="20"/>
          <w:szCs w:val="20"/>
          <w:color w:val="auto"/>
        </w:rPr>
      </w:pPr>
    </w:p>
    <w:p>
      <w:pPr>
        <w:ind w:left="1060" w:right="20" w:hanging="531"/>
        <w:spacing w:after="0" w:line="246"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98"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France</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98" w:lineRule="exact"/>
        <w:rPr>
          <w:sz w:val="20"/>
          <w:szCs w:val="20"/>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shares to the public in France.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224" w:lineRule="exact"/>
        <w:rPr>
          <w:sz w:val="20"/>
          <w:szCs w:val="20"/>
          <w:color w:val="auto"/>
        </w:rPr>
      </w:pPr>
    </w:p>
    <w:p>
      <w:pPr>
        <w:ind w:left="1060" w:right="200" w:hanging="531"/>
        <w:spacing w:after="0" w:line="246"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197"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shares may be resold directly or indirectly, only in compliance with articles L.411-1, L.411-2, L.412-1 and L.621-8 through L.621-8-3 of the French Code monétaire et financier.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Australia</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212"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5580" w:right="3780" w:hanging="4526"/>
        <w:spacing w:after="0" w:line="509" w:lineRule="auto"/>
        <w:tabs>
          <w:tab w:leader="none" w:pos="158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580" w:right="140" w:hanging="526"/>
        <w:spacing w:after="0" w:line="246" w:lineRule="auto"/>
        <w:tabs>
          <w:tab w:leader="none" w:pos="15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580" w:hanging="526"/>
        <w:spacing w:after="0"/>
        <w:tabs>
          <w:tab w:leader="none" w:pos="15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197" w:lineRule="exact"/>
        <w:rPr>
          <w:rFonts w:ascii="Arial" w:cs="Arial" w:eastAsia="Arial" w:hAnsi="Arial"/>
          <w:sz w:val="17"/>
          <w:szCs w:val="17"/>
          <w:color w:val="auto"/>
        </w:rPr>
      </w:pPr>
    </w:p>
    <w:p>
      <w:pPr>
        <w:ind w:left="1580" w:right="200" w:hanging="526"/>
        <w:spacing w:after="0" w:line="246" w:lineRule="auto"/>
        <w:tabs>
          <w:tab w:leader="none" w:pos="15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95"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Hong Kong</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Singapore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2"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Japan</w:t>
      </w:r>
    </w:p>
    <w:p>
      <w:pPr>
        <w:spacing w:after="0" w:line="23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Israel</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520" w:firstLine="470"/>
        <w:spacing w:after="0" w:line="246"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Goodwin Procter LLP, Boston, Massachusetts. Certain legal matters in connection with this offering will be passed upon for the underwriters by Latham &amp; Watkins LLP, Boston, Massachusetts.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at December 31, 2013 and December 31, 2014 and for each of the two years in the period ended December 31, 2014, as set forth in their report, which is included in this prospectus and elsewhere in the registration statement. We have included our financial statements in the prospectus and elsewhere in the registration statement in reliance on Ernst &amp; Young LLP's report, given on their authority as experts in accounting and auditing.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that registers the shares of our common stock to be sold in this offering. This prospectus does not contain all the information contained in the registration statement and the exhibits and schedules filed as part of the registration statement. For further information with respect to us and our common stock, we refer you to the registration statement and the exhibits and schedules filed as part of the registration statement. Statements contained in this prospectus as to the contents of any contract or other document are not necessarily complete. If a contract or document has been filed as an exhibit to the registration statement, we refer you to the copies of the contract or document that has been filed. Each statement in this prospectus relating to a contract or document filed as an exhibit is qualified in all respects by the filed exhibit.</w:t>
      </w:r>
    </w:p>
    <w:p>
      <w:pPr>
        <w:spacing w:after="0" w:line="20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Upon the consummation of this offering, we will file annual, quarterly and current reports, proxy statements and other information with the SEC under the Exchange Act. You can read our SEC filings, including the registration statement, at the SEC's website at www.sec.gov.</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You may read and copy this information at the SEC's Public Reference Room at 100 F Street, N.E., Washington D.C. 20549, at prescribed rates. You may obtain information regarding the operation of the public reference room by calling the SEC at 1-800-SEC-0330. The SEC also maintains a website (http://www.sec.gov) that contains reports, proxy and information statements and other information regarding issuers that file electronically with the SEC.</w:t>
      </w:r>
    </w:p>
    <w:p>
      <w:pPr>
        <w:spacing w:after="0" w:line="198"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Our website address is www.blueprintmedicines.com. The information contained in, and that can be accessed through, our website is not incorporated into and is not part of this prospectus.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95"/>
        </w:trPr>
        <w:tc>
          <w:tcPr>
            <w:tcW w:w="9860" w:type="dxa"/>
            <w:vAlign w:val="bottom"/>
            <w:gridSpan w:val="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92"/>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3"/>
          </w:tcPr>
          <w:p>
            <w:pPr>
              <w:jc w:val="center"/>
              <w:ind w:right="1840"/>
              <w:spacing w:after="0"/>
              <w:rPr>
                <w:sz w:val="20"/>
                <w:szCs w:val="20"/>
                <w:color w:val="auto"/>
              </w:rPr>
            </w:pPr>
            <w:r>
              <w:rPr>
                <w:rFonts w:ascii="Arial" w:cs="Arial" w:eastAsia="Arial" w:hAnsi="Arial"/>
                <w:sz w:val="17"/>
                <w:szCs w:val="17"/>
                <w:b w:val="1"/>
                <w:bCs w:val="1"/>
                <w:color w:val="auto"/>
              </w:rPr>
              <w:t>Blueprint Medicines Corporation</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40" w:type="dxa"/>
            <w:vAlign w:val="bottom"/>
            <w:gridSpan w:val="3"/>
          </w:tcPr>
          <w:p>
            <w:pPr>
              <w:ind w:left="500"/>
              <w:spacing w:after="0"/>
              <w:rPr>
                <w:sz w:val="20"/>
                <w:szCs w:val="20"/>
                <w:color w:val="auto"/>
              </w:rPr>
            </w:pPr>
            <w:r>
              <w:rPr>
                <w:rFonts w:ascii="Arial" w:cs="Arial" w:eastAsia="Arial" w:hAnsi="Arial"/>
                <w:sz w:val="17"/>
                <w:szCs w:val="17"/>
                <w:b w:val="1"/>
                <w:bCs w:val="1"/>
                <w:color w:val="auto"/>
              </w:rPr>
              <w:t>Index to Consolidated Financial Statements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9"/>
        </w:trPr>
        <w:tc>
          <w:tcPr>
            <w:tcW w:w="1160" w:type="dxa"/>
            <w:vAlign w:val="bottom"/>
          </w:tcPr>
          <w:p>
            <w:pPr>
              <w:spacing w:after="0"/>
              <w:rPr>
                <w:sz w:val="24"/>
                <w:szCs w:val="24"/>
                <w:color w:val="auto"/>
              </w:rPr>
            </w:pPr>
          </w:p>
        </w:tc>
        <w:tc>
          <w:tcPr>
            <w:tcW w:w="8700" w:type="dxa"/>
            <w:vAlign w:val="bottom"/>
            <w:gridSpan w:val="8"/>
          </w:tcPr>
          <w:p>
            <w:pPr>
              <w:spacing w:after="0"/>
              <w:rPr>
                <w:rFonts w:ascii="Arial" w:cs="Arial" w:eastAsia="Arial" w:hAnsi="Arial"/>
                <w:sz w:val="17"/>
                <w:szCs w:val="17"/>
                <w:color w:val="0000EE"/>
              </w:rPr>
            </w:pPr>
            <w:hyperlink w:anchor="page166">
              <w:r>
                <w:rPr>
                  <w:rFonts w:ascii="Arial" w:cs="Arial" w:eastAsia="Arial" w:hAnsi="Arial"/>
                  <w:sz w:val="17"/>
                  <w:szCs w:val="17"/>
                  <w:color w:val="0000EE"/>
                </w:rPr>
                <w:t>Report of Independent Registered Public Accounting Firm</w:t>
              </w:r>
            </w:hyperlink>
          </w:p>
        </w:tc>
        <w:tc>
          <w:tcPr>
            <w:tcW w:w="1560" w:type="dxa"/>
            <w:vAlign w:val="bottom"/>
            <w:gridSpan w:val="2"/>
          </w:tcPr>
          <w:p>
            <w:pPr>
              <w:spacing w:after="0"/>
              <w:rPr>
                <w:rFonts w:ascii="Arial" w:cs="Arial" w:eastAsia="Arial" w:hAnsi="Arial"/>
                <w:sz w:val="17"/>
                <w:szCs w:val="17"/>
                <w:color w:val="0000EE"/>
              </w:rPr>
            </w:pPr>
            <w:hyperlink w:anchor="page166">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6"/>
          </w:tcPr>
          <w:p>
            <w:pPr>
              <w:spacing w:after="0" w:line="176" w:lineRule="exact"/>
              <w:rPr>
                <w:rFonts w:ascii="Arial" w:cs="Arial" w:eastAsia="Arial" w:hAnsi="Arial"/>
                <w:sz w:val="17"/>
                <w:szCs w:val="17"/>
                <w:color w:val="0000EE"/>
              </w:rPr>
            </w:pPr>
            <w:hyperlink w:anchor="page167">
              <w:r>
                <w:rPr>
                  <w:rFonts w:ascii="Arial" w:cs="Arial" w:eastAsia="Arial" w:hAnsi="Arial"/>
                  <w:sz w:val="17"/>
                  <w:szCs w:val="17"/>
                  <w:color w:val="0000EE"/>
                </w:rPr>
                <w:t>Balance Sheets</w:t>
              </w:r>
            </w:hyperlink>
          </w:p>
        </w:tc>
        <w:tc>
          <w:tcPr>
            <w:tcW w:w="4360" w:type="dxa"/>
            <w:vAlign w:val="bottom"/>
            <w:gridSpan w:val="2"/>
          </w:tcPr>
          <w:p>
            <w:pPr>
              <w:spacing w:after="0"/>
              <w:rPr>
                <w:sz w:val="15"/>
                <w:szCs w:val="15"/>
                <w:color w:val="auto"/>
              </w:rPr>
            </w:pPr>
          </w:p>
        </w:tc>
        <w:tc>
          <w:tcPr>
            <w:tcW w:w="260" w:type="dxa"/>
            <w:vAlign w:val="bottom"/>
            <w:tcBorders>
              <w:top w:val="single" w:sz="8" w:color="0000EE"/>
            </w:tcBorders>
          </w:tcPr>
          <w:p>
            <w:pPr>
              <w:spacing w:after="0" w:line="176" w:lineRule="exact"/>
              <w:rPr>
                <w:rFonts w:ascii="Arial" w:cs="Arial" w:eastAsia="Arial" w:hAnsi="Arial"/>
                <w:sz w:val="17"/>
                <w:szCs w:val="17"/>
                <w:color w:val="0000EE"/>
                <w:w w:val="93"/>
              </w:rPr>
            </w:pPr>
            <w:hyperlink w:anchor="page167">
              <w:r>
                <w:rPr>
                  <w:rFonts w:ascii="Arial" w:cs="Arial" w:eastAsia="Arial" w:hAnsi="Arial"/>
                  <w:sz w:val="17"/>
                  <w:szCs w:val="17"/>
                  <w:color w:val="0000EE"/>
                  <w:w w:val="93"/>
                </w:rPr>
                <w:t>F-3</w:t>
              </w:r>
            </w:hyperlink>
          </w:p>
        </w:tc>
        <w:tc>
          <w:tcPr>
            <w:tcW w:w="130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68">
              <w:r>
                <w:rPr>
                  <w:rFonts w:ascii="Arial" w:cs="Arial" w:eastAsia="Arial" w:hAnsi="Arial"/>
                  <w:sz w:val="17"/>
                  <w:szCs w:val="17"/>
                  <w:color w:val="0000EE"/>
                </w:rPr>
                <w:t>Statements of Operations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68">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740" w:type="dxa"/>
            <w:vAlign w:val="bottom"/>
            <w:tcBorders>
              <w:bottom w:val="single" w:sz="8" w:color="0000EE"/>
            </w:tcBorders>
            <w:gridSpan w:val="7"/>
          </w:tcPr>
          <w:p>
            <w:pPr>
              <w:spacing w:after="0" w:line="176" w:lineRule="exact"/>
              <w:rPr>
                <w:rFonts w:ascii="Arial" w:cs="Arial" w:eastAsia="Arial" w:hAnsi="Arial"/>
                <w:sz w:val="17"/>
                <w:szCs w:val="17"/>
                <w:color w:val="0000EE"/>
                <w:w w:val="99"/>
              </w:rPr>
            </w:pPr>
            <w:hyperlink w:anchor="page169">
              <w:r>
                <w:rPr>
                  <w:rFonts w:ascii="Arial" w:cs="Arial" w:eastAsia="Arial" w:hAnsi="Arial"/>
                  <w:sz w:val="17"/>
                  <w:szCs w:val="17"/>
                  <w:color w:val="0000EE"/>
                  <w:w w:val="99"/>
                </w:rPr>
                <w:t>Statements of Convertible Preferred Stock and Stockholders' (Deficit) Equity</w:t>
              </w:r>
            </w:hyperlink>
          </w:p>
        </w:tc>
        <w:tc>
          <w:tcPr>
            <w:tcW w:w="2960" w:type="dxa"/>
            <w:vAlign w:val="bottom"/>
          </w:tcPr>
          <w:p>
            <w:pPr>
              <w:spacing w:after="0"/>
              <w:rPr>
                <w:sz w:val="15"/>
                <w:szCs w:val="15"/>
                <w:color w:val="auto"/>
              </w:rPr>
            </w:pPr>
          </w:p>
        </w:tc>
        <w:tc>
          <w:tcPr>
            <w:tcW w:w="260" w:type="dxa"/>
            <w:vAlign w:val="bottom"/>
            <w:tcBorders>
              <w:bottom w:val="single" w:sz="8" w:color="0000EE"/>
            </w:tcBorders>
          </w:tcPr>
          <w:p>
            <w:pPr>
              <w:spacing w:after="0" w:line="176" w:lineRule="exact"/>
              <w:rPr>
                <w:rFonts w:ascii="Arial" w:cs="Arial" w:eastAsia="Arial" w:hAnsi="Arial"/>
                <w:sz w:val="17"/>
                <w:szCs w:val="17"/>
                <w:color w:val="0000EE"/>
                <w:w w:val="93"/>
              </w:rPr>
            </w:pPr>
            <w:hyperlink w:anchor="page169">
              <w:r>
                <w:rPr>
                  <w:rFonts w:ascii="Arial" w:cs="Arial" w:eastAsia="Arial" w:hAnsi="Arial"/>
                  <w:sz w:val="17"/>
                  <w:szCs w:val="17"/>
                  <w:color w:val="0000EE"/>
                  <w:w w:val="93"/>
                </w:rPr>
                <w:t>F-5</w:t>
              </w:r>
            </w:hyperlink>
          </w:p>
        </w:tc>
        <w:tc>
          <w:tcPr>
            <w:tcW w:w="130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Statements of Cash Flows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Notes to Financial Statements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F-7</w:t>
              </w:r>
            </w:hyperlink>
          </w:p>
        </w:tc>
      </w:tr>
      <w:tr>
        <w:trPr>
          <w:trHeight w:val="423"/>
        </w:trPr>
        <w:tc>
          <w:tcPr>
            <w:tcW w:w="1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360" w:type="dxa"/>
            <w:vAlign w:val="bottom"/>
            <w:gridSpan w:val="2"/>
          </w:tcPr>
          <w:p>
            <w:pPr>
              <w:jc w:val="center"/>
              <w:ind w:right="3940"/>
              <w:spacing w:after="0"/>
              <w:rPr>
                <w:sz w:val="20"/>
                <w:szCs w:val="20"/>
                <w:color w:val="auto"/>
              </w:rPr>
            </w:pPr>
            <w:r>
              <w:rPr>
                <w:rFonts w:ascii="Arial" w:cs="Arial" w:eastAsia="Arial" w:hAnsi="Arial"/>
                <w:sz w:val="17"/>
                <w:szCs w:val="17"/>
                <w:color w:val="auto"/>
              </w:rPr>
              <w:t>F-1</w:t>
            </w: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5" w:name="page166"/>
    <w:bookmarkEnd w:id="165"/>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1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have audited the accompanying balance sheets of Blueprint Medicines Corporation (the "Company") as of December 31, 2013 and 2014, and the related statements of operations, convertible preferred stock and stockholders' (deficit) equity, and cash flows for the years then ended.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6" w:lineRule="exact"/>
        <w:rPr>
          <w:sz w:val="20"/>
          <w:szCs w:val="20"/>
          <w:color w:val="auto"/>
        </w:rPr>
      </w:pPr>
    </w:p>
    <w:p>
      <w:pPr>
        <w:jc w:val="both"/>
        <w:ind w:right="520" w:firstLine="474"/>
        <w:spacing w:after="0" w:line="24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Blueprint Medicines Corporation at December 31, 2013 and 2014, and the results of its operations and its cash flows for the years then ended in conformity with U.S. generally accepted accounting principles.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February 19,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198"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gridSpan w:val="2"/>
          </w:tcPr>
          <w:p>
            <w:pPr>
              <w:jc w:val="center"/>
              <w:ind w:left="210"/>
              <w:spacing w:after="0" w:line="151"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5"/>
          </w:tcPr>
          <w:p>
            <w:pPr>
              <w:jc w:val="center"/>
              <w:ind w:right="20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90"/>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1,987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1,404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Liabilities, convertible preferred stock and stockholders' (deficit) equity</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Deferred rent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stock liability</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Current portion of term loan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3,153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Deferred rent, net of current portion</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Restricted stock liability,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Warrant liability</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Term loan payable,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2,155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Commitments (Note 10)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A convertible preferred stock, $0.001 par value: 40,150,000 shares authorized;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40,000,000, 40,000,000 and no shares issued and outstanding at December 31, 2013,</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and December 31, 2014 pro forma, respectively (liquidation</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preference of $48,238 at December 31, 2014)</w:t>
            </w:r>
          </w:p>
        </w:tc>
        <w:tc>
          <w:tcPr>
            <w:tcW w:w="340" w:type="dxa"/>
            <w:vAlign w:val="bottom"/>
          </w:tcPr>
          <w:p>
            <w:pPr>
              <w:spacing w:after="0"/>
              <w:rPr>
                <w:sz w:val="13"/>
                <w:szCs w:val="13"/>
                <w:color w:val="auto"/>
              </w:rPr>
            </w:pPr>
          </w:p>
        </w:tc>
        <w:tc>
          <w:tcPr>
            <w:tcW w:w="84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39,958</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39,958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 convertible preferred stock, $0.001 par value: no shares and 20,999,996 shares</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20,916,663 and no</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$27,075 at</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24,985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C convertible preferred stock, $0.001 par value: no shares and 24,154,589 shares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24,154,589 and no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$50,592 at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49,868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Stockholders' (deficit) equity:</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Common stock, $0.001 par value; 110,000,000 shares authorized; 11,483,110 and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12,202,752 shares issued at December 31, 2013 and 2014, respectively, and 6,717,289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and 8,947,220 shares outstanding at December 31, 2013 and 2014, respectively,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97,274,004 and 94,018,472 shares issued and outstanding at December 31, 2014 pro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forma, respectively</w:t>
            </w:r>
          </w:p>
        </w:tc>
        <w:tc>
          <w:tcPr>
            <w:tcW w:w="340" w:type="dxa"/>
            <w:vAlign w:val="bottom"/>
          </w:tcPr>
          <w:p>
            <w:pPr>
              <w:spacing w:after="0"/>
              <w:rPr>
                <w:sz w:val="13"/>
                <w:szCs w:val="13"/>
                <w:color w:val="auto"/>
              </w:rPr>
            </w:pPr>
          </w:p>
        </w:tc>
        <w:tc>
          <w:tcPr>
            <w:tcW w:w="6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3"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2,815</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117,906</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Accumulated deficit</w:t>
            </w:r>
          </w:p>
        </w:tc>
        <w:tc>
          <w:tcPr>
            <w:tcW w:w="340" w:type="dxa"/>
            <w:vAlign w:val="bottom"/>
          </w:tcPr>
          <w:p>
            <w:pPr>
              <w:spacing w:after="0"/>
              <w:rPr>
                <w:sz w:val="13"/>
                <w:szCs w:val="13"/>
                <w:color w:val="auto"/>
              </w:rPr>
            </w:pPr>
          </w:p>
        </w:tc>
        <w:tc>
          <w:tcPr>
            <w:tcW w:w="84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(41,921)</w:t>
            </w:r>
          </w:p>
        </w:tc>
        <w:tc>
          <w:tcPr>
            <w:tcW w:w="160" w:type="dxa"/>
            <w:vAlign w:val="bottom"/>
          </w:tcPr>
          <w:p>
            <w:pPr>
              <w:spacing w:after="0"/>
              <w:rPr>
                <w:sz w:val="13"/>
                <w:szCs w:val="13"/>
                <w:color w:val="auto"/>
              </w:rPr>
            </w:pPr>
          </w:p>
        </w:tc>
        <w:tc>
          <w:tcPr>
            <w:tcW w:w="64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w w:val="99"/>
              </w:rPr>
              <w:t>(82,206)</w:t>
            </w:r>
          </w:p>
        </w:tc>
        <w:tc>
          <w:tcPr>
            <w:tcW w:w="80" w:type="dxa"/>
            <w:vAlign w:val="bottom"/>
          </w:tcPr>
          <w:p>
            <w:pPr>
              <w:spacing w:after="0"/>
              <w:rPr>
                <w:sz w:val="13"/>
                <w:szCs w:val="13"/>
                <w:color w:val="auto"/>
              </w:rPr>
            </w:pPr>
          </w:p>
        </w:tc>
        <w:tc>
          <w:tcPr>
            <w:tcW w:w="1120" w:type="dxa"/>
            <w:vAlign w:val="bottom"/>
            <w:gridSpan w:val="5"/>
          </w:tcPr>
          <w:p>
            <w:pPr>
              <w:jc w:val="right"/>
              <w:ind w:right="100"/>
              <w:spacing w:after="0" w:line="157" w:lineRule="exact"/>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stockholders' (deficit) equity</w:t>
            </w:r>
          </w:p>
        </w:tc>
        <w:tc>
          <w:tcPr>
            <w:tcW w:w="3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(41,454)</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w w:val="99"/>
              </w:rPr>
              <w:t>(79,382)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35,794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liabilities, convertible preferred stock, and stockholders' (deficit) equity</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95"/>
        </w:trPr>
        <w:tc>
          <w:tcPr>
            <w:tcW w:w="832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w w:val="99"/>
              </w:rPr>
              <w:t>Statements of Operations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(in thousands, except per share data)</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31,844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7,890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(453)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other income (expense)</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Convertible preferred stock dividends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tcPr>
          <w:p>
            <w:pPr>
              <w:spacing w:after="0"/>
              <w:rPr>
                <w:sz w:val="15"/>
                <w:szCs w:val="15"/>
                <w:color w:val="auto"/>
              </w:rPr>
            </w:pPr>
          </w:p>
        </w:tc>
        <w:tc>
          <w:tcPr>
            <w:tcW w:w="760" w:type="dxa"/>
            <w:vAlign w:val="bottom"/>
            <w:gridSpan w:val="3"/>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applicable to common stockholders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(4.26)</w:t>
            </w:r>
          </w:p>
        </w:tc>
        <w:tc>
          <w:tcPr>
            <w:tcW w:w="200" w:type="dxa"/>
            <w:vAlign w:val="bottom"/>
          </w:tcPr>
          <w:p>
            <w:pPr>
              <w:jc w:val="right"/>
              <w:ind w:right="15"/>
              <w:spacing w:after="0" w:line="176"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line="176" w:lineRule="exact"/>
              <w:rPr>
                <w:sz w:val="20"/>
                <w:szCs w:val="20"/>
                <w:color w:val="auto"/>
              </w:rPr>
            </w:pPr>
            <w:r>
              <w:rPr>
                <w:rFonts w:ascii="Arial" w:cs="Arial" w:eastAsia="Arial" w:hAnsi="Arial"/>
                <w:sz w:val="17"/>
                <w:szCs w:val="17"/>
                <w:color w:val="auto"/>
              </w:rPr>
              <w:t>(5.89)</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Weighted-average number of common shares used in net loss per share applicable to</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common stockholders — basic and diluted</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5,582</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7,815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Pro forma 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(unaudited)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1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(0.56)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number of common shares used in net loss per share</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 (unaudited)</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71,962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vMerge w:val="restart"/>
          </w:tcPr>
          <w:p>
            <w:pPr>
              <w:jc w:val="center"/>
              <w:ind w:left="1675"/>
              <w:spacing w:after="0"/>
              <w:rPr>
                <w:sz w:val="20"/>
                <w:szCs w:val="20"/>
                <w:color w:val="auto"/>
              </w:rPr>
            </w:pPr>
            <w:r>
              <w:rPr>
                <w:rFonts w:ascii="Arial" w:cs="Arial" w:eastAsia="Arial" w:hAnsi="Arial"/>
                <w:sz w:val="17"/>
                <w:szCs w:val="17"/>
                <w:color w:val="auto"/>
              </w:rPr>
              <w:t>F-4</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Statements of Convertible Preferred Stock and Stockholders' (Deficit) Equity</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9"/>
              </w:rPr>
              <w:t>Series A</w:t>
            </w:r>
          </w:p>
        </w:tc>
        <w:tc>
          <w:tcPr>
            <w:tcW w:w="18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B</w:t>
            </w:r>
          </w:p>
        </w:tc>
        <w:tc>
          <w:tcPr>
            <w:tcW w:w="20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C</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8"/>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80" w:type="dxa"/>
            <w:vAlign w:val="bottom"/>
          </w:tcPr>
          <w:p>
            <w:pPr>
              <w:spacing w:after="0"/>
              <w:rPr>
                <w:sz w:val="13"/>
                <w:szCs w:val="13"/>
                <w:color w:val="auto"/>
              </w:rPr>
            </w:pPr>
          </w:p>
        </w:tc>
        <w:tc>
          <w:tcPr>
            <w:tcW w:w="1260" w:type="dxa"/>
            <w:vAlign w:val="bottom"/>
            <w:gridSpan w:val="8"/>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200" w:type="dxa"/>
            <w:vAlign w:val="bottom"/>
          </w:tcPr>
          <w:p>
            <w:pPr>
              <w:spacing w:after="0"/>
              <w:rPr>
                <w:sz w:val="13"/>
                <w:szCs w:val="13"/>
                <w:color w:val="auto"/>
              </w:rPr>
            </w:pPr>
          </w:p>
        </w:tc>
        <w:tc>
          <w:tcPr>
            <w:tcW w:w="1260" w:type="dxa"/>
            <w:vAlign w:val="bottom"/>
            <w:gridSpan w:val="8"/>
          </w:tcPr>
          <w:p>
            <w:pPr>
              <w:jc w:val="center"/>
              <w:ind w:right="240"/>
              <w:spacing w:after="0" w:line="157" w:lineRule="exact"/>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6"/>
          </w:tcPr>
          <w:p>
            <w:pPr>
              <w:ind w:left="20"/>
              <w:spacing w:after="0" w:line="157" w:lineRule="exact"/>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w w:val="97"/>
              </w:rPr>
              <w:t>Stockholders'</w:t>
            </w:r>
          </w:p>
        </w:tc>
      </w:tr>
      <w:tr>
        <w:trPr>
          <w:trHeight w:val="169"/>
        </w:trPr>
        <w:tc>
          <w:tcPr>
            <w:tcW w:w="124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6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9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7"/>
              </w:rPr>
              <w:t>Accumulated</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r>
      <w:tr>
        <w:trPr>
          <w:trHeight w:val="150"/>
        </w:trPr>
        <w:tc>
          <w:tcPr>
            <w:tcW w:w="1240" w:type="dxa"/>
            <w:vAlign w:val="bottom"/>
          </w:tcPr>
          <w:p>
            <w:pPr>
              <w:spacing w:after="0"/>
              <w:rPr>
                <w:sz w:val="13"/>
                <w:szCs w:val="13"/>
                <w:color w:val="auto"/>
              </w:rPr>
            </w:pP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80" w:type="dxa"/>
            <w:vAlign w:val="bottom"/>
            <w:gridSpan w:val="4"/>
          </w:tcPr>
          <w:p>
            <w:pPr>
              <w:jc w:val="right"/>
              <w:ind w:right="40"/>
              <w:spacing w:after="0" w:line="151" w:lineRule="exact"/>
              <w:rPr>
                <w:sz w:val="20"/>
                <w:szCs w:val="20"/>
                <w:color w:val="auto"/>
              </w:rPr>
            </w:pPr>
            <w:r>
              <w:rPr>
                <w:rFonts w:ascii="Arial" w:cs="Arial" w:eastAsia="Arial" w:hAnsi="Arial"/>
                <w:sz w:val="14"/>
                <w:szCs w:val="14"/>
                <w:b w:val="1"/>
                <w:bCs w:val="1"/>
                <w:color w:val="auto"/>
                <w:w w:val="98"/>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6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w w:val="87"/>
              </w:rPr>
              <w:t>Amoun</w:t>
            </w:r>
          </w:p>
        </w:tc>
        <w:tc>
          <w:tcPr>
            <w:tcW w:w="680" w:type="dxa"/>
            <w:vAlign w:val="bottom"/>
            <w:gridSpan w:val="5"/>
          </w:tcPr>
          <w:p>
            <w:pPr>
              <w:ind w:left="40"/>
              <w:spacing w:after="0" w:line="151" w:lineRule="exact"/>
              <w:rPr>
                <w:sz w:val="20"/>
                <w:szCs w:val="20"/>
                <w:color w:val="auto"/>
              </w:rPr>
            </w:pPr>
            <w:r>
              <w:rPr>
                <w:rFonts w:ascii="Arial" w:cs="Arial" w:eastAsia="Arial" w:hAnsi="Arial"/>
                <w:sz w:val="14"/>
                <w:szCs w:val="14"/>
                <w:b w:val="1"/>
                <w:bCs w:val="1"/>
                <w:color w:val="auto"/>
              </w:rPr>
              <w:t>t 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310"/>
              <w:spacing w:after="0" w:line="151" w:lineRule="exact"/>
              <w:rPr>
                <w:sz w:val="20"/>
                <w:szCs w:val="20"/>
                <w:color w:val="auto"/>
              </w:rPr>
            </w:pPr>
            <w:r>
              <w:rPr>
                <w:rFonts w:ascii="Arial" w:cs="Arial" w:eastAsia="Arial" w:hAnsi="Arial"/>
                <w:sz w:val="14"/>
                <w:szCs w:val="14"/>
                <w:b w:val="1"/>
                <w:bCs w:val="1"/>
                <w:color w:val="auto"/>
              </w:rPr>
              <w:t>Deficit</w:t>
            </w:r>
          </w:p>
        </w:tc>
        <w:tc>
          <w:tcPr>
            <w:tcW w:w="82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rPr>
              <w:t>Equity</w:t>
            </w: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2012</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25,000,000</w:t>
            </w:r>
          </w:p>
        </w:tc>
        <w:tc>
          <w:tcPr>
            <w:tcW w:w="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24,970</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3,959,945</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89</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(21,009)$</w:t>
            </w:r>
          </w:p>
        </w:tc>
        <w:tc>
          <w:tcPr>
            <w:tcW w:w="780" w:type="dxa"/>
            <w:vAlign w:val="bottom"/>
            <w:tcBorders>
              <w:right w:val="single" w:sz="8" w:color="CCEEFF"/>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(20,916)</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A</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$1.00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$12</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15,000,000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14,988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2,757,344</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2013</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6,717,289</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460</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(41,921)$</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(41,454)</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Series B</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at $1.20 per</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of $115</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C</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$2.07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2,229,931</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2014</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10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8,947,220</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9</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2,815</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(79,382)</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into common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8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(40,000,000)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8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8"/>
              </w:rPr>
              <w:t>(39,958) (20,916,663)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gridSpan w:val="7"/>
            <w:shd w:val="clear" w:color="auto" w:fill="CCEEFF"/>
          </w:tcPr>
          <w:p>
            <w:pPr>
              <w:jc w:val="right"/>
              <w:spacing w:after="0" w:line="153" w:lineRule="exact"/>
              <w:rPr>
                <w:sz w:val="20"/>
                <w:szCs w:val="20"/>
                <w:color w:val="auto"/>
              </w:rPr>
            </w:pPr>
            <w:r>
              <w:rPr>
                <w:rFonts w:ascii="Arial" w:cs="Arial" w:eastAsia="Arial" w:hAnsi="Arial"/>
                <w:sz w:val="14"/>
                <w:szCs w:val="14"/>
                <w:color w:val="auto"/>
                <w:w w:val="98"/>
              </w:rPr>
              <w:t>(24,985) (24,154,589)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9"/>
              </w:rPr>
              <w:t>(49,868) 85,071,252</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114,726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114,811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Reclassification</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of warrant to</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to stockholders'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equity</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r>
      <w:tr>
        <w:trPr>
          <w:trHeight w:val="155"/>
        </w:trPr>
        <w:tc>
          <w:tcPr>
            <w:tcW w:w="12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Pro forma</w:t>
            </w: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94,018,472</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94</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117,906</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35,794</w:t>
            </w:r>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00"/>
          </w:cols>
          <w:pgMar w:left="240" w:top="143" w:right="115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95"/>
        </w:trPr>
        <w:tc>
          <w:tcPr>
            <w:tcW w:w="83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Statements of Cash Flows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activities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(20,912)</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in operating activities: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501</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622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Noncash interest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2,326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541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550</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2,873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(19,025)</w:t>
            </w: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(35,400)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(257)</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term loan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7,000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Principal payments on loan payable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A convertible preferred stock, net of issuance costs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14,987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Proceeds from issuance of Series B convertible preferred stock, net of issuance costs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24,985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C convertible preferred stock, net of issuance costs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49,868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Debt issuance costs</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(18)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17,992</w:t>
            </w: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81,353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(1,290)</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45,253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3,277</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1,987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1,987</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noncash financing activity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Issuance of warrants in connection with term loan</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vMerge w:val="restart"/>
          </w:tcPr>
          <w:p>
            <w:pPr>
              <w:jc w:val="center"/>
              <w:ind w:left="1695"/>
              <w:spacing w:after="0"/>
              <w:rPr>
                <w:sz w:val="20"/>
                <w:szCs w:val="20"/>
                <w:color w:val="auto"/>
              </w:rPr>
            </w:pPr>
            <w:r>
              <w:rPr>
                <w:rFonts w:ascii="Arial" w:cs="Arial" w:eastAsia="Arial" w:hAnsi="Arial"/>
                <w:sz w:val="17"/>
                <w:szCs w:val="17"/>
                <w:color w:val="auto"/>
              </w:rPr>
              <w:t>F-6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98"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has an accumulated deficit as of December 31, 2014 of approximately $82.2 million and will require substantial additional capital for research and product development. The Company is subject to a number of risks similar to those of other early stage companies, including dependence on key individuals; the need to develop commercially viable drugs;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out-license certain of its research and development programs or future commercialization efforts.</w:t>
      </w:r>
    </w:p>
    <w:p>
      <w:pPr>
        <w:spacing w:after="0" w:line="201" w:lineRule="exact"/>
        <w:rPr>
          <w:sz w:val="20"/>
          <w:szCs w:val="20"/>
          <w:color w:val="auto"/>
        </w:rPr>
      </w:pPr>
    </w:p>
    <w:p>
      <w:pPr>
        <w:ind w:right="780" w:firstLine="464"/>
        <w:spacing w:after="0" w:line="252" w:lineRule="auto"/>
        <w:rPr>
          <w:sz w:val="20"/>
          <w:szCs w:val="20"/>
          <w:color w:val="auto"/>
        </w:rPr>
      </w:pPr>
      <w:r>
        <w:rPr>
          <w:rFonts w:ascii="Arial" w:cs="Arial" w:eastAsia="Arial" w:hAnsi="Arial"/>
          <w:sz w:val="17"/>
          <w:szCs w:val="17"/>
          <w:color w:val="auto"/>
        </w:rPr>
        <w:t>At December 31, 2014, the Company believes its cash and cash equivalents, totaling approximately $47.2 million, are sufficient to fund operations through at least January 1,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31"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accompanying financial statements have been prepared in accordance with United States (U.S.) generally accepted accounting principles ("U.S. GAAP") and include all adjustments necessary for the fair presentation of the Company's financial position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stock-based compensation expense, including estimating the fair value of the Company's common stock (the "Common Stock"); the valuation of liability-classified warrants; accrued expenses; and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Financial Information</w:t>
      </w:r>
    </w:p>
    <w:p>
      <w:pPr>
        <w:spacing w:after="0" w:line="231" w:lineRule="exact"/>
        <w:rPr>
          <w:sz w:val="20"/>
          <w:szCs w:val="20"/>
          <w:color w:val="auto"/>
        </w:rPr>
      </w:pPr>
    </w:p>
    <w:p>
      <w:pPr>
        <w:jc w:val="both"/>
        <w:ind w:right="580" w:firstLine="474"/>
        <w:spacing w:after="0" w:line="252" w:lineRule="auto"/>
        <w:rPr>
          <w:sz w:val="20"/>
          <w:szCs w:val="20"/>
          <w:color w:val="auto"/>
        </w:rPr>
      </w:pPr>
      <w:r>
        <w:rPr>
          <w:rFonts w:ascii="Arial" w:cs="Arial" w:eastAsia="Arial" w:hAnsi="Arial"/>
          <w:sz w:val="17"/>
          <w:szCs w:val="17"/>
          <w:color w:val="auto"/>
        </w:rPr>
        <w:t>On February 10, 2015, the Company's board of directors authorized the management of the Company to submit on a confidential basis a registration statement with the Securities and Exchange Commission ("SEC") for the Company to sell shares of its Common Stock to the public.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Upon the closing of a qualified initial public offering, all of the Company's outstanding convertible preferred stock will automatically convert into Common Stock. The unaudited pro forma consolidated balance sheet and statement of convertible preferred stock and stockholders' (deficit) equity as of December 31, 2014 assumes the conversion of all outstanding convertible preferred stock into shares of Common Stock and the reclassification of the warrant liability to additional paid-in capital upon the completion of this proposed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non-owner sources. For the years ended December 31, 2013 and 2014, comprehensive loss was equal to net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ind w:right="500" w:firstLine="474"/>
        <w:spacing w:after="0" w:line="246" w:lineRule="auto"/>
        <w:rPr>
          <w:sz w:val="20"/>
          <w:szCs w:val="20"/>
          <w:color w:val="auto"/>
        </w:rPr>
      </w:pPr>
      <w:r>
        <w:rPr>
          <w:rFonts w:ascii="Arial" w:cs="Arial" w:eastAsia="Arial" w:hAnsi="Arial"/>
          <w:sz w:val="17"/>
          <w:szCs w:val="17"/>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December 31, 2013 and 2014 (in thousands):</w:t>
      </w:r>
    </w:p>
    <w:p>
      <w:pPr>
        <w:spacing w:after="0" w:line="179" w:lineRule="exact"/>
        <w:rPr>
          <w:sz w:val="20"/>
          <w:szCs w:val="20"/>
          <w:color w:val="auto"/>
        </w:rPr>
      </w:pPr>
    </w:p>
    <w:p>
      <w:pPr>
        <w:ind w:left="7680"/>
        <w:spacing w:after="0"/>
        <w:tabs>
          <w:tab w:leader="none" w:pos="8820" w:val="left"/>
        </w:tabs>
        <w:rPr>
          <w:sz w:val="20"/>
          <w:szCs w:val="20"/>
          <w:color w:val="auto"/>
        </w:rPr>
      </w:pPr>
      <w:r>
        <w:rPr>
          <w:rFonts w:ascii="Arial" w:cs="Arial" w:eastAsia="Arial" w:hAnsi="Arial"/>
          <w:sz w:val="17"/>
          <w:szCs w:val="17"/>
          <w:b w:val="1"/>
          <w:bCs w:val="1"/>
          <w:u w:val="single" w:color="auto"/>
          <w:color w:val="auto"/>
        </w:rPr>
        <w:t>2013</w:t>
      </w:r>
      <w:r>
        <w:rPr>
          <w:sz w:val="20"/>
          <w:szCs w:val="20"/>
          <w:color w:val="auto"/>
        </w:rPr>
        <w:tab/>
      </w:r>
      <w:r>
        <w:rPr>
          <w:rFonts w:ascii="Arial" w:cs="Arial" w:eastAsia="Arial" w:hAnsi="Arial"/>
          <w:sz w:val="17"/>
          <w:szCs w:val="17"/>
          <w:b w:val="1"/>
          <w:bCs w:val="1"/>
          <w:u w:val="single" w:color="auto"/>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19685</wp:posOffset>
            </wp:positionV>
            <wp:extent cx="5069840" cy="125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4" w:lineRule="exact"/>
        <w:rPr>
          <w:sz w:val="20"/>
          <w:szCs w:val="20"/>
          <w:color w:val="auto"/>
        </w:rPr>
      </w:pPr>
    </w:p>
    <w:p>
      <w:pPr>
        <w:ind w:left="1720"/>
        <w:spacing w:after="0"/>
        <w:tabs>
          <w:tab w:leader="none" w:pos="7380" w:val="left"/>
          <w:tab w:leader="none" w:pos="7900" w:val="left"/>
          <w:tab w:leader="none" w:pos="8480" w:val="left"/>
          <w:tab w:leader="none" w:pos="9000" w:val="left"/>
        </w:tabs>
        <w:rPr>
          <w:sz w:val="20"/>
          <w:szCs w:val="20"/>
          <w:color w:val="auto"/>
        </w:rPr>
      </w:pPr>
      <w:r>
        <w:rPr>
          <w:rFonts w:ascii="Arial" w:cs="Arial" w:eastAsia="Arial" w:hAnsi="Arial"/>
          <w:sz w:val="17"/>
          <w:szCs w:val="17"/>
          <w:color w:val="auto"/>
        </w:rPr>
        <w:t>Money market fund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1,987</w:t>
        <w:tab/>
        <w:t>$</w:t>
      </w:r>
      <w:r>
        <w:rPr>
          <w:sz w:val="20"/>
          <w:szCs w:val="20"/>
          <w:color w:val="auto"/>
        </w:rPr>
        <w:tab/>
      </w:r>
      <w:r>
        <w:rPr>
          <w:rFonts w:ascii="Arial" w:cs="Arial" w:eastAsia="Arial" w:hAnsi="Arial"/>
          <w:sz w:val="17"/>
          <w:szCs w:val="17"/>
          <w:color w:val="auto"/>
        </w:rPr>
        <w:t>47,240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hierarchy prioritizes the inputs to valuation techniques used to measure fair value into three broad levels as follows: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inputs are quoted prices (unadjusted) in active markets for identical assets or liabilities.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211"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2013, are classified below based on the fair value hierarchy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2460" w:type="dxa"/>
            <w:vAlign w:val="bottom"/>
            <w:gridSpan w:val="4"/>
          </w:tcPr>
          <w:p>
            <w:pPr>
              <w:jc w:val="center"/>
              <w:ind w:right="13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7"/>
              </w:rPr>
              <w:t>December 31,</w:t>
            </w: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11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5"/>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0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1,987</w:t>
            </w:r>
          </w:p>
        </w:tc>
        <w:tc>
          <w:tcPr>
            <w:tcW w:w="1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1,987</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spacing w:after="0"/>
              <w:rPr>
                <w:sz w:val="16"/>
                <w:szCs w:val="16"/>
                <w:color w:val="auto"/>
              </w:rPr>
            </w:pPr>
          </w:p>
        </w:tc>
      </w:tr>
      <w:tr>
        <w:trPr>
          <w:trHeight w:val="207"/>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1100" w:type="dxa"/>
            <w:vAlign w:val="bottom"/>
          </w:tcPr>
          <w:p>
            <w:pPr>
              <w:spacing w:after="0"/>
              <w:rPr>
                <w:sz w:val="18"/>
                <w:szCs w:val="18"/>
                <w:color w:val="auto"/>
              </w:rPr>
            </w:pPr>
          </w:p>
        </w:tc>
      </w:tr>
      <w:tr>
        <w:trPr>
          <w:trHeight w:val="406"/>
        </w:trPr>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7"/>
                <w:szCs w:val="17"/>
                <w:color w:val="auto"/>
              </w:rPr>
              <w:t>F-8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2014, are classified below based on the fair value hierarchy described above: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December 31,</w:t>
            </w: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8"/>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47,240</w:t>
            </w:r>
          </w:p>
        </w:tc>
        <w:tc>
          <w:tcPr>
            <w:tcW w:w="9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   47,240</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07"/>
        </w:trPr>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(365)</w:t>
            </w:r>
          </w:p>
        </w:tc>
      </w:tr>
    </w:tbl>
    <w:p>
      <w:pPr>
        <w:spacing w:after="0" w:line="202"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At December 31, 2013 and 2014, all of the Company's cash equivalents comprise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 The fair value of the preferred stock warrant liability was determined based on Level 3 inputs and utilizing the Black-Scholes option pricing model (see Note 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platform.</w:t>
      </w:r>
    </w:p>
    <w:p>
      <w:pPr>
        <w:spacing w:after="0" w:line="193" w:lineRule="exact"/>
        <w:rPr>
          <w:sz w:val="20"/>
          <w:szCs w:val="20"/>
          <w:color w:val="auto"/>
        </w:rPr>
      </w:pPr>
    </w:p>
    <w:p>
      <w:pPr>
        <w:ind w:right="200" w:firstLine="474"/>
        <w:spacing w:after="0" w:line="244"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As of December 31, 2013 and 2014, the Company had prepaid expenses of approximately $0.1 million in each year related to nonrefundable advance payments to vendors.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2014.</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completion of a liquidation event, including the completion of an initial public offering, at which time the warrant liability will be reclassified to stockholders' equity if the criteria for recording the warrant as an equity instrument are met. The warrant liability totaled $0.1 million and $0.4 million at December 31, 2013 and 2014, respectively (see Note 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expenses the fair value of employee stock awards net of estimated forfeitures, adjusted to reflect actual forfeitures on a straight-line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hanging="531"/>
        <w:spacing w:after="0" w:line="24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the Company is privately held as of the date of these financial statements, it does not have relevant historical data to support its expected volatility. As such, the Company has used an average of expected volatility based on the volatilities of a representative group of publicly traded biopharmaceutical companies. For purposes of identifying representative companies, the Company considered characteristics such as number of drug candidates in early stages of drug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The Company intends to consistently apply this process using the same representative companies until a sufficient amount of historical information regarding the volatility of the Company's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4"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79" w:lineRule="exact"/>
        <w:rPr>
          <w:rFonts w:ascii="Arial" w:cs="Arial" w:eastAsia="Arial" w:hAnsi="Arial"/>
          <w:sz w:val="17"/>
          <w:szCs w:val="17"/>
          <w:color w:val="auto"/>
        </w:rPr>
      </w:pPr>
    </w:p>
    <w:p>
      <w:pPr>
        <w:ind w:left="1060" w:right="120" w:hanging="531"/>
        <w:spacing w:after="0" w:line="246"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the Company has insufficient historical information regarding stock options to provide a basis for an estimate;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230" w:lineRule="exact"/>
        <w:rPr>
          <w:rFonts w:ascii="Arial" w:cs="Arial" w:eastAsia="Arial" w:hAnsi="Arial"/>
          <w:sz w:val="17"/>
          <w:szCs w:val="17"/>
          <w:b w:val="1"/>
          <w:bCs w:val="1"/>
          <w:color w:val="auto"/>
        </w:rPr>
      </w:pPr>
    </w:p>
    <w:p>
      <w:pPr>
        <w:ind w:left="1060" w:right="300" w:hanging="531"/>
        <w:spacing w:after="0" w:line="252" w:lineRule="auto"/>
        <w:tabs>
          <w:tab w:leader="none" w:pos="10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(OPM) or a hybrid of the probability-weighted expected return method, or PWERM, and the OPM, and was approved by our board of directors; and</w:t>
      </w:r>
    </w:p>
    <w:p>
      <w:pPr>
        <w:spacing w:after="0" w:line="192" w:lineRule="exact"/>
        <w:rPr>
          <w:rFonts w:ascii="Arial" w:cs="Arial" w:eastAsia="Arial" w:hAnsi="Arial"/>
          <w:sz w:val="17"/>
          <w:szCs w:val="17"/>
          <w:color w:val="auto"/>
        </w:rPr>
      </w:pPr>
    </w:p>
    <w:p>
      <w:pPr>
        <w:ind w:left="1060" w:right="700" w:hanging="531"/>
        <w:spacing w:after="0" w:line="252" w:lineRule="auto"/>
        <w:tabs>
          <w:tab w:leader="none" w:pos="10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the Company never paid cash dividends and does not expect to pay any cash dividends in the foreseeable future.</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99"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Stock-based awards issued to non-employees, including directors for non-board-related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Off-Balance-Sheet Risk</w:t>
      </w:r>
    </w:p>
    <w:p>
      <w:pPr>
        <w:spacing w:after="0" w:line="231"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The Company maintains its cash and cash equivalents in a custodian account at a high quality financial institution, and consequently, the Company believes that such funds are subject to minimal credit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and Geographic Information</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 Applicable to Common Stockholders</w:t>
      </w:r>
    </w:p>
    <w:p>
      <w:pPr>
        <w:spacing w:after="0" w:line="231"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anti-dilutive; therefore, basic and diluted net loss per share applicable to common stockholders were the same for all periods presented. The following common stock equivalents were excluded from the calculation of diluted net loss per share applicable to common stockholders for the periods indicated because including them would have had an anti-dilutive effect.</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w w:val="98"/>
              </w:rPr>
              <w:t>Years ended</w:t>
            </w:r>
          </w:p>
        </w:tc>
      </w:t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85,071,252</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150,000</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233,333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2,118,900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8,260,767</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Unvested restricted stock</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4,602,111</w:t>
            </w:r>
          </w:p>
        </w:tc>
        <w:tc>
          <w:tcPr>
            <w:tcW w:w="160" w:type="dxa"/>
            <w:vAlign w:val="bottom"/>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2,339,042</w:t>
            </w:r>
          </w:p>
        </w:tc>
        <w:tc>
          <w:tcPr>
            <w:tcW w:w="160" w:type="dxa"/>
            <w:vAlign w:val="bottom"/>
          </w:tcPr>
          <w:p>
            <w:pPr>
              <w:spacing w:after="0"/>
              <w:rPr>
                <w:sz w:val="17"/>
                <w:szCs w:val="17"/>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46,871,011</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95,904,394</w:t>
            </w:r>
          </w:p>
        </w:tc>
        <w:tc>
          <w:tcPr>
            <w:tcW w:w="160" w:type="dxa"/>
            <w:vAlign w:val="bottom"/>
            <w:shd w:val="clear" w:color="auto" w:fill="CCEEFF"/>
          </w:tcPr>
          <w:p>
            <w:pPr>
              <w:spacing w:after="0"/>
              <w:rPr>
                <w:sz w:val="16"/>
                <w:szCs w:val="16"/>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Unaudited pro forma net loss per share applicable to common stockholders is computed using the weighted-average number of common shares outstanding after giving effect to the conversion of all convertible preferred stock into shares of the Common Stock as if such conversion had occurred at the beginning of the period presented, or the date of original issuance, if later. Accordingly, the pro forma basic and diluted net loss per share applicable to stockholders does not include the effects of the cumulative preferred stock dividends. Additionally, the changes in the fair value of the warrants to purchase convertible preferred stock have been excluded from the determination of unaudited pro forma net loss as those re-measurements would not be required when the warrants to purchase convertible preferred stock become warrants to purchase Common Stock. Shares to be sold in the offering are excluded from the unaudited pro forma basic and diluted loss per share applicable to common stockholders calculations.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Unaudited pro forma net loss per share applicable to common stockholders is computed as follows (in thousands except for share and per share information):</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7"/>
                <w:szCs w:val="17"/>
                <w:color w:val="auto"/>
              </w:rPr>
              <w:t>Add back: remeasurement of warrant to purchase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applicable to common stockholders — basic and diluted</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(40,185)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 outstanding</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7,815,307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180"/>
              <w:spacing w:after="0"/>
              <w:rPr>
                <w:sz w:val="20"/>
                <w:szCs w:val="20"/>
                <w:color w:val="auto"/>
              </w:rPr>
            </w:pPr>
            <w:r>
              <w:rPr>
                <w:rFonts w:ascii="Arial" w:cs="Arial" w:eastAsia="Arial" w:hAnsi="Arial"/>
                <w:sz w:val="17"/>
                <w:szCs w:val="17"/>
                <w:color w:val="auto"/>
              </w:rPr>
              <w:t>Adjustment for assumed conversion of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64,146,383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weighted average common shares outstanding — basic and diluted</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71,961,690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basic and diluted loss per share applicable to common stockholders</w:t>
            </w: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7"/>
                <w:szCs w:val="17"/>
                <w:color w:val="auto"/>
                <w:w w:val="84"/>
              </w:rPr>
              <w:t>$</w:t>
            </w:r>
          </w:p>
        </w:tc>
        <w:tc>
          <w:tcPr>
            <w:tcW w:w="130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31" w:lineRule="exact"/>
        <w:rPr>
          <w:sz w:val="20"/>
          <w:szCs w:val="20"/>
          <w:color w:val="auto"/>
        </w:rPr>
      </w:pPr>
    </w:p>
    <w:p>
      <w:pPr>
        <w:ind w:right="340" w:firstLine="474"/>
        <w:spacing w:after="0" w:line="245" w:lineRule="auto"/>
        <w:rPr>
          <w:sz w:val="20"/>
          <w:szCs w:val="20"/>
          <w:color w:val="auto"/>
        </w:rPr>
      </w:pPr>
      <w:r>
        <w:rPr>
          <w:rFonts w:ascii="Arial" w:cs="Arial" w:eastAsia="Arial" w:hAnsi="Arial"/>
          <w:sz w:val="17"/>
          <w:szCs w:val="17"/>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198"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June 2014, the FASB issued Accounting Standards Update ("ASU") 2014-10, Development Stage Entities (Topic 915) ("ASU 2014-10"), which removes the definition of a development stage entity from the ASC, thereby removing the financial reporting distinction between development stage entities and other reporting entities. Accordingly, ASU 2014-10 eliminates the requirements for development stage entities to (1) present inception-to-date information in the statements of operations, cash flows and shareholder equity, (2) label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ASU 2014-10 is effective for public business entities for annual periods beginning after December 15, 2014, and interim reporting periods beginning after December 15, 2015, with early adoption permitted. The Company early adopted the provisions of ASU 2014-10 in these financial statements.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231"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At December 31, 2013 and 2014, $0.2 million of the Company's cash is restricted by a bank. As of December 31, 2014, $0.1 million of the restricted cash is included in current assets as collateral for a stand-by letter of credit issued by the Company to its landlord in connection with the lease of the Company's corporate headquarters. As of December 31, 2014, $0.1 million of the restricted cash is included in long-term assets related to the Company's corporate credit card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and related accumulated depreciation are as follows (in thousands):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w:t>
            </w:r>
          </w:p>
        </w:tc>
        <w:tc>
          <w:tcPr>
            <w:tcW w:w="140" w:type="dxa"/>
            <w:vAlign w:val="bottom"/>
          </w:tcPr>
          <w:p>
            <w:pPr>
              <w:spacing w:after="0"/>
              <w:rPr>
                <w:sz w:val="17"/>
                <w:szCs w:val="17"/>
                <w:color w:val="auto"/>
              </w:rPr>
            </w:pPr>
          </w:p>
        </w:tc>
        <w:tc>
          <w:tcPr>
            <w:tcW w:w="1600" w:type="dxa"/>
            <w:vAlign w:val="bottom"/>
            <w:gridSpan w:val="8"/>
            <w:vMerge w:val="restart"/>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09"/>
        </w:trPr>
        <w:tc>
          <w:tcPr>
            <w:tcW w:w="4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8"/>
              </w:rPr>
              <w:t>Useful Life</w:t>
            </w:r>
          </w:p>
        </w:tc>
        <w:tc>
          <w:tcPr>
            <w:tcW w:w="140" w:type="dxa"/>
            <w:vAlign w:val="bottom"/>
          </w:tcPr>
          <w:p>
            <w:pPr>
              <w:spacing w:after="0"/>
              <w:rPr>
                <w:sz w:val="9"/>
                <w:szCs w:val="9"/>
                <w:color w:val="auto"/>
              </w:rPr>
            </w:pPr>
          </w:p>
        </w:tc>
        <w:tc>
          <w:tcPr>
            <w:tcW w:w="16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Lab equipment</w:t>
            </w:r>
          </w:p>
        </w:tc>
        <w:tc>
          <w:tcPr>
            <w:tcW w:w="1620" w:type="dxa"/>
            <w:vAlign w:val="bottom"/>
            <w:gridSpan w:val="2"/>
            <w:shd w:val="clear" w:color="auto" w:fill="CCEEFF"/>
          </w:tcPr>
          <w:p>
            <w:pPr>
              <w:jc w:val="center"/>
              <w:ind w:left="635"/>
              <w:spacing w:after="0" w:line="189" w:lineRule="exact"/>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1,719</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20" w:type="dxa"/>
            <w:vAlign w:val="bottom"/>
            <w:gridSpan w:val="2"/>
          </w:tcPr>
          <w:p>
            <w:pPr>
              <w:jc w:val="center"/>
              <w:ind w:left="6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860" w:type="dxa"/>
            <w:vAlign w:val="bottom"/>
            <w:gridSpan w:val="3"/>
          </w:tcPr>
          <w:p>
            <w:pPr>
              <w:jc w:val="center"/>
              <w:ind w:left="395"/>
              <w:spacing w:after="0"/>
              <w:rPr>
                <w:sz w:val="20"/>
                <w:szCs w:val="20"/>
                <w:color w:val="auto"/>
              </w:rPr>
            </w:pPr>
            <w:r>
              <w:rPr>
                <w:rFonts w:ascii="Arial" w:cs="Arial" w:eastAsia="Arial" w:hAnsi="Arial"/>
                <w:sz w:val="17"/>
                <w:szCs w:val="17"/>
                <w:color w:val="auto"/>
                <w:w w:val="98"/>
              </w:rPr>
              <w:t>Term of lease</w:t>
            </w:r>
          </w:p>
        </w:tc>
        <w:tc>
          <w:tcPr>
            <w:tcW w:w="140" w:type="dxa"/>
            <w:vAlign w:val="bottom"/>
          </w:tcPr>
          <w:p>
            <w:pPr>
              <w:spacing w:after="0"/>
              <w:rPr>
                <w:sz w:val="17"/>
                <w:szCs w:val="17"/>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2,328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3,028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(924)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190"/>
        </w:trPr>
        <w:tc>
          <w:tcPr>
            <w:tcW w:w="4380" w:type="dxa"/>
            <w:vAlign w:val="bottom"/>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expense for the years ended December 31, 2013 and 2014 was $0.5 million and $0.6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5. Accrued Expenses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06"/>
        </w:trPr>
        <w:tc>
          <w:tcPr>
            <w:tcW w:w="5400" w:type="dxa"/>
            <w:vAlign w:val="bottom"/>
            <w:gridSpan w:val="2"/>
          </w:tcPr>
          <w:p>
            <w:pPr>
              <w:ind w:left="460"/>
              <w:spacing w:after="0"/>
              <w:rPr>
                <w:sz w:val="20"/>
                <w:szCs w:val="20"/>
                <w:color w:val="auto"/>
              </w:rPr>
            </w:pPr>
            <w:r>
              <w:rPr>
                <w:rFonts w:ascii="Arial" w:cs="Arial" w:eastAsia="Arial" w:hAnsi="Arial"/>
                <w:sz w:val="17"/>
                <w:szCs w:val="17"/>
                <w:color w:val="auto"/>
              </w:rPr>
              <w:t>Accrued expenses consist of the following (in thousands):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8"/>
          </w:tcPr>
          <w:p>
            <w:pPr>
              <w:ind w:left="1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1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 compensation</w:t>
            </w:r>
          </w:p>
        </w:tc>
        <w:tc>
          <w:tcPr>
            <w:tcW w:w="2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w:t>
            </w:r>
          </w:p>
        </w:tc>
        <w:tc>
          <w:tcPr>
            <w:tcW w:w="3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623</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External research and pre-clinical development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2,034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Severance</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Consulting</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License fees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Interest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866</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3,810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gridSpan w:val="2"/>
          </w:tcPr>
          <w:p>
            <w:pPr>
              <w:jc w:val="right"/>
              <w:ind w:right="2280"/>
              <w:spacing w:after="0"/>
              <w:rPr>
                <w:sz w:val="20"/>
                <w:szCs w:val="20"/>
                <w:color w:val="auto"/>
              </w:rPr>
            </w:pPr>
            <w:r>
              <w:rPr>
                <w:rFonts w:ascii="Arial" w:cs="Arial" w:eastAsia="Arial" w:hAnsi="Arial"/>
                <w:sz w:val="17"/>
                <w:szCs w:val="17"/>
                <w:color w:val="auto"/>
              </w:rPr>
              <w:t>F-14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May 2013, the Company entered into a loan and security agreement (Loan and Security Agreement) with Silicon Valley Bank. Under the terms of the agreement, the Company may borrow up to $5.0 million. Loan advances accrue interest at a fixed rate of 2% above the Prime Rate. In June 2013, the Company drew the first loan advance of $1.0 million under the Loan and Security Agreement and was required to make interest-only payments until April 1, 2014, and consecutive monthly payments of principal, plus accrued interest, over the remaining term through March 2017. In September 2013, the Company drew the second loan advance of $2.0 million under the Loan and Security Agreement and was required to make interest-only payments until April 1, 2014, and consecutive monthly payments of principal, plus accrued interest, over the remaining term through March 2017. In June 2014, the Company drew the remaining $2.0 million advance under the Loan and Security Agreement and is required to make interest-only payments until January 1, 2015, and consecutive monthly payments of principal, plus accrued interest, over the remaining term through December 2017. In November 2014, the Company amended the Loan and Security Agreement to allow the Company to borrow an additional $5.0 million. The Company accounted for the amendment as a modification to the existing Loan and Security Agreement. The Company immediately drew the additional $5.0 million and is required to make interest-only payments until December 1, 2015, and consecutive monthly payments of principal, plus accrued interest, over the remaining term through November 2018. The Company is required to pay a fee of 4.00%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203" w:lineRule="exact"/>
        <w:rPr>
          <w:sz w:val="20"/>
          <w:szCs w:val="20"/>
          <w:color w:val="auto"/>
        </w:rPr>
      </w:pPr>
    </w:p>
    <w:p>
      <w:pPr>
        <w:ind w:right="240"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long-term liabilities based on scheduled principal payments.</w:t>
      </w:r>
    </w:p>
    <w:p>
      <w:pPr>
        <w:spacing w:after="0" w:line="198"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Scheduled monthly principal payments on the term loan, as of December 31, 2014,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5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2016</w:t>
            </w: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3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2018</w:t>
            </w:r>
          </w:p>
        </w:tc>
        <w:tc>
          <w:tcPr>
            <w:tcW w:w="3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52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9,250</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20" w:type="dxa"/>
            <w:vAlign w:val="bottom"/>
            <w:gridSpan w:val="2"/>
          </w:tcPr>
          <w:p>
            <w:pPr>
              <w:jc w:val="right"/>
              <w:ind w:right="2460"/>
              <w:spacing w:after="0"/>
              <w:rPr>
                <w:sz w:val="20"/>
                <w:szCs w:val="20"/>
                <w:color w:val="auto"/>
              </w:rPr>
            </w:pPr>
            <w:r>
              <w:rPr>
                <w:rFonts w:ascii="Arial" w:cs="Arial" w:eastAsia="Arial" w:hAnsi="Arial"/>
                <w:sz w:val="17"/>
                <w:szCs w:val="17"/>
                <w:color w:val="auto"/>
              </w:rPr>
              <w:t>F-15</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1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In connection with the Loan and Security Agreement, the Company issued a warrant to Silicon Valley Bank to purchase 150,000 shares of Series A Convertible Preferred Stock at an exercise price of $1.00 per share. In connection with the amendment to the Loan and Security Agreement, the Company issued a warrant to Silicon Valley Bank to purchase 83,333 shares of Series B Convertible Preferred Stock at an exercise price of $1.20 per share. Both warrants were exercisable immediately and have a ten-year life. No portion of the warrants have been exercised as of December 31, 2014.</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warrants are classified as a liability and are re-measured to the-then current fair value at each balance sheet date. Re-measurement gains or losses are recorded in other income (expense) in the statements of operations. The following table sets forth a summary of changes in the fair value of the warrants which represents a recurring measurement that is classified within Level 3 of the fair value hierarchy wherein fair value is estimated using significant unobservable inputs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8"/>
          </w:tcPr>
          <w:p>
            <w:pPr>
              <w:ind w:left="86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200"/>
              <w:spacing w:after="0" w:line="173" w:lineRule="exact"/>
              <w:rPr>
                <w:sz w:val="20"/>
                <w:szCs w:val="20"/>
                <w:color w:val="auto"/>
              </w:rPr>
            </w:pPr>
            <w:r>
              <w:rPr>
                <w:rFonts w:ascii="Arial" w:cs="Arial" w:eastAsia="Arial" w:hAnsi="Arial"/>
                <w:sz w:val="17"/>
                <w:szCs w:val="17"/>
                <w:b w:val="1"/>
                <w:bCs w:val="1"/>
                <w:color w:val="auto"/>
                <w:w w:val="99"/>
              </w:rPr>
              <w:t>December 31,</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100"/>
              <w:spacing w:after="0" w:line="173" w:lineRule="exact"/>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80"/>
              <w:spacing w:after="0"/>
              <w:rPr>
                <w:sz w:val="20"/>
                <w:szCs w:val="20"/>
                <w:color w:val="auto"/>
              </w:rPr>
            </w:pPr>
            <w:r>
              <w:rPr>
                <w:rFonts w:ascii="Arial" w:cs="Arial" w:eastAsia="Arial" w:hAnsi="Arial"/>
                <w:sz w:val="17"/>
                <w:szCs w:val="17"/>
                <w:color w:val="auto"/>
              </w:rPr>
              <w:t>Issuance of warrant at fair value</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w:t>
            </w: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119</w:t>
            </w:r>
          </w:p>
        </w:tc>
        <w:tc>
          <w:tcPr>
            <w:tcW w:w="100" w:type="dxa"/>
            <w:vAlign w:val="bottom"/>
          </w:tcPr>
          <w:p>
            <w:pPr>
              <w:spacing w:after="0"/>
              <w:rPr>
                <w:sz w:val="16"/>
                <w:szCs w:val="16"/>
                <w:color w:val="auto"/>
              </w:rPr>
            </w:pPr>
          </w:p>
        </w:tc>
        <w:tc>
          <w:tcPr>
            <w:tcW w:w="1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Company valued the warrants for the purchase of Series A and B Convertible Preferred Stock ("Series A and Series B Warrants") at issuance and at the balance sheet dates using the Black-Scholes option pricing model. The significant assumptions used in estimating the fair value of the warrants include the volatility of the stock underlying the warrant, risk-free interest rate, estimated fair value of the preferred stock underlying the warrant, and the estimated term of the warrant. The fair value of the preferred stock underlying the warrants was estimated using the implied value from the Company's Common Stock valuations on those dates. The Company used the following weighted-average assumptions in its Black-Scholes option pricing model:</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7"/>
                <w:szCs w:val="17"/>
                <w:b w:val="1"/>
                <w:bCs w:val="1"/>
                <w:color w:val="auto"/>
              </w:rPr>
              <w:t>Series A Warrant</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7"/>
                <w:szCs w:val="17"/>
                <w:b w:val="1"/>
                <w:bCs w:val="1"/>
                <w:color w:val="auto"/>
              </w:rPr>
              <w:t>Series B Warrant</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7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December 31, 2013</w:t>
            </w:r>
          </w:p>
        </w:tc>
        <w:tc>
          <w:tcPr>
            <w:tcW w:w="156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w w:val="99"/>
              </w:rPr>
              <w:t>December 31, 2014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56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December 31, 2014</w:t>
            </w:r>
          </w:p>
        </w:tc>
        <w:tc>
          <w:tcPr>
            <w:tcW w:w="140" w:type="dxa"/>
            <w:vAlign w:val="bottom"/>
          </w:tcPr>
          <w:p>
            <w:pPr>
              <w:spacing w:after="0"/>
              <w:rPr>
                <w:sz w:val="16"/>
                <w:szCs w:val="16"/>
                <w:color w:val="auto"/>
              </w:rPr>
            </w:pPr>
          </w:p>
        </w:tc>
      </w:tr>
      <w:tr>
        <w:trPr>
          <w:trHeight w:val="193"/>
        </w:trPr>
        <w:tc>
          <w:tcPr>
            <w:tcW w:w="20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Fair value of underlying</w:t>
            </w: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4"/>
        </w:trPr>
        <w:tc>
          <w:tcPr>
            <w:tcW w:w="20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instrument</w:t>
            </w:r>
          </w:p>
        </w:tc>
        <w:tc>
          <w:tcPr>
            <w:tcW w:w="260" w:type="dxa"/>
            <w:vAlign w:val="bottom"/>
            <w:gridSpan w:val="2"/>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600" w:type="dxa"/>
            <w:vAlign w:val="bottom"/>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1.69</w:t>
            </w:r>
          </w:p>
        </w:tc>
        <w:tc>
          <w:tcPr>
            <w:tcW w:w="280" w:type="dxa"/>
            <w:vAlign w:val="bottom"/>
            <w:gridSpan w:val="2"/>
            <w:shd w:val="clear" w:color="auto" w:fill="CCEEFF"/>
          </w:tcPr>
          <w:p>
            <w:pPr>
              <w:jc w:val="right"/>
              <w:ind w:right="9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1.97</w:t>
            </w: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1.97</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Expected volatility</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80.70%</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89.00%</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89.98%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87.18%</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87.38%</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3.05%</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2.15%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2.36%</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2.24%</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Company recorded a debt discount upon issuance of the warrants, which is being accreted as interest expense over the remaining term of the loan. The Company also recorded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warrant liability that is classified as a long-term liability in the accompanying balance sheets. The Company recorded interest expense related to the Series A and Series B Warrants of less than $0.1 million in each of the years ended December 31, 2013 and 2014.</w:t>
      </w:r>
    </w:p>
    <w:p>
      <w:pPr>
        <w:spacing w:after="0" w:line="173" w:lineRule="exact"/>
        <w:rPr>
          <w:sz w:val="20"/>
          <w:szCs w:val="20"/>
          <w:color w:val="auto"/>
        </w:rPr>
      </w:pPr>
    </w:p>
    <w:p>
      <w:pPr>
        <w:ind w:right="8400" w:firstLine="5"/>
        <w:spacing w:after="0" w:line="511" w:lineRule="auto"/>
        <w:tabs>
          <w:tab w:leader="none" w:pos="19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(Deficit) Equity Series A Convertible Preferred Stock</w:t>
      </w:r>
    </w:p>
    <w:p>
      <w:pPr>
        <w:ind w:firstLine="474"/>
        <w:spacing w:after="0" w:line="252" w:lineRule="auto"/>
        <w:rPr>
          <w:sz w:val="20"/>
          <w:szCs w:val="20"/>
          <w:color w:val="auto"/>
        </w:rPr>
      </w:pPr>
      <w:r>
        <w:rPr>
          <w:rFonts w:ascii="Arial" w:cs="Arial" w:eastAsia="Arial" w:hAnsi="Arial"/>
          <w:sz w:val="17"/>
          <w:szCs w:val="17"/>
          <w:color w:val="auto"/>
        </w:rPr>
        <w:t>In January and September 2013, the Company issued 10,000,000 and 5,000,000 shares, respectively, of Series A Convertible Preferred Stock at a price of $1.00 per share, resulting in net proceeds of $15.0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Convertible Preferred Stock Financing</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In January 2014, the Company issued a total of 20,916,663 shares of Series B Convertible Preferred Stock at $1.20 per share for net proceeds of $25.0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Convertible Preferred Stock Financing</w:t>
      </w:r>
    </w:p>
    <w:p>
      <w:pPr>
        <w:spacing w:after="0" w:line="231"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In November 2014, the Company issued a total of 24,154,589 shares of Series C Convertible Preferred Stock at $2.07 per share for net proceeds of $49.9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rights, preferences, and privileges of the Preferred Stock are listed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22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Shares of Preferred Stock are convertible without payment of any additional consideration into such number of fully paid and non-assessable shares of Common Stock as determined by dividing the original issuance price by the conversion price at the time in effect. The conversion price is the original price, or $1.00 per share for Series A, $1.20 per share for Series B and $2.07 per share for Series C, subject to adjustment in the event of any stock dividend, stock split, combination or other similar recapitalization with respect to the Preferred Stock.</w:t>
      </w:r>
    </w:p>
    <w:p>
      <w:pPr>
        <w:spacing w:after="0" w:line="198" w:lineRule="exact"/>
        <w:rPr>
          <w:sz w:val="20"/>
          <w:szCs w:val="20"/>
          <w:color w:val="auto"/>
        </w:rPr>
      </w:pPr>
    </w:p>
    <w:p>
      <w:pPr>
        <w:jc w:val="both"/>
        <w:ind w:right="240" w:firstLine="474"/>
        <w:spacing w:after="0" w:line="246" w:lineRule="auto"/>
        <w:rPr>
          <w:sz w:val="20"/>
          <w:szCs w:val="20"/>
          <w:color w:val="auto"/>
        </w:rPr>
      </w:pPr>
      <w:r>
        <w:rPr>
          <w:rFonts w:ascii="Arial" w:cs="Arial" w:eastAsia="Arial" w:hAnsi="Arial"/>
          <w:sz w:val="17"/>
          <w:szCs w:val="17"/>
          <w:color w:val="auto"/>
        </w:rPr>
        <w:t>Conversion is at the option of the Preferred Stockholders, although conversion is automatic upon the earlier of the consummation of an initial public offering resulting in gross proceeds to the Company of at least $40 million and at a price of at least $2.277 per share of Common Stock or the vote or written consent of the majority of outstanding shares of Series A, B and C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9" w:lineRule="exact"/>
        <w:rPr>
          <w:sz w:val="20"/>
          <w:szCs w:val="20"/>
          <w:color w:val="auto"/>
        </w:rPr>
      </w:pPr>
    </w:p>
    <w:p>
      <w:pPr>
        <w:ind w:right="240" w:firstLine="474"/>
        <w:spacing w:after="0" w:line="245" w:lineRule="auto"/>
        <w:rPr>
          <w:sz w:val="20"/>
          <w:szCs w:val="20"/>
          <w:color w:val="auto"/>
        </w:rPr>
      </w:pPr>
      <w:r>
        <w:rPr>
          <w:rFonts w:ascii="Arial" w:cs="Arial" w:eastAsia="Arial" w:hAnsi="Arial"/>
          <w:sz w:val="17"/>
          <w:szCs w:val="17"/>
          <w:color w:val="auto"/>
        </w:rPr>
        <w:t>Holders of the Preferred Stock are entitled to receive, before any cash is paid out or set aside for any Common Stock, dividends at the annual rate of 8% of the original purchase price per share, subject to adjustment for stock splits; stock dividends; or, in certain circumstances, the sale of Common Stock at a price below the original issue price of the Preferred Stock. The dividends are cumulative, and are payable only when and if declared by the board of directors of the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 dividends have been declared since inception. Aggregate cumulative dividends at December 31, 2014 were $10.8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Preference</w:t>
      </w:r>
    </w:p>
    <w:p>
      <w:pPr>
        <w:spacing w:after="0" w:line="22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Holders of Series C Convertible Preferred Stock and Series B Convertible Preferred stock have preference in the event of a liquidation, dissolution, sale, or winding up of the Company equal to the greater of $2.07 per share for Series C and $1.20 per share for Series B, plus any accrued but unpaid dividends whether or not declared, plus any dividends declared but unpaid thereon or such amount per share as would have been payable had all shares of Series C Convertible Preferred Stock and Series B Convertible Preferred Stock been converted into Common Stock immediately prior to such liquidation.</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After the payment of all liquidation preferences to holders of Series C and Series B Convertible Preferred Stock, holders of the Series A Preferred Stock have preference in the event of a liquidation, dissolution, sale, or winding up of the Company equal to the greater of $1.00 per share, plus any accrued but unpaid dividends whether or not declared, plus any dividends declared but unpaid thereon or such amount per share as would have been payable had all shares of Series A Convertible Preferred Stock been converted into Common Stock immediately prior to such liquidation.</w:t>
      </w:r>
    </w:p>
    <w:p>
      <w:pPr>
        <w:spacing w:after="0" w:line="198" w:lineRule="exact"/>
        <w:rPr>
          <w:sz w:val="20"/>
          <w:szCs w:val="20"/>
          <w:color w:val="auto"/>
        </w:rPr>
      </w:pPr>
    </w:p>
    <w:p>
      <w:pPr>
        <w:jc w:val="both"/>
        <w:ind w:right="80" w:firstLine="470"/>
        <w:spacing w:after="0" w:line="246" w:lineRule="auto"/>
        <w:rPr>
          <w:sz w:val="20"/>
          <w:szCs w:val="20"/>
          <w:color w:val="auto"/>
        </w:rPr>
      </w:pPr>
      <w:r>
        <w:rPr>
          <w:rFonts w:ascii="Arial" w:cs="Arial" w:eastAsia="Arial" w:hAnsi="Arial"/>
          <w:sz w:val="17"/>
          <w:szCs w:val="17"/>
          <w:color w:val="auto"/>
        </w:rPr>
        <w:t>Thereafter, if assets remain in the Company, the holders of the Common Stock shall receive all of the remaining assets of the Company pro rata based on the number of shares of Common Stock held by each. If the assets of the Company are insufficient to pay the full preferential amounts to the preferred stockholders, the assets shall be distributed ratably among such holders in proportion to their aggregate liquidation preference amounts.</w:t>
      </w:r>
    </w:p>
    <w:p>
      <w:pPr>
        <w:spacing w:after="0" w:line="199" w:lineRule="exact"/>
        <w:rPr>
          <w:sz w:val="20"/>
          <w:szCs w:val="20"/>
          <w:color w:val="auto"/>
        </w:rPr>
      </w:pPr>
    </w:p>
    <w:p>
      <w:pPr>
        <w:ind w:right="440" w:firstLine="464"/>
        <w:spacing w:after="0" w:line="246" w:lineRule="auto"/>
        <w:rPr>
          <w:sz w:val="20"/>
          <w:szCs w:val="20"/>
          <w:color w:val="auto"/>
        </w:rPr>
      </w:pPr>
      <w:r>
        <w:rPr>
          <w:rFonts w:ascii="Arial" w:cs="Arial" w:eastAsia="Arial" w:hAnsi="Arial"/>
          <w:sz w:val="17"/>
          <w:szCs w:val="17"/>
          <w:color w:val="auto"/>
        </w:rPr>
        <w:t>As the Preferred Stock may become redeemable upon an event that is outside of the control of the Company, the Preferred Stock has been classified outside of stockholders' (deficit) equity. Since the Preferred Stock is not initially redeemable and it is not probable that it will become redeemable, the carrying value of the Preferred Stock has not been adjusted.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Voting Rights</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Holders of the Series A, Series B and Series C Convertible Preferred Stock are entitled to vote as a single class with the holders of Common Stock and shall have one vote for each equivalent common share into which the preferred stock is convertible. A majority vote of the Series A Preferred Stockholders, Series B Preferred Stockholders and Series C Preferred Stockholders is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that would adversely affect the holders of the preferred stock.</w:t>
      </w:r>
    </w:p>
    <w:p>
      <w:pPr>
        <w:spacing w:after="0" w:line="199"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assessed the Series A, B and C Convertible Preferred Stock for any beneficial conversion features or embedded derivatives, including the conversion option, that would require bifurcation from the Series A, B and C Convertible Preferred Stock and receive separate accounting treatment. Based on the Company's determination that the Preferred Stock is an "equity host," the Company determined that all features of the Preferred Stock are clearly and closely related to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equity host, and do not require bifurcation as a derivative liability. On the date of issuance, the fair value of Common Stock into which the Series A, B and C Convertible Preferred Stock was convertible was less than the effective conversion price of the Series A, B and C Convertible Preferred Stock, and as such, there was no intrinsic value of the conversion option at the commitment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right="380" w:firstLine="470"/>
        <w:spacing w:after="0" w:line="252" w:lineRule="auto"/>
        <w:rPr>
          <w:sz w:val="20"/>
          <w:szCs w:val="20"/>
          <w:color w:val="auto"/>
        </w:rPr>
      </w:pPr>
      <w:r>
        <w:rPr>
          <w:rFonts w:ascii="Arial" w:cs="Arial" w:eastAsia="Arial" w:hAnsi="Arial"/>
          <w:sz w:val="17"/>
          <w:szCs w:val="17"/>
          <w:color w:val="auto"/>
        </w:rPr>
        <w:t>The holders of the Company's Common Stock are entitled to one vote for each share held. Common stockholders are not entitled to receive dividends, unless declared by the board of directors.</w:t>
      </w:r>
    </w:p>
    <w:p>
      <w:pPr>
        <w:spacing w:after="0" w:line="193" w:lineRule="exact"/>
        <w:rPr>
          <w:sz w:val="20"/>
          <w:szCs w:val="20"/>
          <w:color w:val="auto"/>
        </w:rPr>
      </w:pPr>
    </w:p>
    <w:p>
      <w:pPr>
        <w:ind w:right="60" w:firstLine="470"/>
        <w:spacing w:after="0" w:line="252" w:lineRule="auto"/>
        <w:rPr>
          <w:sz w:val="20"/>
          <w:szCs w:val="20"/>
          <w:color w:val="auto"/>
        </w:rPr>
      </w:pPr>
      <w:r>
        <w:rPr>
          <w:rFonts w:ascii="Arial" w:cs="Arial" w:eastAsia="Arial" w:hAnsi="Arial"/>
          <w:sz w:val="17"/>
          <w:szCs w:val="17"/>
          <w:color w:val="auto"/>
        </w:rPr>
        <w:t>The Company has reserved the following shares of Common Stock for the potential conversion of Preferred Stock and the issuance of Common Stock in connection with stock options: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ind w:left="2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20,916,663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24,154,589</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150,000</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233,333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3,053,741</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9,765,404</w:t>
            </w:r>
          </w:p>
        </w:tc>
        <w:tc>
          <w:tcPr>
            <w:tcW w:w="160" w:type="dxa"/>
            <w:vAlign w:val="bottom"/>
            <w:shd w:val="clear" w:color="auto" w:fill="CCEEFF"/>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43,203,741</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95,069,989</w:t>
            </w:r>
          </w:p>
        </w:tc>
        <w:tc>
          <w:tcPr>
            <w:tcW w:w="1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w:t>
      </w:r>
    </w:p>
    <w:p>
      <w:pPr>
        <w:spacing w:after="0" w:line="231" w:lineRule="exact"/>
        <w:rPr>
          <w:sz w:val="20"/>
          <w:szCs w:val="20"/>
          <w:color w:val="auto"/>
        </w:rPr>
      </w:pPr>
    </w:p>
    <w:p>
      <w:pPr>
        <w:jc w:val="both"/>
        <w:ind w:firstLine="470"/>
        <w:spacing w:after="0" w:line="245" w:lineRule="auto"/>
        <w:rPr>
          <w:sz w:val="20"/>
          <w:szCs w:val="20"/>
          <w:color w:val="auto"/>
        </w:rPr>
      </w:pPr>
      <w:r>
        <w:rPr>
          <w:rFonts w:ascii="Arial" w:cs="Arial" w:eastAsia="Arial" w:hAnsi="Arial"/>
          <w:sz w:val="17"/>
          <w:szCs w:val="17"/>
          <w:color w:val="auto"/>
        </w:rPr>
        <w:t>The Company grants restricted stock awards, incentive stock options (ISO), and nonstatutory stock options (NSO) under the Blueprint Medicines Corporation 2011 Stock Option and Grant Plan (the Plan), as amended and restated. At December 31, 2014, there were 1,504,637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98"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Terms of restricted stock awards and stock option agreements, including vesting requirements, are determined by the board of directors, subject to the provisions of the Plan. Options and restricted stock awards granted by the Company generally vest ratably over four years, with a one-year cliff for new employee awards, and are exercisable from the date of grant for a period of ten years. For options and restricted stock awards granted to date,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retrospectively, with the assistance of a third-party specialist, as of January 6, 2014, July 30, 2014 and November 10, 2014 to determine stock-based compensation expense.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 (Continued)</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During the year ended December 31, 2013, the Company issued 683,450 and 610,000 shares of Common Stock to employees and non-employees, respectively. The shares were issued under the terms of the Plan, and allow the Company, at its discretion, to repurchase unvested shares if the employees terminate their relationship with the Company. The shares vest over a one-year or four-year term. The shares are recorded in stockholders' (deficit) equity as they vest. The Company did not issue any shares of Common Stock to employees or non-employees during the year ended December 31,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unvested restricted stock and related information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Weighted-Average</w:t>
            </w:r>
          </w:p>
        </w:tc>
      </w:tr>
      <w:tr>
        <w:trPr>
          <w:trHeight w:val="197"/>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Grant Date</w:t>
            </w:r>
          </w:p>
        </w:tc>
      </w:tr>
      <w:tr>
        <w:trPr>
          <w:trHeight w:val="214"/>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Fair Value</w:t>
            </w:r>
          </w:p>
        </w:tc>
        <w:tc>
          <w:tcPr>
            <w:tcW w:w="240" w:type="dxa"/>
            <w:vAlign w:val="bottom"/>
          </w:tcPr>
          <w:p>
            <w:pPr>
              <w:spacing w:after="0"/>
              <w:rPr>
                <w:sz w:val="18"/>
                <w:szCs w:val="18"/>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2013</w:t>
            </w:r>
          </w:p>
        </w:tc>
        <w:tc>
          <w:tcPr>
            <w:tcW w:w="9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4,602,111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0.07</w:t>
            </w:r>
          </w:p>
        </w:tc>
      </w:tr>
      <w:tr>
        <w:trPr>
          <w:trHeight w:val="197"/>
        </w:trPr>
        <w:tc>
          <w:tcPr>
            <w:tcW w:w="50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197"/>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(2,193,536)</w:t>
            </w:r>
          </w:p>
        </w:tc>
        <w:tc>
          <w:tcPr>
            <w:tcW w:w="1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w:t>
            </w:r>
          </w:p>
        </w:tc>
      </w:tr>
      <w:tr>
        <w:trPr>
          <w:trHeight w:val="197"/>
        </w:trPr>
        <w:tc>
          <w:tcPr>
            <w:tcW w:w="5040" w:type="dxa"/>
            <w:vAlign w:val="bottom"/>
          </w:tcPr>
          <w:p>
            <w:pPr>
              <w:ind w:left="180"/>
              <w:spacing w:after="0"/>
              <w:rPr>
                <w:sz w:val="20"/>
                <w:szCs w:val="20"/>
                <w:color w:val="auto"/>
              </w:rPr>
            </w:pPr>
            <w:r>
              <w:rPr>
                <w:rFonts w:ascii="Arial" w:cs="Arial" w:eastAsia="Arial" w:hAnsi="Arial"/>
                <w:sz w:val="17"/>
                <w:szCs w:val="17"/>
                <w:color w:val="auto"/>
              </w:rPr>
              <w:t>Repurchased</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(69,533)</w:t>
            </w: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0.06</w:t>
            </w: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2014</w:t>
            </w:r>
          </w:p>
        </w:tc>
        <w:tc>
          <w:tcPr>
            <w:tcW w:w="920" w:type="dxa"/>
            <w:vAlign w:val="bottom"/>
            <w:tcBorders>
              <w:top w:val="single" w:sz="8" w:color="auto"/>
              <w:bottom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2,339,042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0.08</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has granted restricted stock to non-employees which contain both performance-based and service-based vesting criteria. Stock-based compensation expense associated with these performance-based awards is recognized if the performance condition is considered probable of achievement using management's best estimates. During the year ended December 31, 2014 management concluded that the milestones associated with 1,000,000 shares of performance-based restricted stock were probable of achievement, and the Company began to record stock-based compensation expense using the accelerated attribution method, accordingly. The Company recorded $0.9 million of stock-based compensation expense for non-employee performance-based awards in the year ended December 31, 2014. A summary of the Company's stock option activity and related information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Weighted-</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Average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Intrinsic</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Exercise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Life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Value(3)</w:t>
            </w: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Price</w:t>
            </w:r>
          </w:p>
        </w:tc>
        <w:tc>
          <w:tcPr>
            <w:tcW w:w="240" w:type="dxa"/>
            <w:vAlign w:val="bottom"/>
            <w:gridSpan w:val="2"/>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(in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2013</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2,118,900</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9.81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20" w:type="dxa"/>
            <w:vAlign w:val="bottom"/>
            <w:gridSpan w:val="4"/>
          </w:tcPr>
          <w:p>
            <w:pPr>
              <w:jc w:val="right"/>
              <w:ind w:right="140"/>
              <w:spacing w:after="0"/>
              <w:rPr>
                <w:sz w:val="20"/>
                <w:szCs w:val="20"/>
                <w:color w:val="auto"/>
              </w:rPr>
            </w:pPr>
            <w:r>
              <w:rPr>
                <w:rFonts w:ascii="Arial" w:cs="Arial" w:eastAsia="Arial" w:hAnsi="Arial"/>
                <w:sz w:val="17"/>
                <w:szCs w:val="17"/>
                <w:color w:val="auto"/>
              </w:rPr>
              <w:t>6,743,800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0.39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(57,870)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0.27</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Canceled</w:t>
            </w:r>
          </w:p>
        </w:tc>
        <w:tc>
          <w:tcPr>
            <w:tcW w:w="1020" w:type="dxa"/>
            <w:vAlign w:val="bottom"/>
            <w:gridSpan w:val="4"/>
          </w:tcPr>
          <w:p>
            <w:pPr>
              <w:jc w:val="right"/>
              <w:ind w:right="100"/>
              <w:spacing w:after="0"/>
              <w:rPr>
                <w:sz w:val="20"/>
                <w:szCs w:val="20"/>
                <w:color w:val="auto"/>
              </w:rPr>
            </w:pPr>
            <w:r>
              <w:rPr>
                <w:rFonts w:ascii="Arial" w:cs="Arial" w:eastAsia="Arial" w:hAnsi="Arial"/>
                <w:sz w:val="17"/>
                <w:szCs w:val="17"/>
                <w:color w:val="auto"/>
              </w:rPr>
              <w:t>(544,063)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0.28</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2014(1)</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8,260,767</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0.37</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7,704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2014</w:t>
            </w: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0.31</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8.99</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940</w:t>
            </w:r>
          </w:p>
        </w:tc>
        <w:tc>
          <w:tcPr>
            <w:tcW w:w="0" w:type="dxa"/>
            <w:vAlign w:val="bottom"/>
          </w:tcPr>
          <w:p>
            <w:pPr>
              <w:spacing w:after="0" w:line="20" w:lineRule="exact"/>
              <w:rPr>
                <w:sz w:val="1"/>
                <w:szCs w:val="1"/>
                <w:color w:val="auto"/>
              </w:rPr>
            </w:pPr>
          </w:p>
        </w:tc>
      </w:tr>
      <w:tr>
        <w:trPr>
          <w:trHeight w:val="176"/>
        </w:trPr>
        <w:tc>
          <w:tcPr>
            <w:tcW w:w="4340" w:type="dxa"/>
            <w:vAlign w:val="bottom"/>
            <w:gridSpan w:val="2"/>
            <w:vMerge w:val="continue"/>
          </w:tcPr>
          <w:p>
            <w:pPr>
              <w:spacing w:after="0"/>
              <w:rPr>
                <w:sz w:val="15"/>
                <w:szCs w:val="15"/>
                <w:color w:val="auto"/>
              </w:rPr>
            </w:pPr>
          </w:p>
        </w:tc>
        <w:tc>
          <w:tcPr>
            <w:tcW w:w="1020" w:type="dxa"/>
            <w:vAlign w:val="bottom"/>
            <w:gridSpan w:val="4"/>
          </w:tcPr>
          <w:p>
            <w:pPr>
              <w:jc w:val="right"/>
              <w:ind w:right="140"/>
              <w:spacing w:after="0" w:line="176" w:lineRule="exact"/>
              <w:rPr>
                <w:sz w:val="20"/>
                <w:szCs w:val="20"/>
                <w:color w:val="auto"/>
              </w:rPr>
            </w:pPr>
            <w:r>
              <w:rPr>
                <w:rFonts w:ascii="Arial" w:cs="Arial" w:eastAsia="Arial" w:hAnsi="Arial"/>
                <w:sz w:val="17"/>
                <w:szCs w:val="17"/>
                <w:color w:val="auto"/>
              </w:rPr>
              <w:t>944,554</w:t>
            </w:r>
          </w:p>
        </w:tc>
        <w:tc>
          <w:tcPr>
            <w:tcW w:w="12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Vested and expected to vest at December 31, 2014(2)</w:t>
            </w:r>
          </w:p>
        </w:tc>
        <w:tc>
          <w:tcPr>
            <w:tcW w:w="10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7,932,739</w:t>
            </w: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7"/>
                <w:szCs w:val="17"/>
                <w:color w:val="auto"/>
              </w:rPr>
              <w:t>0.37</w:t>
            </w:r>
          </w:p>
        </w:tc>
        <w:tc>
          <w:tcPr>
            <w:tcW w:w="11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7,399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540" w:right="2520" w:hanging="4393"/>
        <w:spacing w:after="0" w:line="509" w:lineRule="auto"/>
        <w:tabs>
          <w:tab w:leader="none" w:pos="167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Includes 916,490 unvested shares of common stock related to early exercises of stock options.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(Continued)</w:t>
      </w:r>
    </w:p>
    <w:p>
      <w:pPr>
        <w:spacing w:after="0" w:line="230" w:lineRule="exact"/>
        <w:rPr>
          <w:rFonts w:ascii="Arial" w:cs="Arial" w:eastAsia="Arial" w:hAnsi="Arial"/>
          <w:sz w:val="17"/>
          <w:szCs w:val="17"/>
          <w:b w:val="1"/>
          <w:bCs w:val="1"/>
          <w:color w:val="auto"/>
        </w:rPr>
      </w:pPr>
    </w:p>
    <w:p>
      <w:pPr>
        <w:ind w:left="1680" w:hanging="533"/>
        <w:spacing w:after="0" w:line="252" w:lineRule="auto"/>
        <w:tabs>
          <w:tab w:leader="none" w:pos="16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Represents the number of vested options as of December 31, 2014, plus the number of unvested options expected to vest as of December 31, 2014.</w:t>
      </w:r>
    </w:p>
    <w:p>
      <w:pPr>
        <w:spacing w:after="0" w:line="192" w:lineRule="exact"/>
        <w:rPr>
          <w:rFonts w:ascii="Arial" w:cs="Arial" w:eastAsia="Arial" w:hAnsi="Arial"/>
          <w:sz w:val="17"/>
          <w:szCs w:val="17"/>
          <w:color w:val="auto"/>
        </w:rPr>
      </w:pPr>
    </w:p>
    <w:p>
      <w:pPr>
        <w:ind w:left="1680" w:right="120" w:hanging="533"/>
        <w:spacing w:after="0" w:line="252" w:lineRule="auto"/>
        <w:tabs>
          <w:tab w:leader="none" w:pos="16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Intrinsic value represents the amount by which the fair market value as of December 31, 2014 of the underlying common stock exceeds the exercise price of the option.</w:t>
      </w:r>
    </w:p>
    <w:p>
      <w:pPr>
        <w:spacing w:after="0" w:line="193" w:lineRule="exact"/>
        <w:rPr>
          <w:sz w:val="20"/>
          <w:szCs w:val="20"/>
          <w:color w:val="auto"/>
        </w:rPr>
      </w:pPr>
    </w:p>
    <w:p>
      <w:pPr>
        <w:ind w:right="340" w:firstLine="470"/>
        <w:spacing w:after="0" w:line="252" w:lineRule="auto"/>
        <w:rPr>
          <w:sz w:val="20"/>
          <w:szCs w:val="20"/>
          <w:color w:val="auto"/>
        </w:rPr>
      </w:pPr>
      <w:r>
        <w:rPr>
          <w:rFonts w:ascii="Arial" w:cs="Arial" w:eastAsia="Arial" w:hAnsi="Arial"/>
          <w:sz w:val="17"/>
          <w:szCs w:val="17"/>
          <w:color w:val="auto"/>
        </w:rPr>
        <w:t>The fair value of stock options is estimated on the grant date using the Black-Scholes option-pricing model based on the following weighted average assumptions: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b w:val="1"/>
                <w:bCs w:val="1"/>
                <w:color w:val="auto"/>
              </w:rPr>
              <w:t>Year Ended</w:t>
            </w:r>
          </w:p>
        </w:tc>
      </w:tr>
      <w:tr>
        <w:trPr>
          <w:trHeight w:val="173"/>
        </w:trPr>
        <w:tc>
          <w:tcPr>
            <w:tcW w:w="552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7"/>
                <w:szCs w:val="17"/>
                <w:b w:val="1"/>
                <w:bCs w:val="1"/>
                <w:color w:val="auto"/>
              </w:rPr>
              <w:t>December 31,</w:t>
            </w:r>
          </w:p>
        </w:tc>
        <w:tc>
          <w:tcPr>
            <w:tcW w:w="1220" w:type="dxa"/>
            <w:vAlign w:val="bottom"/>
            <w:gridSpan w:val="3"/>
          </w:tcPr>
          <w:p>
            <w:pPr>
              <w:ind w:left="100"/>
              <w:spacing w:after="0" w:line="173" w:lineRule="exact"/>
              <w:rPr>
                <w:sz w:val="20"/>
                <w:szCs w:val="20"/>
                <w:color w:val="auto"/>
              </w:rPr>
            </w:pPr>
            <w:r>
              <w:rPr>
                <w:rFonts w:ascii="Arial" w:cs="Arial" w:eastAsia="Arial" w:hAnsi="Arial"/>
                <w:sz w:val="17"/>
                <w:szCs w:val="17"/>
                <w:b w:val="1"/>
                <w:bCs w:val="1"/>
                <w:color w:val="auto"/>
                <w:w w:val="99"/>
              </w:rPr>
              <w:t>December 31,</w:t>
            </w:r>
          </w:p>
        </w:tc>
      </w:tr>
      <w:tr>
        <w:trPr>
          <w:trHeight w:val="214"/>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20" w:type="dxa"/>
            <w:vAlign w:val="bottom"/>
          </w:tcPr>
          <w:p>
            <w:pPr>
              <w:spacing w:after="0"/>
              <w:rPr>
                <w:sz w:val="18"/>
                <w:szCs w:val="18"/>
                <w:color w:val="auto"/>
              </w:rPr>
            </w:pPr>
          </w:p>
        </w:tc>
      </w:tr>
      <w:tr>
        <w:trPr>
          <w:trHeight w:val="190"/>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240" w:type="dxa"/>
            <w:vAlign w:val="bottom"/>
            <w:gridSpan w:val="3"/>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1.70% - 2.84%</w:t>
            </w:r>
          </w:p>
        </w:tc>
        <w:tc>
          <w:tcPr>
            <w:tcW w:w="12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7"/>
                <w:szCs w:val="17"/>
                <w:color w:val="auto"/>
              </w:rPr>
              <w:t>1.70% - 2.14%</w:t>
            </w:r>
          </w:p>
        </w:tc>
      </w:tr>
      <w:tr>
        <w:trPr>
          <w:trHeight w:val="197"/>
        </w:trPr>
        <w:tc>
          <w:tcPr>
            <w:tcW w:w="55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9"/>
              </w:rPr>
              <w:t>0.00%</w:t>
            </w:r>
          </w:p>
        </w:tc>
        <w:tc>
          <w:tcPr>
            <w:tcW w:w="120" w:type="dxa"/>
            <w:vAlign w:val="bottom"/>
          </w:tcPr>
          <w:p>
            <w:pPr>
              <w:spacing w:after="0"/>
              <w:rPr>
                <w:sz w:val="17"/>
                <w:szCs w:val="17"/>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2"/>
              </w:rPr>
              <w:t>6.1</w:t>
            </w:r>
          </w:p>
        </w:tc>
        <w:tc>
          <w:tcPr>
            <w:tcW w:w="20" w:type="dxa"/>
            <w:vAlign w:val="bottom"/>
            <w:shd w:val="clear" w:color="auto" w:fill="CCEEFF"/>
          </w:tcPr>
          <w:p>
            <w:pPr>
              <w:spacing w:after="0"/>
              <w:rPr>
                <w:sz w:val="17"/>
                <w:szCs w:val="17"/>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Expected stock price volatility</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rPr>
              <w:t>88.96%</w:t>
            </w:r>
          </w:p>
        </w:tc>
        <w:tc>
          <w:tcPr>
            <w:tcW w:w="120" w:type="dxa"/>
            <w:vAlign w:val="bottom"/>
          </w:tcPr>
          <w:p>
            <w:pPr>
              <w:spacing w:after="0"/>
              <w:rPr>
                <w:sz w:val="18"/>
                <w:szCs w:val="18"/>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92.99%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weighted-average grant date fair value of options granted in the years ended December 31, 2013 and 2014 was $0.22 and $0.63, respectively. The total intrinsic value of options exercised in the year ended December 31, 2014 was $0.1 million. There were no options exercised in the year ended December 31, 2013.</w:t>
      </w:r>
    </w:p>
    <w:p>
      <w:pPr>
        <w:spacing w:after="0" w:line="199"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Total stock-based compensation expense recognized for all stock-based compensation awards in the statements of operations is as follows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4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1,052</w:t>
            </w:r>
          </w:p>
        </w:tc>
        <w:tc>
          <w:tcPr>
            <w:tcW w:w="160" w:type="dxa"/>
            <w:vAlign w:val="bottom"/>
            <w:shd w:val="clear" w:color="auto" w:fill="CCEEFF"/>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1,274</w:t>
            </w:r>
          </w:p>
        </w:tc>
        <w:tc>
          <w:tcPr>
            <w:tcW w:w="160" w:type="dxa"/>
            <w:vAlign w:val="bottom"/>
          </w:tcPr>
          <w:p>
            <w:pPr>
              <w:spacing w:after="0"/>
              <w:rPr>
                <w:sz w:val="17"/>
                <w:szCs w:val="17"/>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351</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2,326</w:t>
            </w:r>
          </w:p>
        </w:tc>
        <w:tc>
          <w:tcPr>
            <w:tcW w:w="160" w:type="dxa"/>
            <w:vAlign w:val="bottom"/>
            <w:shd w:val="clear" w:color="auto" w:fill="CCEEFF"/>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At December 31, 2014, there was $4.7 million of total unrecognized compensation cost related to nonvested stock awards, which is expected to be recognized over a weighted-average period of 2.84 years. Due to an operating loss, the Company does not record tax benefits associated with stock-based compensation or option exercises. Tax benefit will be recorded when realized.</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U.S. statutory income tax rate to the Company's effective tax rate is as follows for the years ended December 31, 2013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7"/>
          </w:tcPr>
          <w:p>
            <w:pPr>
              <w:jc w:val="right"/>
              <w:ind w:right="380"/>
              <w:spacing w:after="0"/>
              <w:rPr>
                <w:sz w:val="20"/>
                <w:szCs w:val="20"/>
                <w:color w:val="auto"/>
              </w:rPr>
            </w:pPr>
            <w:r>
              <w:rPr>
                <w:rFonts w:ascii="Arial" w:cs="Arial" w:eastAsia="Arial" w:hAnsi="Arial"/>
                <w:sz w:val="17"/>
                <w:szCs w:val="17"/>
                <w:b w:val="1"/>
                <w:bCs w:val="1"/>
                <w:color w:val="auto"/>
              </w:rPr>
              <w:t>Year Ended</w:t>
            </w:r>
          </w:p>
        </w:tc>
      </w:tr>
      <w:tr>
        <w:trPr>
          <w:trHeight w:val="214"/>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ind w:left="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income tax (benefit) at statutory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34.00%</w:t>
            </w: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Permanent differences</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(1.87)</w:t>
            </w: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Federal research and development credits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7"/>
                <w:szCs w:val="17"/>
                <w:color w:val="auto"/>
              </w:rPr>
            </w:pP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780" w:type="dxa"/>
            <w:vAlign w:val="bottom"/>
            <w:gridSpan w:val="4"/>
          </w:tcPr>
          <w:p>
            <w:pPr>
              <w:jc w:val="right"/>
              <w:ind w:right="100"/>
              <w:spacing w:after="0"/>
              <w:rPr>
                <w:sz w:val="20"/>
                <w:szCs w:val="20"/>
                <w:color w:val="auto"/>
              </w:rPr>
            </w:pPr>
            <w:r>
              <w:rPr>
                <w:rFonts w:ascii="Arial" w:cs="Arial" w:eastAsia="Arial" w:hAnsi="Arial"/>
                <w:sz w:val="17"/>
                <w:szCs w:val="17"/>
                <w:color w:val="auto"/>
              </w:rPr>
              <w:t>(43.08)</w:t>
            </w: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(39.06)</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income tax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0.00%</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net losses in all periods presented and therefore has not recognized any federal or state income tax expense.</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7680" w:type="dxa"/>
            <w:vAlign w:val="bottom"/>
            <w:gridSpan w:val="2"/>
          </w:tcPr>
          <w:p>
            <w:pPr>
              <w:spacing w:after="0"/>
              <w:rPr>
                <w:sz w:val="20"/>
                <w:szCs w:val="20"/>
                <w:color w:val="auto"/>
              </w:rPr>
            </w:pPr>
            <w:r>
              <w:rPr>
                <w:rFonts w:ascii="Arial" w:cs="Arial" w:eastAsia="Arial" w:hAnsi="Arial"/>
                <w:sz w:val="17"/>
                <w:szCs w:val="17"/>
                <w:color w:val="auto"/>
              </w:rPr>
              <w:t>The Company's deferred tax assets and liabilities consist of the following:</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6"/>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7"/>
          </w:tcPr>
          <w:p>
            <w:pPr>
              <w:jc w:val="right"/>
              <w:ind w:right="5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7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15,993</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30,603</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 carryforwards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1,949</w:t>
            </w: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Accrued expenses and other</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628</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rent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7"/>
                <w:szCs w:val="17"/>
                <w:color w:val="auto"/>
              </w:rPr>
            </w:pP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Total gross deferred tax asset</w:t>
            </w:r>
          </w:p>
        </w:tc>
        <w:tc>
          <w:tcPr>
            <w:tcW w:w="26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17,519</w:t>
            </w:r>
          </w:p>
        </w:tc>
        <w:tc>
          <w:tcPr>
            <w:tcW w:w="260" w:type="dxa"/>
            <w:vAlign w:val="bottom"/>
          </w:tcPr>
          <w:p>
            <w:pPr>
              <w:spacing w:after="0"/>
              <w:rPr>
                <w:sz w:val="16"/>
                <w:szCs w:val="16"/>
                <w:color w:val="auto"/>
              </w:rPr>
            </w:pPr>
          </w:p>
        </w:tc>
        <w:tc>
          <w:tcPr>
            <w:tcW w:w="8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33,234</w:t>
            </w:r>
          </w:p>
        </w:tc>
      </w:tr>
      <w:tr>
        <w:trPr>
          <w:trHeight w:val="406"/>
        </w:trPr>
        <w:tc>
          <w:tcPr>
            <w:tcW w:w="660" w:type="dxa"/>
            <w:vAlign w:val="bottom"/>
          </w:tcPr>
          <w:p>
            <w:pPr>
              <w:spacing w:after="0"/>
              <w:rPr>
                <w:sz w:val="24"/>
                <w:szCs w:val="24"/>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2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r>
      <w:tr>
        <w:trPr>
          <w:trHeight w:val="197"/>
        </w:trPr>
        <w:tc>
          <w:tcPr>
            <w:tcW w:w="6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7"/>
                <w:szCs w:val="17"/>
                <w:color w:val="auto"/>
              </w:rPr>
              <w:t>Debt discount</w:t>
            </w:r>
          </w:p>
        </w:tc>
        <w:tc>
          <w:tcPr>
            <w:tcW w:w="26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(74)</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(17,339)</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(33,075)</w:t>
            </w: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Net deferred tax asset</w:t>
            </w: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$17.3 million and $33.0 million has been established at December 31, 2013 and 2014, respectively. The change in the valuation allowance was $9.0 million and $15.7 million for the years ended December 31, 2013 and 2014, respectively. The Company has incurred net operating losses (NOL) since inception. At December 31, 2014, the Company had federal and state NOL carryforwards of $78.1 million and $76.6 million, respectively, which expire beginning in 2030. As of December 31, 2014, the Company had federal and state research and development tax credit carryforwards of $1.5 million and $0.7 million, respectively, which expire beginning in 2025.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have any NOL carryforwards associated with deductible stock option exercises as of December 31, 2013 or 2014.</w:t>
      </w:r>
    </w:p>
    <w:p>
      <w:pPr>
        <w:spacing w:after="0" w:line="211"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Additionally, U.S. tax laws limit the time during which these carryforwards may be applied against future taxes. Therefore, the Company may not be able to take full advantage of these carryforwards for federal or state income tax purposes.</w:t>
      </w:r>
    </w:p>
    <w:p>
      <w:pPr>
        <w:spacing w:after="0" w:line="20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statements of operations. As of December 31, 2013 and 2014, the Company has no accrued interest related to uncertain tax positions. Interest and penalty charges, if any, related to unrecognized tax benefits would be classified as income tax expense in the accompanying statements of operations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w:t>
      </w:r>
    </w:p>
    <w:p>
      <w:pPr>
        <w:spacing w:after="0" w:line="22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leases its corporate headquarters under an operating lease that expires on November 1, 2015. In March 2014, the Company amended its existing lease agreement to expand the size of the original premises by 4,422 square feet. The rent per square foot for the additional space is $52.00. All other terms of the lease remain materially unchanged. On February 1, 2015, the Company's option to extend the term of the lease for an additional three-year period expired. The Company did not exercise its option. The Company's lease agreement has escalating rent payments. The Company recorded $0.6 million and $0.8 million of rent expense for the years ended December 31, 2013 and 2014, respectively. The Company records rent expense on a straight-line basis. The lease agreement required the Company to pay a security deposit of $0.1 million, which is included in restricted cash in the accompanying balance sheet.</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minimum aggregate future lease commitments at December 31, 2014,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132080</wp:posOffset>
            </wp:positionV>
            <wp:extent cx="5069840" cy="1250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91" w:lineRule="exact"/>
        <w:rPr>
          <w:sz w:val="20"/>
          <w:szCs w:val="20"/>
          <w:color w:val="auto"/>
        </w:rPr>
      </w:pPr>
    </w:p>
    <w:p>
      <w:pPr>
        <w:ind w:left="1720"/>
        <w:spacing w:after="0"/>
        <w:tabs>
          <w:tab w:leader="none" w:pos="7540" w:val="left"/>
          <w:tab w:leader="none" w:pos="9240" w:val="left"/>
        </w:tabs>
        <w:rPr>
          <w:sz w:val="20"/>
          <w:szCs w:val="20"/>
          <w:color w:val="auto"/>
        </w:rPr>
      </w:pPr>
      <w:r>
        <w:rPr>
          <w:rFonts w:ascii="Arial" w:cs="Arial" w:eastAsia="Arial" w:hAnsi="Arial"/>
          <w:sz w:val="17"/>
          <w:szCs w:val="17"/>
          <w:color w:val="auto"/>
        </w:rPr>
        <w:t>2015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-635</wp:posOffset>
            </wp:positionV>
            <wp:extent cx="1257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5730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15240</wp:posOffset>
            </wp:positionV>
            <wp:extent cx="1257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Related-Party Transactions</w:t>
      </w:r>
    </w:p>
    <w:p>
      <w:pPr>
        <w:spacing w:after="0" w:line="231"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has received consulting and management services from one of its investors, Third Rock Ventures LLC (Third Rock Ventures). The Company paid Third Rock Ventures $0.4 million for these services during each of the years ended December 31, 2013 and 2014. At December 31, 2013, $0.1 million due to Third Rock Ventures was included in accrued expenses. All amounts owed to Third Rock Ventures for services rendered in the year ended December 31, 2014 were paid by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On February 11, 2015, the Company entered into a lease for approximately 38,500 rentable square feet of office and laboratory space in Cambridge, Massachusetts, with a lease term commencing June 15, 2015 and ending on October 31, 2022, assuming occupancy in October 2015. The Company has an option to extend the lease for five additional years. The lease agreement requires the Company to pay a security deposit of</w:t>
      </w:r>
    </w:p>
    <w:p>
      <w:pPr>
        <w:spacing w:after="0" w:line="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$1.3 million, which will be recorded in restricted cash on the Company's balance sheet. The lease has a total committment of $17.9 million over the seven year term.</w:t>
      </w:r>
    </w:p>
    <w:p>
      <w:pPr>
        <w:spacing w:after="0" w:line="193"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In February 2015, the Company amended the Blueprint Medicines Corporation 2011 Stock Option and Grant Plan to increase the number of shares available for grant to 19,750,100.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1259205</wp:posOffset>
            </wp:positionV>
            <wp:extent cx="139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518160</wp:posOffset>
            </wp:positionV>
            <wp:extent cx="3846195" cy="6076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0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3"/>
          <w:szCs w:val="23"/>
          <w:b w:val="1"/>
          <w:bCs w:val="1"/>
          <w:color w:val="auto"/>
        </w:rPr>
        <w:t>Cowen and Company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Wedbush PacGrow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154305</wp:posOffset>
            </wp:positionV>
            <wp:extent cx="139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60" w:firstLine="473"/>
        <w:spacing w:after="0" w:line="259" w:lineRule="auto"/>
        <w:rPr>
          <w:sz w:val="20"/>
          <w:szCs w:val="20"/>
          <w:color w:val="auto"/>
        </w:rPr>
      </w:pPr>
      <w:r>
        <w:rPr>
          <w:rFonts w:ascii="Arial" w:cs="Arial" w:eastAsia="Arial" w:hAnsi="Arial"/>
          <w:sz w:val="17"/>
          <w:szCs w:val="17"/>
          <w:b w:val="1"/>
          <w:bCs w:val="1"/>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297815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Part II</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13.</w:t>
        <w:tab/>
        <w:t>Other Expenses of Issuance and Distribution</w:t>
      </w:r>
    </w:p>
    <w:p>
      <w:pPr>
        <w:spacing w:after="0" w:line="231" w:lineRule="exact"/>
        <w:rPr>
          <w:sz w:val="20"/>
          <w:szCs w:val="20"/>
          <w:color w:val="auto"/>
        </w:rPr>
      </w:pPr>
    </w:p>
    <w:p>
      <w:pPr>
        <w:ind w:right="240" w:firstLine="470"/>
        <w:spacing w:after="0" w:line="246"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Item</w:t>
            </w:r>
          </w:p>
        </w:tc>
        <w:tc>
          <w:tcPr>
            <w:tcW w:w="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Amount to be paid</w:t>
            </w:r>
          </w:p>
        </w:tc>
        <w:tc>
          <w:tcPr>
            <w:tcW w:w="240" w:type="dxa"/>
            <w:vAlign w:val="bottom"/>
          </w:tcPr>
          <w:p>
            <w:pPr>
              <w:spacing w:after="0"/>
              <w:rPr>
                <w:sz w:val="18"/>
                <w:szCs w:val="18"/>
                <w:color w:val="auto"/>
              </w:rPr>
            </w:pPr>
          </w:p>
        </w:tc>
      </w:tr>
      <w:tr>
        <w:trPr>
          <w:trHeight w:val="190"/>
        </w:trPr>
        <w:tc>
          <w:tcPr>
            <w:tcW w:w="45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SEC registration fee</w:t>
            </w:r>
          </w:p>
        </w:tc>
        <w:tc>
          <w:tcPr>
            <w:tcW w:w="1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tcPr>
          <w:p>
            <w:pPr>
              <w:spacing w:after="0"/>
              <w:rPr>
                <w:sz w:val="20"/>
                <w:szCs w:val="20"/>
                <w:color w:val="auto"/>
              </w:rPr>
            </w:pPr>
            <w:r>
              <w:rPr>
                <w:rFonts w:ascii="Arial" w:cs="Arial" w:eastAsia="Arial" w:hAnsi="Arial"/>
                <w:sz w:val="17"/>
                <w:szCs w:val="17"/>
                <w:color w:val="auto"/>
              </w:rPr>
              <w:t>FINRA filing fee</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tcPr>
          <w:p>
            <w:pPr>
              <w:spacing w:after="0"/>
              <w:rPr>
                <w:sz w:val="20"/>
                <w:szCs w:val="20"/>
                <w:color w:val="auto"/>
              </w:rPr>
            </w:pPr>
            <w:r>
              <w:rPr>
                <w:rFonts w:ascii="Arial" w:cs="Arial" w:eastAsia="Arial" w:hAnsi="Arial"/>
                <w:sz w:val="17"/>
                <w:szCs w:val="17"/>
                <w:color w:val="auto"/>
              </w:rPr>
              <w:t>Printing and engraving expenses</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tcPr>
          <w:p>
            <w:pPr>
              <w:spacing w:after="0"/>
              <w:rPr>
                <w:sz w:val="20"/>
                <w:szCs w:val="20"/>
                <w:color w:val="auto"/>
              </w:rPr>
            </w:pPr>
            <w:r>
              <w:rPr>
                <w:rFonts w:ascii="Arial" w:cs="Arial" w:eastAsia="Arial" w:hAnsi="Arial"/>
                <w:sz w:val="17"/>
                <w:szCs w:val="17"/>
                <w:color w:val="auto"/>
              </w:rPr>
              <w:t>Accounting fees and expenses</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Transfer Agent fees and expenses</w:t>
            </w: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4500" w:type="dxa"/>
            <w:vAlign w:val="bottom"/>
            <w:gridSpan w:val="3"/>
          </w:tcPr>
          <w:p>
            <w:pPr>
              <w:spacing w:after="0"/>
              <w:rPr>
                <w:sz w:val="20"/>
                <w:szCs w:val="20"/>
                <w:color w:val="auto"/>
              </w:rPr>
            </w:pPr>
            <w:r>
              <w:rPr>
                <w:rFonts w:ascii="Arial" w:cs="Arial" w:eastAsia="Arial" w:hAnsi="Arial"/>
                <w:sz w:val="17"/>
                <w:szCs w:val="17"/>
                <w:color w:val="auto"/>
              </w:rPr>
              <w:t>Miscellaneous expenses</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7"/>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Total</w:t>
            </w:r>
          </w:p>
        </w:tc>
        <w:tc>
          <w:tcPr>
            <w:tcW w:w="4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05"/>
        </w:trPr>
        <w:tc>
          <w:tcPr>
            <w:tcW w:w="3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410"/>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140" w:type="dxa"/>
            <w:vAlign w:val="bottom"/>
            <w:gridSpan w:val="2"/>
          </w:tcPr>
          <w:p>
            <w:pPr>
              <w:ind w:left="160"/>
              <w:spacing w:after="0"/>
              <w:rPr>
                <w:sz w:val="20"/>
                <w:szCs w:val="20"/>
                <w:color w:val="auto"/>
              </w:rPr>
            </w:pPr>
            <w:r>
              <w:rPr>
                <w:rFonts w:ascii="Arial" w:cs="Arial" w:eastAsia="Arial" w:hAnsi="Arial"/>
                <w:sz w:val="17"/>
                <w:szCs w:val="17"/>
                <w:color w:val="auto"/>
              </w:rPr>
              <w:t>To be provided by amendment</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14.</w:t>
        <w:tab/>
        <w:t>Indemnification of Directors and Officers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indemnity for such expenses that the Court of Chancery or other adjudicating court shall deem proper.</w:t>
      </w:r>
    </w:p>
    <w:p>
      <w:pPr>
        <w:spacing w:after="0" w:line="21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99"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Our amended and restated certificate of incorporation, or the Charter,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201"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amended and restated by-laws, or the By-Laws,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 of the By-Laws further provides for the advancement of expenses to each of our directors and, in the discretion of the board of directors, to certain officers and employees.</w:t>
      </w:r>
    </w:p>
    <w:p>
      <w:pPr>
        <w:spacing w:after="0" w:line="205"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V of the By-Laws authorizes us to provide insurance for our directors, officers and employees, against any liability,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whether or not we would have the power to indemnify such person against such liability under the Delaware General Corporation Law or the provisions of Article V of the By-Laws.</w:t>
      </w:r>
    </w:p>
    <w:p>
      <w:pPr>
        <w:spacing w:after="0" w:line="19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p>
    <w:p>
      <w:pPr>
        <w:spacing w:after="0" w:line="19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93"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15.</w:t>
        <w:tab/>
        <w:t>Recent Sales of Unregistered Securities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Issuances of capital stock</w:t>
      </w:r>
    </w:p>
    <w:p>
      <w:pPr>
        <w:spacing w:after="0" w:line="229"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In April 2011, February 2012, March 2012, October 2012, January 2013 and September 2013, we issued and sold an aggregate of 40,000,000 shares of our Series A convertible preferred stock to two investors for aggregate consideration of $40,000,000.</w:t>
      </w:r>
    </w:p>
    <w:p>
      <w:pPr>
        <w:spacing w:after="0" w:line="193" w:lineRule="exact"/>
        <w:rPr>
          <w:sz w:val="20"/>
          <w:szCs w:val="20"/>
          <w:color w:val="auto"/>
        </w:rPr>
      </w:pPr>
    </w:p>
    <w:p>
      <w:pPr>
        <w:ind w:right="600" w:firstLine="474"/>
        <w:spacing w:after="0" w:line="252" w:lineRule="auto"/>
        <w:rPr>
          <w:sz w:val="20"/>
          <w:szCs w:val="20"/>
          <w:color w:val="auto"/>
        </w:rPr>
      </w:pPr>
      <w:r>
        <w:rPr>
          <w:rFonts w:ascii="Arial" w:cs="Arial" w:eastAsia="Arial" w:hAnsi="Arial"/>
          <w:sz w:val="17"/>
          <w:szCs w:val="17"/>
          <w:color w:val="auto"/>
        </w:rPr>
        <w:t>In January 2014, we issued an aggregate of 20,916,663 shares of our Series B convertible preferred stock for aggregate consideration of $25,099,996 to seven investors.</w:t>
      </w:r>
    </w:p>
    <w:p>
      <w:pPr>
        <w:spacing w:after="0" w:line="193"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In November 2014, we issued an aggregate of 24,154,589 shares of our Series C convertible preferred stock for aggregate consideration of $49,999,999 to eighteen investors.</w:t>
      </w:r>
    </w:p>
    <w:p>
      <w:pPr>
        <w:spacing w:after="0" w:line="193"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4(2) of the Securities Act (and/or Regulation D promulgated thereunder) for transactions by an issuer not involving a public offering. All of the foregoing securities are deemed restricted securities for the purposes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Grants of warrants</w:t>
      </w:r>
    </w:p>
    <w:p>
      <w:pPr>
        <w:spacing w:after="0" w:line="229"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In May 2013 we issued warrants to purchase 150,000 shares of Series A Preferred Stock at a per share exercise price of $1.00, and in November 2014 we issued warrants to purchase 83,333 shares of our Series B Preferred Stock at a per share exercise price of $1.20. The warrant issuances were exempt pursuant to Section 4(2), as transactions by an issuer not involving a public offering. The shares of convertible preferred stock issued upon exercise of warrants and the shares of common stock issued upon conversion of the convertible preferred stock are deemed restricted securities for the purposes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Grants of stock options and restricted stock</w:t>
      </w:r>
    </w:p>
    <w:p>
      <w:pPr>
        <w:spacing w:after="0" w:line="229"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Since January 1, 2012, we have granted stock options to purchase an aggregate of 10,787,700 shares of our common stock at exercise prices ranging from $0.27 to $1.60, to employees, directors and consultants pursuant to our stock option plan. Since January 1, 2012, we have granted an aggregate of 11,429,450 shares of restricted stock. The issuances of these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securities were exempt either pursuant to Rule 701, as a transaction pursuant to a compensatory benefit plan, or pursuant to Section 4(2), as a transaction by an issuer not involving a public offering.</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16.</w:t>
        <w:tab/>
        <w:t>Exhibits and Financial Statement Schedules</w:t>
      </w:r>
    </w:p>
    <w:p>
      <w:pPr>
        <w:spacing w:after="0" w:line="231" w:lineRule="exact"/>
        <w:rPr>
          <w:sz w:val="20"/>
          <w:szCs w:val="20"/>
          <w:color w:val="auto"/>
        </w:rPr>
      </w:pPr>
    </w:p>
    <w:p>
      <w:pPr>
        <w:ind w:left="520" w:hanging="515"/>
        <w:spacing w:after="0"/>
        <w:tabs>
          <w:tab w:leader="none" w:pos="5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Exhibits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the Exhibit Index attached to this Registration Statement, which is incorporated by reference herein.</w:t>
      </w:r>
    </w:p>
    <w:p>
      <w:pPr>
        <w:spacing w:after="0" w:line="224" w:lineRule="exact"/>
        <w:rPr>
          <w:sz w:val="20"/>
          <w:szCs w:val="20"/>
          <w:color w:val="auto"/>
        </w:rPr>
      </w:pPr>
    </w:p>
    <w:p>
      <w:pPr>
        <w:ind w:left="520" w:hanging="515"/>
        <w:spacing w:after="0"/>
        <w:tabs>
          <w:tab w:leader="none" w:pos="5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11" w:lineRule="exact"/>
        <w:rPr>
          <w:sz w:val="20"/>
          <w:szCs w:val="20"/>
          <w:color w:val="auto"/>
        </w:rPr>
      </w:pPr>
    </w:p>
    <w:p>
      <w:pPr>
        <w:ind w:right="620" w:firstLine="474"/>
        <w:spacing w:after="0" w:line="252"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17.</w:t>
        <w:tab/>
        <w:t>Undertakings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ind w:left="520" w:right="220" w:hanging="515"/>
        <w:spacing w:after="0" w:line="241" w:lineRule="auto"/>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2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97" w:lineRule="exact"/>
        <w:rPr>
          <w:rFonts w:ascii="Arial" w:cs="Arial" w:eastAsia="Arial" w:hAnsi="Arial"/>
          <w:sz w:val="17"/>
          <w:szCs w:val="17"/>
          <w:color w:val="auto"/>
        </w:rPr>
      </w:pPr>
    </w:p>
    <w:p>
      <w:pPr>
        <w:ind w:left="520" w:right="100" w:hanging="515"/>
        <w:spacing w:after="0" w:line="246" w:lineRule="auto"/>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 signed on its behalf by the undersigned, thereunto duly authorized, in the city of Cambridge, Commonwealth of Massachusetts,</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2015.</w:t>
      </w:r>
    </w:p>
    <w:p>
      <w:pPr>
        <w:spacing w:after="0" w:line="191"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Blueprint Medicines Corporation</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57150</wp:posOffset>
            </wp:positionV>
            <wp:extent cx="2738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Jeffrey W. Albers</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 AND POWER OF ATTORNEY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the undersigned directors and officers of Blueprint Medicines Corporation (the "Company"), hereby severally constitute and appoint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Jeffrey W. Albers and Kyle D. Kuvalanka, and each of them singly, our true and lawful attorneys, with full power to them, and to each of them singly,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sign for us and in our names in the capacities indicated below, the registration statement on Form S-1 filed herewith, and any and all pre-effective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post-effective amendments to said registration statement, and any registration statement filed pursuant to Rule 462(b) under the Securities Act of 1933,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amended, in connection with the registration under the Securities Act of 1933, as amended, of equity securities of the Company, and to file or cause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be filed the same, with all exhibits thereto and other documents in connection therewith, with the Securities and Exchange Commission, granting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unto said attorneys, and each of them, full power and authority to do and perform each and every act and thing requisite and necessary to be done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connection therewith, as fully to all intents and purposes as each of us might or could do in person, and hereby ratifying and confirming all that said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attorneys, and each of them, or their substitute or substitutes, shall do or cause to be done by virtue of this Power of Attorney.</w:t>
      </w:r>
    </w:p>
    <w:p>
      <w:pPr>
        <w:spacing w:after="0" w:line="21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Pursuant to the requirements of the Securities Act, this Registration Statement on Form S-1 has been signed by the following persons in the capacities and on the dates indicated.</w:t>
      </w:r>
    </w:p>
    <w:p>
      <w:pPr>
        <w:spacing w:after="0" w:line="178" w:lineRule="exact"/>
        <w:rPr>
          <w:sz w:val="20"/>
          <w:szCs w:val="20"/>
          <w:color w:val="auto"/>
        </w:rPr>
      </w:pPr>
    </w:p>
    <w:p>
      <w:pPr>
        <w:ind w:left="2560"/>
        <w:spacing w:after="0"/>
        <w:tabs>
          <w:tab w:leader="none" w:pos="6380" w:val="left"/>
          <w:tab w:leader="none" w:pos="92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President, Chief Executive Officer and</w:t>
            </w:r>
          </w:p>
        </w:tc>
        <w:tc>
          <w:tcPr>
            <w:tcW w:w="128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7"/>
        </w:trPr>
        <w:tc>
          <w:tcPr>
            <w:tcW w:w="3500" w:type="dxa"/>
            <w:vAlign w:val="bottom"/>
            <w:tcBorders>
              <w:bottom w:val="single" w:sz="8" w:color="auto"/>
            </w:tcBorders>
          </w:tcPr>
          <w:p>
            <w:pPr>
              <w:spacing w:after="0"/>
              <w:rPr>
                <w:sz w:val="9"/>
                <w:szCs w:val="9"/>
                <w:color w:val="auto"/>
              </w:rPr>
            </w:pPr>
          </w:p>
        </w:tc>
        <w:tc>
          <w:tcPr>
            <w:tcW w:w="4120" w:type="dxa"/>
            <w:vAlign w:val="bottom"/>
            <w:vMerge w:val="restart"/>
          </w:tcPr>
          <w:p>
            <w:pPr>
              <w:ind w:left="160"/>
              <w:spacing w:after="0"/>
              <w:rPr>
                <w:sz w:val="20"/>
                <w:szCs w:val="20"/>
                <w:color w:val="auto"/>
              </w:rPr>
            </w:pPr>
            <w:r>
              <w:rPr>
                <w:rFonts w:ascii="Arial" w:cs="Arial" w:eastAsia="Arial" w:hAnsi="Arial"/>
                <w:sz w:val="17"/>
                <w:szCs w:val="17"/>
                <w:color w:val="auto"/>
              </w:rPr>
              <w:t xml:space="preserve">Director </w:t>
            </w:r>
            <w:r>
              <w:rPr>
                <w:rFonts w:ascii="Arial" w:cs="Arial" w:eastAsia="Arial" w:hAnsi="Arial"/>
                <w:sz w:val="17"/>
                <w:szCs w:val="17"/>
                <w:i w:val="1"/>
                <w:iCs w:val="1"/>
                <w:color w:val="auto"/>
              </w:rPr>
              <w:t>(Principal Executive Officer)</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50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620" w:type="dxa"/>
            <w:vAlign w:val="bottom"/>
            <w:gridSpan w:val="2"/>
          </w:tcPr>
          <w:p>
            <w:pPr>
              <w:jc w:val="center"/>
              <w:ind w:right="4055"/>
              <w:spacing w:after="0"/>
              <w:rPr>
                <w:sz w:val="20"/>
                <w:szCs w:val="20"/>
                <w:color w:val="auto"/>
              </w:rPr>
            </w:pPr>
            <w:r>
              <w:rPr>
                <w:rFonts w:ascii="Arial" w:cs="Arial" w:eastAsia="Arial" w:hAnsi="Arial"/>
                <w:sz w:val="17"/>
                <w:szCs w:val="17"/>
                <w:color w:val="auto"/>
                <w:w w:val="98"/>
              </w:rPr>
              <w:t>Jeffrey W. Albers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3500" w:type="dxa"/>
            <w:vAlign w:val="bottom"/>
          </w:tcPr>
          <w:p>
            <w:pPr>
              <w:spacing w:after="0"/>
              <w:rPr>
                <w:sz w:val="24"/>
                <w:szCs w:val="24"/>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 xml:space="preserve">Chief Business Officer </w:t>
            </w:r>
            <w:r>
              <w:rPr>
                <w:rFonts w:ascii="Arial" w:cs="Arial" w:eastAsia="Arial" w:hAnsi="Arial"/>
                <w:sz w:val="17"/>
                <w:szCs w:val="17"/>
                <w:i w:val="1"/>
                <w:iCs w:val="1"/>
                <w:color w:val="auto"/>
              </w:rPr>
              <w:t>(Principal Financial</w:t>
            </w:r>
          </w:p>
        </w:tc>
        <w:tc>
          <w:tcPr>
            <w:tcW w:w="128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7"/>
        </w:trPr>
        <w:tc>
          <w:tcPr>
            <w:tcW w:w="3500" w:type="dxa"/>
            <w:vAlign w:val="bottom"/>
            <w:tcBorders>
              <w:bottom w:val="single" w:sz="8" w:color="auto"/>
            </w:tcBorders>
          </w:tcPr>
          <w:p>
            <w:pPr>
              <w:spacing w:after="0"/>
              <w:rPr>
                <w:sz w:val="9"/>
                <w:szCs w:val="9"/>
                <w:color w:val="auto"/>
              </w:rPr>
            </w:pPr>
          </w:p>
        </w:tc>
        <w:tc>
          <w:tcPr>
            <w:tcW w:w="4120" w:type="dxa"/>
            <w:vAlign w:val="bottom"/>
            <w:vMerge w:val="restart"/>
          </w:tcPr>
          <w:p>
            <w:pPr>
              <w:ind w:left="160"/>
              <w:spacing w:after="0"/>
              <w:rPr>
                <w:sz w:val="20"/>
                <w:szCs w:val="20"/>
                <w:color w:val="auto"/>
              </w:rPr>
            </w:pPr>
            <w:r>
              <w:rPr>
                <w:rFonts w:ascii="Arial" w:cs="Arial" w:eastAsia="Arial" w:hAnsi="Arial"/>
                <w:sz w:val="17"/>
                <w:szCs w:val="17"/>
                <w:i w:val="1"/>
                <w:iCs w:val="1"/>
                <w:color w:val="auto"/>
              </w:rPr>
              <w:t>and Accounting Officer)</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50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620" w:type="dxa"/>
            <w:vAlign w:val="bottom"/>
            <w:gridSpan w:val="2"/>
          </w:tcPr>
          <w:p>
            <w:pPr>
              <w:jc w:val="center"/>
              <w:ind w:right="4055"/>
              <w:spacing w:after="0"/>
              <w:rPr>
                <w:sz w:val="20"/>
                <w:szCs w:val="20"/>
                <w:color w:val="auto"/>
              </w:rPr>
            </w:pPr>
            <w:r>
              <w:rPr>
                <w:rFonts w:ascii="Arial" w:cs="Arial" w:eastAsia="Arial" w:hAnsi="Arial"/>
                <w:sz w:val="17"/>
                <w:szCs w:val="17"/>
                <w:color w:val="auto"/>
              </w:rPr>
              <w:t>Kyle D. Kuvalanka</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3500" w:type="dxa"/>
            <w:vAlign w:val="bottom"/>
          </w:tcPr>
          <w:p>
            <w:pPr>
              <w:spacing w:after="0"/>
              <w:rPr>
                <w:sz w:val="24"/>
                <w:szCs w:val="24"/>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Executive Chairman of the Board</w:t>
            </w:r>
          </w:p>
        </w:tc>
        <w:tc>
          <w:tcPr>
            <w:tcW w:w="128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81"/>
        </w:trPr>
        <w:tc>
          <w:tcPr>
            <w:tcW w:w="350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7620" w:type="dxa"/>
            <w:vAlign w:val="bottom"/>
            <w:gridSpan w:val="2"/>
          </w:tcPr>
          <w:p>
            <w:pPr>
              <w:jc w:val="center"/>
              <w:ind w:right="4055"/>
              <w:spacing w:after="0"/>
              <w:rPr>
                <w:sz w:val="20"/>
                <w:szCs w:val="20"/>
                <w:color w:val="auto"/>
              </w:rPr>
            </w:pPr>
            <w:r>
              <w:rPr>
                <w:rFonts w:ascii="Arial" w:cs="Arial" w:eastAsia="Arial" w:hAnsi="Arial"/>
                <w:sz w:val="17"/>
                <w:szCs w:val="17"/>
                <w:color w:val="auto"/>
              </w:rPr>
              <w:t>Daniel S. Lynch</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500" w:type="dxa"/>
            <w:vAlign w:val="bottom"/>
          </w:tcPr>
          <w:p>
            <w:pPr>
              <w:spacing w:after="0"/>
              <w:rPr>
                <w:sz w:val="24"/>
                <w:szCs w:val="24"/>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128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51435</wp:posOffset>
            </wp:positionV>
            <wp:extent cx="22142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14245" cy="8255"/>
                    </a:xfrm>
                    <a:prstGeom prst="rect">
                      <a:avLst/>
                    </a:prstGeom>
                    <a:noFill/>
                  </pic:spPr>
                </pic:pic>
              </a:graphicData>
            </a:graphic>
          </wp:anchor>
        </w:drawing>
      </w:r>
    </w:p>
    <w:p>
      <w:pPr>
        <w:spacing w:after="0" w:line="156"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Nicholas Lydon, Ph.D.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ind w:left="2560"/>
        <w:spacing w:after="0"/>
        <w:tabs>
          <w:tab w:leader="none" w:pos="6380" w:val="left"/>
          <w:tab w:leader="none" w:pos="92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jc w:val="right"/>
              <w:ind w:right="129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360" w:type="dxa"/>
            <w:vAlign w:val="bottom"/>
            <w:gridSpan w:val="2"/>
          </w:tcPr>
          <w:p>
            <w:pPr>
              <w:jc w:val="center"/>
              <w:ind w:right="795"/>
              <w:spacing w:after="0"/>
              <w:rPr>
                <w:sz w:val="20"/>
                <w:szCs w:val="20"/>
                <w:color w:val="auto"/>
              </w:rPr>
            </w:pPr>
            <w:r>
              <w:rPr>
                <w:rFonts w:ascii="Arial" w:cs="Arial" w:eastAsia="Arial" w:hAnsi="Arial"/>
                <w:sz w:val="17"/>
                <w:szCs w:val="17"/>
                <w:color w:val="auto"/>
                <w:w w:val="98"/>
              </w:rPr>
              <w:t>Alexis Borisy</w:t>
            </w:r>
          </w:p>
        </w:tc>
        <w:tc>
          <w:tcPr>
            <w:tcW w:w="592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jc w:val="right"/>
              <w:ind w:right="129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360" w:type="dxa"/>
            <w:vAlign w:val="bottom"/>
            <w:gridSpan w:val="2"/>
          </w:tcPr>
          <w:p>
            <w:pPr>
              <w:jc w:val="center"/>
              <w:ind w:right="795"/>
              <w:spacing w:after="0"/>
              <w:rPr>
                <w:sz w:val="20"/>
                <w:szCs w:val="20"/>
                <w:color w:val="auto"/>
              </w:rPr>
            </w:pPr>
            <w:r>
              <w:rPr>
                <w:rFonts w:ascii="Arial" w:cs="Arial" w:eastAsia="Arial" w:hAnsi="Arial"/>
                <w:sz w:val="17"/>
                <w:szCs w:val="17"/>
                <w:color w:val="auto"/>
              </w:rPr>
              <w:t>Stephen C. Knight, M.D.</w:t>
            </w:r>
          </w:p>
        </w:tc>
        <w:tc>
          <w:tcPr>
            <w:tcW w:w="592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jc w:val="right"/>
              <w:ind w:right="129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360" w:type="dxa"/>
            <w:vAlign w:val="bottom"/>
            <w:gridSpan w:val="2"/>
          </w:tcPr>
          <w:p>
            <w:pPr>
              <w:jc w:val="center"/>
              <w:ind w:right="795"/>
              <w:spacing w:after="0"/>
              <w:rPr>
                <w:sz w:val="20"/>
                <w:szCs w:val="20"/>
                <w:color w:val="auto"/>
              </w:rPr>
            </w:pPr>
            <w:r>
              <w:rPr>
                <w:rFonts w:ascii="Arial" w:cs="Arial" w:eastAsia="Arial" w:hAnsi="Arial"/>
                <w:sz w:val="17"/>
                <w:szCs w:val="17"/>
                <w:color w:val="auto"/>
                <w:w w:val="99"/>
              </w:rPr>
              <w:t>David Schenkein, M.D.</w:t>
            </w:r>
          </w:p>
        </w:tc>
        <w:tc>
          <w:tcPr>
            <w:tcW w:w="592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jc w:val="right"/>
              <w:ind w:right="129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360" w:type="dxa"/>
            <w:vAlign w:val="bottom"/>
            <w:gridSpan w:val="2"/>
          </w:tcPr>
          <w:p>
            <w:pPr>
              <w:jc w:val="center"/>
              <w:ind w:right="795"/>
              <w:spacing w:after="0"/>
              <w:rPr>
                <w:sz w:val="20"/>
                <w:szCs w:val="20"/>
                <w:color w:val="auto"/>
              </w:rPr>
            </w:pPr>
            <w:r>
              <w:rPr>
                <w:rFonts w:ascii="Arial" w:cs="Arial" w:eastAsia="Arial" w:hAnsi="Arial"/>
                <w:sz w:val="17"/>
                <w:szCs w:val="17"/>
                <w:color w:val="auto"/>
                <w:w w:val="99"/>
              </w:rPr>
              <w:t>Thilo Schroeder, Ph.D.</w:t>
            </w:r>
          </w:p>
        </w:tc>
        <w:tc>
          <w:tcPr>
            <w:tcW w:w="5920" w:type="dxa"/>
            <w:vAlign w:val="bottom"/>
          </w:tcPr>
          <w:p>
            <w:pPr>
              <w:spacing w:after="0"/>
              <w:rPr>
                <w:sz w:val="24"/>
                <w:szCs w:val="24"/>
                <w:color w:val="auto"/>
              </w:rPr>
            </w:pPr>
          </w:p>
        </w:tc>
      </w:tr>
      <w:tr>
        <w:trPr>
          <w:trHeight w:val="40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20" w:type="dxa"/>
            <w:vAlign w:val="bottom"/>
          </w:tcPr>
          <w:p>
            <w:pPr>
              <w:jc w:val="right"/>
              <w:ind w:right="5495"/>
              <w:spacing w:after="0"/>
              <w:rPr>
                <w:sz w:val="20"/>
                <w:szCs w:val="20"/>
                <w:color w:val="auto"/>
              </w:rPr>
            </w:pPr>
            <w:r>
              <w:rPr>
                <w:rFonts w:ascii="Arial" w:cs="Arial" w:eastAsia="Arial" w:hAnsi="Arial"/>
                <w:sz w:val="17"/>
                <w:szCs w:val="17"/>
                <w:color w:val="auto"/>
              </w:rPr>
              <w:t>II-6</w:t>
            </w:r>
          </w:p>
        </w:tc>
      </w:tr>
      <w:tr>
        <w:trPr>
          <w:trHeight w:val="209"/>
        </w:trPr>
        <w:tc>
          <w:tcPr>
            <w:tcW w:w="114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95"/>
        </w:trPr>
        <w:tc>
          <w:tcPr>
            <w:tcW w:w="2060" w:type="dxa"/>
            <w:vAlign w:val="bottom"/>
            <w:gridSpan w:val="5"/>
          </w:tcPr>
          <w:p>
            <w:pPr>
              <w:jc w:val="right"/>
              <w:ind w:right="720"/>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gridSpan w:val="3"/>
          </w:tcPr>
          <w:p>
            <w:pPr>
              <w:ind w:left="3020"/>
              <w:spacing w:after="0"/>
              <w:rPr>
                <w:sz w:val="20"/>
                <w:szCs w:val="20"/>
                <w:color w:val="auto"/>
              </w:rPr>
            </w:pPr>
            <w:r>
              <w:rPr>
                <w:rFonts w:ascii="Arial" w:cs="Arial" w:eastAsia="Arial" w:hAnsi="Arial"/>
                <w:sz w:val="17"/>
                <w:szCs w:val="17"/>
                <w:b w:val="1"/>
                <w:bCs w:val="1"/>
                <w:color w:val="auto"/>
              </w:rPr>
              <w:t>EXHIBIT INDEX</w:t>
            </w:r>
          </w:p>
        </w:tc>
      </w:tr>
      <w:tr>
        <w:trPr>
          <w:trHeight w:val="379"/>
        </w:trPr>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Exhibit</w:t>
            </w:r>
          </w:p>
        </w:tc>
        <w:tc>
          <w:tcPr>
            <w:tcW w:w="3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Description of Exhibit</w:t>
            </w:r>
          </w:p>
        </w:tc>
        <w:tc>
          <w:tcPr>
            <w:tcW w:w="3140" w:type="dxa"/>
            <w:vAlign w:val="bottom"/>
          </w:tcPr>
          <w:p>
            <w:pPr>
              <w:spacing w:after="0"/>
              <w:rPr>
                <w:sz w:val="18"/>
                <w:szCs w:val="18"/>
                <w:color w:val="auto"/>
              </w:rPr>
            </w:pPr>
          </w:p>
        </w:tc>
      </w:tr>
      <w:tr>
        <w:trPr>
          <w:trHeight w:val="200"/>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1.1*</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Underwriting Agreement.</w:t>
            </w:r>
          </w:p>
        </w:tc>
      </w:tr>
      <w:tr>
        <w:trPr>
          <w:trHeight w:val="622"/>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Amended and Restated Certificate of Incorporation (to be effective upon pricing of the offering).</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Amended and Restated Certificate of Incorporation (to be effective upon completion of the offering).</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3.3</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Amended and Restated By-laws (to be effective upon completion of this offering).</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Specimen Common Stock Certificate.</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4.2</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Series A Preferred Stock Warrant.</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4.3</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Form of Series B Preferred Stock Warrant.</w:t>
            </w:r>
          </w:p>
        </w:tc>
      </w:tr>
      <w:tr>
        <w:trPr>
          <w:trHeight w:val="236"/>
        </w:trPr>
        <w:tc>
          <w:tcPr>
            <w:tcW w:w="2060" w:type="dxa"/>
            <w:vAlign w:val="bottom"/>
            <w:gridSpan w:val="5"/>
          </w:tcPr>
          <w:p>
            <w:pPr>
              <w:jc w:val="right"/>
              <w:ind w:right="80"/>
              <w:spacing w:after="0" w:line="236" w:lineRule="exact"/>
              <w:rPr>
                <w:sz w:val="20"/>
                <w:szCs w:val="20"/>
                <w:color w:val="auto"/>
              </w:rPr>
            </w:pPr>
            <w:r>
              <w:rPr>
                <w:rFonts w:ascii="Arial" w:cs="Arial" w:eastAsia="Arial" w:hAnsi="Arial"/>
                <w:sz w:val="15"/>
                <w:szCs w:val="15"/>
                <w:color w:val="auto"/>
              </w:rPr>
              <w:t>4.4</w:t>
            </w:r>
            <w:r>
              <w:rPr>
                <w:rFonts w:ascii="Arial" w:cs="Arial" w:eastAsia="Arial" w:hAnsi="Arial"/>
                <w:sz w:val="27"/>
                <w:szCs w:val="27"/>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w w:val="99"/>
              </w:rPr>
              <w:t>Second Amended and Restated Investors' Rights Agreement, dated as of November 7, 2014, by and among</w:t>
            </w:r>
          </w:p>
        </w:tc>
      </w:tr>
      <w:tr>
        <w:trPr>
          <w:trHeight w:val="204"/>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7"/>
                <w:szCs w:val="17"/>
                <w:color w:val="auto"/>
              </w:rPr>
              <w:t>the Registrant and the Investors listed therein.</w:t>
            </w:r>
          </w:p>
        </w:tc>
      </w:tr>
      <w:tr>
        <w:trPr>
          <w:trHeight w:val="425"/>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4.5</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Second Amended and Restated Stockholders' Agreement, dated as of November 7, 2014, by and among</w:t>
            </w:r>
          </w:p>
        </w:tc>
      </w:tr>
      <w:tr>
        <w:trPr>
          <w:trHeight w:val="204"/>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7"/>
                <w:szCs w:val="17"/>
                <w:color w:val="auto"/>
              </w:rPr>
              <w:t>the Registrant and the Stockholders listed therein.</w:t>
            </w:r>
          </w:p>
        </w:tc>
      </w:tr>
      <w:tr>
        <w:trPr>
          <w:trHeight w:val="622"/>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Opinion of Goodwin Procter LLP.</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2011 Stock Option Plan and forms of award agreement thereunder.</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2015 Stock Option and Incentive Plan and forms of award agreement thereunder.</w:t>
            </w:r>
          </w:p>
        </w:tc>
      </w:tr>
      <w:tr>
        <w:trPr>
          <w:trHeight w:val="236"/>
        </w:trPr>
        <w:tc>
          <w:tcPr>
            <w:tcW w:w="2060" w:type="dxa"/>
            <w:vAlign w:val="bottom"/>
            <w:gridSpan w:val="5"/>
          </w:tcPr>
          <w:p>
            <w:pPr>
              <w:jc w:val="right"/>
              <w:ind w:right="80"/>
              <w:spacing w:after="0" w:line="236" w:lineRule="exact"/>
              <w:rPr>
                <w:sz w:val="20"/>
                <w:szCs w:val="20"/>
                <w:color w:val="auto"/>
              </w:rPr>
            </w:pPr>
            <w:r>
              <w:rPr>
                <w:rFonts w:ascii="Arial" w:cs="Arial" w:eastAsia="Arial" w:hAnsi="Arial"/>
                <w:sz w:val="15"/>
                <w:szCs w:val="15"/>
                <w:color w:val="auto"/>
              </w:rPr>
              <w:t>10.3</w:t>
            </w:r>
            <w:r>
              <w:rPr>
                <w:rFonts w:ascii="Arial" w:cs="Arial" w:eastAsia="Arial" w:hAnsi="Arial"/>
                <w:sz w:val="27"/>
                <w:szCs w:val="27"/>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Lease Agreement, dated June 24, 2011, by and between the Registrant and ARE-MA Region No. 38, LLC,</w:t>
            </w:r>
          </w:p>
        </w:tc>
      </w:tr>
      <w:tr>
        <w:trPr>
          <w:trHeight w:val="204"/>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7"/>
                <w:szCs w:val="17"/>
                <w:color w:val="auto"/>
              </w:rPr>
              <w:t>as amended.</w:t>
            </w:r>
          </w:p>
        </w:tc>
      </w:tr>
      <w:tr>
        <w:trPr>
          <w:trHeight w:val="425"/>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Lease Agreement, dated February 11, 2015, by and between the Registrant and 38 Sidney Street Limited</w:t>
            </w:r>
          </w:p>
        </w:tc>
      </w:tr>
      <w:tr>
        <w:trPr>
          <w:trHeight w:val="204"/>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7"/>
                <w:szCs w:val="17"/>
                <w:color w:val="auto"/>
              </w:rPr>
              <w:t>Partnership.</w:t>
            </w:r>
          </w:p>
        </w:tc>
      </w:tr>
      <w:tr>
        <w:trPr>
          <w:trHeight w:val="622"/>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Offer Letter, dated May 29, 2014, by and between the Registrant and Jeffrey W. Albers.</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10.6</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Offer Letter, dated August 1, 2013, by and between the Registrant and Kyle D. Kuvalanka.</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Offer Letter, dated November 22, 2011, by and between the Registrant and Christoph Lengauer.</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Offer Letter, dated November 20, 2014, by and between the Registrant and Anthony Boral.</w:t>
            </w:r>
          </w:p>
        </w:tc>
      </w:tr>
      <w:tr>
        <w:trPr>
          <w:trHeight w:val="236"/>
        </w:trPr>
        <w:tc>
          <w:tcPr>
            <w:tcW w:w="2060" w:type="dxa"/>
            <w:vAlign w:val="bottom"/>
            <w:gridSpan w:val="5"/>
          </w:tcPr>
          <w:p>
            <w:pPr>
              <w:jc w:val="right"/>
              <w:ind w:right="80"/>
              <w:spacing w:after="0" w:line="236" w:lineRule="exact"/>
              <w:rPr>
                <w:sz w:val="20"/>
                <w:szCs w:val="20"/>
                <w:color w:val="auto"/>
              </w:rPr>
            </w:pPr>
            <w:r>
              <w:rPr>
                <w:rFonts w:ascii="Arial" w:cs="Arial" w:eastAsia="Arial" w:hAnsi="Arial"/>
                <w:sz w:val="15"/>
                <w:szCs w:val="15"/>
                <w:color w:val="auto"/>
              </w:rPr>
              <w:t>10.9</w:t>
            </w:r>
            <w:r>
              <w:rPr>
                <w:rFonts w:ascii="Arial" w:cs="Arial" w:eastAsia="Arial" w:hAnsi="Arial"/>
                <w:sz w:val="27"/>
                <w:szCs w:val="27"/>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Loan and Security Agreement, dated May 24, 2013, by and between the Registrant and Silicon Valley Bank,</w:t>
            </w:r>
          </w:p>
        </w:tc>
      </w:tr>
      <w:tr>
        <w:trPr>
          <w:trHeight w:val="204"/>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7"/>
                <w:szCs w:val="17"/>
                <w:color w:val="auto"/>
              </w:rPr>
              <w:t>as amended.</w:t>
            </w:r>
          </w:p>
        </w:tc>
      </w:tr>
      <w:tr>
        <w:trPr>
          <w:trHeight w:val="433"/>
        </w:trPr>
        <w:tc>
          <w:tcPr>
            <w:tcW w:w="2060" w:type="dxa"/>
            <w:vAlign w:val="bottom"/>
            <w:gridSpan w:val="5"/>
          </w:tcPr>
          <w:p>
            <w:pPr>
              <w:jc w:val="right"/>
              <w:ind w:right="140"/>
              <w:spacing w:after="0"/>
              <w:rPr>
                <w:sz w:val="20"/>
                <w:szCs w:val="20"/>
                <w:color w:val="auto"/>
              </w:rPr>
            </w:pPr>
            <w:r>
              <w:rPr>
                <w:rFonts w:ascii="Arial" w:cs="Arial" w:eastAsia="Arial" w:hAnsi="Arial"/>
                <w:sz w:val="17"/>
                <w:szCs w:val="17"/>
                <w:color w:val="auto"/>
              </w:rPr>
              <w:t>21.1</w:t>
            </w:r>
          </w:p>
        </w:tc>
        <w:tc>
          <w:tcPr>
            <w:tcW w:w="8160" w:type="dxa"/>
            <w:vAlign w:val="bottom"/>
            <w:gridSpan w:val="3"/>
          </w:tcPr>
          <w:p>
            <w:pPr>
              <w:spacing w:after="0"/>
              <w:rPr>
                <w:sz w:val="20"/>
                <w:szCs w:val="20"/>
                <w:color w:val="auto"/>
              </w:rPr>
            </w:pPr>
            <w:r>
              <w:rPr>
                <w:rFonts w:ascii="Arial" w:cs="Arial" w:eastAsia="Arial" w:hAnsi="Arial"/>
                <w:sz w:val="17"/>
                <w:szCs w:val="17"/>
                <w:color w:val="auto"/>
              </w:rPr>
              <w:t>Subsidiaries of Registrant.</w:t>
            </w:r>
          </w:p>
        </w:tc>
      </w:tr>
      <w:tr>
        <w:trPr>
          <w:trHeight w:val="622"/>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Consent of Ernst &amp; Young LLP.</w:t>
            </w:r>
          </w:p>
        </w:tc>
      </w:tr>
      <w:tr>
        <w:trPr>
          <w:trHeight w:val="433"/>
        </w:trPr>
        <w:tc>
          <w:tcPr>
            <w:tcW w:w="2060" w:type="dxa"/>
            <w:vAlign w:val="bottom"/>
            <w:gridSpan w:val="5"/>
          </w:tcPr>
          <w:p>
            <w:pPr>
              <w:jc w:val="right"/>
              <w:ind w:right="80"/>
              <w:spacing w:after="0"/>
              <w:rPr>
                <w:sz w:val="20"/>
                <w:szCs w:val="20"/>
                <w:color w:val="auto"/>
              </w:rPr>
            </w:pPr>
            <w:r>
              <w:rPr>
                <w:rFonts w:ascii="Arial" w:cs="Arial" w:eastAsia="Arial" w:hAnsi="Arial"/>
                <w:sz w:val="17"/>
                <w:szCs w:val="17"/>
                <w:color w:val="auto"/>
              </w:rPr>
              <w:t>23.3</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Consent of Goodwin Procter LLP (included in Exhibit 5.1).</w:t>
            </w:r>
          </w:p>
        </w:tc>
      </w:tr>
      <w:tr>
        <w:trPr>
          <w:trHeight w:val="338"/>
        </w:trPr>
        <w:tc>
          <w:tcPr>
            <w:tcW w:w="1140" w:type="dxa"/>
            <w:vAlign w:val="bottom"/>
          </w:tcPr>
          <w:p>
            <w:pPr>
              <w:spacing w:after="0"/>
              <w:rPr>
                <w:sz w:val="24"/>
                <w:szCs w:val="24"/>
                <w:color w:val="auto"/>
              </w:rPr>
            </w:pPr>
          </w:p>
        </w:tc>
        <w:tc>
          <w:tcPr>
            <w:tcW w:w="920" w:type="dxa"/>
            <w:vAlign w:val="bottom"/>
            <w:tcBorders>
              <w:bottom w:val="single" w:sz="8" w:color="auto"/>
            </w:tcBorders>
            <w:gridSpan w:val="4"/>
          </w:tcPr>
          <w:p>
            <w:pPr>
              <w:jc w:val="right"/>
              <w:ind w:right="80"/>
              <w:spacing w:after="0" w:line="338" w:lineRule="exact"/>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p>
        </w:tc>
        <w:tc>
          <w:tcPr>
            <w:tcW w:w="8160" w:type="dxa"/>
            <w:vAlign w:val="bottom"/>
            <w:gridSpan w:val="3"/>
          </w:tcPr>
          <w:p>
            <w:pPr>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213"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20"/>
          </w:cols>
          <w:pgMar w:left="240" w:top="115" w:right="1439" w:bottom="1440" w:gutter="0" w:footer="0" w:header="0"/>
        </w:sectPr>
      </w:pPr>
    </w:p>
    <w:bookmarkStart w:id="196" w:name="page197"/>
    <w:bookmarkEnd w:id="1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THE REGISTRANT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5"/>
    </w:lvl>
  </w:abstractNum>
  <w:abstractNum w:abstractNumId="12">
    <w:nsid w:val="D34B6A8"/>
    <w:multiLevelType w:val="hybridMultilevel"/>
    <w:lvl w:ilvl="0">
      <w:lvlJc w:val="left"/>
      <w:lvlText w:val="(%1)"/>
      <w:numFmt w:val="decimal"/>
      <w:start w:val="6"/>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1)"/>
      <w:numFmt w:val="lowerRoman"/>
      <w:start w:val="2"/>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2"/>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lowerRoman"/>
      <w:start w:val="2"/>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1)"/>
      <w:numFmt w:val="decimal"/>
      <w:start w:val="2"/>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lowerRoman"/>
      <w:start w:val="1"/>
    </w:lvl>
  </w:abstractNum>
  <w:abstractNum w:abstractNumId="72">
    <w:nsid w:val="2DF6D648"/>
    <w:multiLevelType w:val="hybridMultilevel"/>
    <w:lvl w:ilvl="0">
      <w:lvlJc w:val="left"/>
      <w:lvlText w:val="(%1)"/>
      <w:numFmt w:val="lowerRoman"/>
      <w:start w:val="4"/>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2"/>
    </w:lvl>
  </w:abstractNum>
  <w:abstractNum w:abstractNumId="80">
    <w:nsid w:val="26F324BA"/>
    <w:multiLevelType w:val="hybridMultilevel"/>
    <w:lvl w:ilvl="0">
      <w:lvlJc w:val="left"/>
      <w:lvlText w:val="(%1)"/>
      <w:numFmt w:val="decimal"/>
      <w:start w:val="7"/>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1)"/>
      <w:numFmt w:val="decimal"/>
      <w:start w:val="1"/>
    </w:lvl>
  </w:abstractNum>
  <w:abstractNum w:abstractNumId="85">
    <w:nsid w:val="50801EE1"/>
    <w:multiLevelType w:val="hybridMultilevel"/>
    <w:lvl w:ilvl="0">
      <w:lvlJc w:val="left"/>
      <w:lvlText w:val="(%1)"/>
      <w:numFmt w:val="decimal"/>
      <w:start w:val="3"/>
    </w:lvl>
  </w:abstractNum>
  <w:abstractNum w:abstractNumId="86">
    <w:nsid w:val="488AC1A"/>
    <w:multiLevelType w:val="hybridMultilevel"/>
    <w:lvl w:ilvl="0">
      <w:lvlJc w:val="left"/>
      <w:lvlText w:val="(%1)"/>
      <w:numFmt w:val="decimal"/>
      <w:start w:val="4"/>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lvl w:ilvl="1">
      <w:lvlJc w:val="left"/>
      <w:lvlText w:val="•"/>
      <w:numFmt w:val="bullet"/>
      <w:start w:val="1"/>
    </w:lvl>
  </w:abstractNum>
  <w:abstractNum w:abstractNumId="98">
    <w:nsid w:val="14FCE74E"/>
    <w:multiLevelType w:val="hybridMultilevel"/>
    <w:lvl w:ilvl="0">
      <w:lvlJc w:val="left"/>
      <w:lvlText w:val="•"/>
      <w:numFmt w:val="bullet"/>
      <w:start w:val="1"/>
    </w:lvl>
    <w:lvl w:ilvl="1">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1."/>
      <w:numFmt w:val="decimal"/>
      <w:start w:val="2"/>
    </w:lvl>
    <w:lvl w:ilvl="1">
      <w:lvlJc w:val="left"/>
      <w:lvlText w:val="•"/>
      <w:numFmt w:val="bullet"/>
      <w:start w:val="1"/>
    </w:lvl>
  </w:abstractNum>
  <w:abstractNum w:abstractNumId="101">
    <w:nsid w:val="9DAF632"/>
    <w:multiLevelType w:val="hybridMultilevel"/>
    <w:lvl w:ilvl="0">
      <w:lvlJc w:val="left"/>
      <w:lvlText w:val="%1."/>
      <w:numFmt w:val="decimal"/>
      <w:start w:val="7"/>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8"/>
    </w:lvl>
    <w:lvl w:ilvl="1">
      <w:lvlJc w:val="left"/>
      <w:lvlText w:val="(%2)"/>
      <w:numFmt w:val="decimal"/>
      <w:start w:val="2"/>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2"/>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2019-12-09T03:46:38Z</dcterms:created>
  <dcterms:modified xsi:type="dcterms:W3CDTF">2019-12-09T03:46:38Z</dcterms:modified>
</cp:coreProperties>
</file>