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77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771" w:gutter="0" w:footer="0" w:header="0"/>
          <w:type w:val="continuous"/>
        </w:sectPr>
      </w:pPr>
    </w:p>
    <w:p>
      <w:pPr>
        <w:spacing w:after="0" w:line="128" w:lineRule="exact"/>
        <w:rPr>
          <w:sz w:val="24"/>
          <w:szCs w:val="24"/>
          <w:color w:val="auto"/>
        </w:rPr>
      </w:pPr>
    </w:p>
    <w:p>
      <w:pPr>
        <w:ind w:left="186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Cambridge ,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771"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( 617 ) 374-7580</w:t>
      </w:r>
    </w:p>
    <w:p>
      <w:pPr>
        <w:spacing w:after="0" w:line="200" w:lineRule="exact"/>
        <w:rPr>
          <w:sz w:val="24"/>
          <w:szCs w:val="24"/>
          <w:color w:val="auto"/>
        </w:rPr>
      </w:pPr>
    </w:p>
    <w:p>
      <w:pPr>
        <w:spacing w:after="0" w:line="24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237490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40" w:hanging="284"/>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40" w:hanging="284"/>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40" w:hanging="284"/>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40" w:hanging="284"/>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6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Emerging growth company</w:t>
      </w:r>
    </w:p>
    <w:p>
      <w:pPr>
        <w:spacing w:after="0" w:line="18" w:lineRule="exact"/>
        <w:rPr>
          <w:sz w:val="24"/>
          <w:szCs w:val="24"/>
          <w:color w:val="auto"/>
        </w:rPr>
      </w:pPr>
    </w:p>
    <w:p>
      <w:pPr>
        <w:ind w:left="280"/>
        <w:spacing w:after="0" w:line="181" w:lineRule="exact"/>
        <w:rPr>
          <w:sz w:val="20"/>
          <w:szCs w:val="20"/>
          <w:color w:val="auto"/>
        </w:rPr>
      </w:pPr>
      <w:r>
        <w:rPr>
          <w:rFonts w:ascii="MS PGothic" w:cs="MS PGothic" w:eastAsia="MS PGothic" w:hAnsi="MS PGothic"/>
          <w:sz w:val="18"/>
          <w:szCs w:val="18"/>
          <w:color w:val="auto"/>
        </w:rPr>
        <w:t>☐</w:t>
      </w:r>
    </w:p>
    <w:p>
      <w:pPr>
        <w:spacing w:after="0" w:line="243"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3"/>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771"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April 28, 2020, Blueprint Medicines Corporation issued a press release announcing that its Phase 3 VOYAGER clinical trial of avapritinib versus regorafenib in patients with locally advanced unresectable or metastatic gastrointestinal stromal tumor did not meet the primary endpoint of an improvement in progression-free survival for avapritinib versus regorafenib. A copy of the press release is filed herewith as Exhibit 99.1 to this Current Report on Form 8-K and incorporated herein by reference.</w:t>
      </w:r>
    </w:p>
    <w:p>
      <w:pPr>
        <w:spacing w:after="0" w:line="3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2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820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4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99.1</w:t>
            </w:r>
          </w:p>
        </w:tc>
        <w:tc>
          <w:tcPr>
            <w:tcW w:w="280" w:type="dxa"/>
            <w:vAlign w:val="bottom"/>
          </w:tcPr>
          <w:p>
            <w:pPr>
              <w:spacing w:after="0"/>
              <w:rPr>
                <w:sz w:val="16"/>
                <w:szCs w:val="16"/>
                <w:color w:val="auto"/>
              </w:rPr>
            </w:pPr>
          </w:p>
        </w:tc>
        <w:tc>
          <w:tcPr>
            <w:tcW w:w="8200" w:type="dxa"/>
            <w:vAlign w:val="bottom"/>
            <w:tcBorders>
              <w:top w:val="single" w:sz="8" w:color="auto"/>
            </w:tcBorders>
          </w:tcPr>
          <w:p>
            <w:pPr>
              <w:ind w:left="100"/>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Blueprint Medicines Corporation on April 28, 2020</w:t>
              </w:r>
            </w:hyperlink>
          </w:p>
        </w:tc>
      </w:tr>
      <w:tr>
        <w:trPr>
          <w:trHeight w:val="230"/>
        </w:trPr>
        <w:tc>
          <w:tcPr>
            <w:tcW w:w="1440" w:type="dxa"/>
            <w:vAlign w:val="bottom"/>
            <w:gridSpan w:val="2"/>
          </w:tcPr>
          <w:p>
            <w:pPr>
              <w:ind w:left="12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31"/>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0" w:type="dxa"/>
            <w:vAlign w:val="bottom"/>
          </w:tcPr>
          <w:p>
            <w:pPr>
              <w:jc w:val="right"/>
              <w:ind w:right="4830"/>
              <w:spacing w:after="0"/>
              <w:rPr>
                <w:sz w:val="20"/>
                <w:szCs w:val="20"/>
                <w:color w:val="auto"/>
              </w:rPr>
            </w:pPr>
            <w:r>
              <w:rPr>
                <w:rFonts w:ascii="Arial" w:cs="Arial" w:eastAsia="Arial" w:hAnsi="Arial"/>
                <w:sz w:val="18"/>
                <w:szCs w:val="18"/>
                <w:color w:val="auto"/>
              </w:rPr>
              <w:t>2</w:t>
            </w:r>
          </w:p>
        </w:tc>
      </w:tr>
      <w:tr>
        <w:trPr>
          <w:trHeight w:val="777"/>
        </w:trPr>
        <w:tc>
          <w:tcPr>
            <w:tcW w:w="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45"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April 28,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2"/>
          <w:szCs w:val="22"/>
          <w:color w:val="auto"/>
        </w:rPr>
        <w:t>Exhibit 99.1</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Announces Top-line Results from Phase 3 VOYAGER Trial of</w:t>
      </w:r>
    </w:p>
    <w:p>
      <w:pPr>
        <w:jc w:val="center"/>
        <w:ind w:right="19"/>
        <w:spacing w:after="0"/>
        <w:rPr>
          <w:sz w:val="20"/>
          <w:szCs w:val="20"/>
          <w:color w:val="auto"/>
        </w:rPr>
      </w:pPr>
      <w:r>
        <w:rPr>
          <w:rFonts w:ascii="Arial" w:cs="Arial" w:eastAsia="Arial" w:hAnsi="Arial"/>
          <w:sz w:val="18"/>
          <w:szCs w:val="18"/>
          <w:b w:val="1"/>
          <w:bCs w:val="1"/>
          <w:color w:val="auto"/>
        </w:rPr>
        <w:t>Avapritinib versus Regorafenib in Patients with Advanced Gastrointestinal Stromal Tumor</w:t>
      </w:r>
    </w:p>
    <w:p>
      <w:pPr>
        <w:spacing w:after="0" w:line="128" w:lineRule="exact"/>
        <w:rPr>
          <w:sz w:val="20"/>
          <w:szCs w:val="20"/>
          <w:color w:val="auto"/>
        </w:rPr>
      </w:pPr>
    </w:p>
    <w:p>
      <w:pPr>
        <w:jc w:val="both"/>
        <w:ind w:left="1360" w:right="1379" w:firstLine="1"/>
        <w:spacing w:after="0" w:line="289" w:lineRule="auto"/>
        <w:tabs>
          <w:tab w:leader="none" w:pos="1522" w:val="left"/>
        </w:tabs>
        <w:numPr>
          <w:ilvl w:val="3"/>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VOYAGER did not meet the primary endpoint of an improvement in progression-free survival for avapritinib versus regorafenib in patients with third- or fourth-line GIST --</w:t>
      </w:r>
    </w:p>
    <w:p>
      <w:pPr>
        <w:spacing w:after="0" w:line="83" w:lineRule="exact"/>
        <w:rPr>
          <w:rFonts w:ascii="Arial" w:cs="Arial" w:eastAsia="Arial" w:hAnsi="Arial"/>
          <w:sz w:val="16"/>
          <w:szCs w:val="16"/>
          <w:i w:val="1"/>
          <w:iCs w:val="1"/>
          <w:color w:val="auto"/>
        </w:rPr>
      </w:pPr>
    </w:p>
    <w:p>
      <w:pPr>
        <w:jc w:val="center"/>
        <w:ind w:left="2380" w:right="699" w:hanging="1684"/>
        <w:spacing w:after="0" w:line="235" w:lineRule="auto"/>
        <w:tabs>
          <w:tab w:leader="none" w:pos="87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Plan to continue to prioritize portfolio opportunities in systemic mastocytosis and RET-altered cancers, with multiple regulatory submissions anticipated in 2020 --</w:t>
      </w:r>
    </w:p>
    <w:p>
      <w:pPr>
        <w:spacing w:after="0" w:line="121" w:lineRule="exact"/>
        <w:rPr>
          <w:rFonts w:ascii="Arial" w:cs="Arial" w:eastAsia="Arial" w:hAnsi="Arial"/>
          <w:sz w:val="18"/>
          <w:szCs w:val="18"/>
          <w:i w:val="1"/>
          <w:iCs w:val="1"/>
          <w:color w:val="auto"/>
        </w:rPr>
      </w:pPr>
    </w:p>
    <w:p>
      <w:pPr>
        <w:ind w:left="1320" w:hanging="159"/>
        <w:spacing w:after="0"/>
        <w:tabs>
          <w:tab w:leader="none" w:pos="132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Continue to expect existing cash balance to fund operations into the second half of 2022 --</w:t>
      </w:r>
    </w:p>
    <w:p>
      <w:pPr>
        <w:spacing w:after="0" w:line="144" w:lineRule="exact"/>
        <w:rPr>
          <w:rFonts w:ascii="Arial" w:cs="Arial" w:eastAsia="Arial" w:hAnsi="Arial"/>
          <w:sz w:val="18"/>
          <w:szCs w:val="18"/>
          <w:i w:val="1"/>
          <w:iCs w:val="1"/>
          <w:color w:val="auto"/>
        </w:rPr>
      </w:pPr>
    </w:p>
    <w:p>
      <w:pPr>
        <w:ind w:left="1340" w:hanging="158"/>
        <w:spacing w:after="0"/>
        <w:tabs>
          <w:tab w:leader="none" w:pos="1340"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Blueprint Medicines to host investor conference call and webcast today at 8:00 a.m. ET --</w:t>
      </w:r>
    </w:p>
    <w:p>
      <w:pPr>
        <w:spacing w:after="0" w:line="144" w:lineRule="exact"/>
        <w:rPr>
          <w:sz w:val="20"/>
          <w:szCs w:val="20"/>
          <w:color w:val="auto"/>
        </w:rPr>
      </w:pPr>
    </w:p>
    <w:p>
      <w:pPr>
        <w:ind w:left="200" w:right="299"/>
        <w:spacing w:after="0" w:line="226" w:lineRule="auto"/>
        <w:rPr>
          <w:sz w:val="20"/>
          <w:szCs w:val="20"/>
          <w:color w:val="auto"/>
        </w:rPr>
      </w:pPr>
      <w:r>
        <w:rPr>
          <w:rFonts w:ascii="Arial" w:cs="Arial" w:eastAsia="Arial" w:hAnsi="Arial"/>
          <w:sz w:val="17"/>
          <w:szCs w:val="17"/>
          <w:color w:val="auto"/>
        </w:rPr>
        <w:t>CAMBRIDGE, Mass., April 28, 2020 – Blueprint Medicines Corporation (NASDAQ: BPMC), a precision therapy company focused on genomically defined cancers, rare diseases and cancer immunotherapy, today announced top-line results from the Phase 3 VOYAGER clinical trial of avapritinib versus regorafenib in patients with locally advanced unresectable or metastatic gastrointestinal stromal tumor (GIST). The VOYAGER trial did not meet the primary endpoint of an improvement in progression-free survival (PFS) for avapritinib versus regorafenib. Top-line safety data for avapritinib were consistent with those previously reported.</w:t>
      </w:r>
    </w:p>
    <w:p>
      <w:pPr>
        <w:spacing w:after="0" w:line="124" w:lineRule="exact"/>
        <w:rPr>
          <w:sz w:val="20"/>
          <w:szCs w:val="20"/>
          <w:color w:val="auto"/>
        </w:rPr>
      </w:pPr>
    </w:p>
    <w:p>
      <w:pPr>
        <w:ind w:left="200" w:right="239"/>
        <w:spacing w:after="0" w:line="212" w:lineRule="auto"/>
        <w:rPr>
          <w:sz w:val="20"/>
          <w:szCs w:val="20"/>
          <w:color w:val="auto"/>
        </w:rPr>
      </w:pPr>
      <w:r>
        <w:rPr>
          <w:rFonts w:ascii="Arial" w:cs="Arial" w:eastAsia="Arial" w:hAnsi="Arial"/>
          <w:sz w:val="18"/>
          <w:szCs w:val="18"/>
          <w:color w:val="auto"/>
        </w:rPr>
        <w:t>Blueprint Medicines plans to continue to commercialize AYVAKIT™ (avapritinib) in the United States for the treatment of adults with unresectable or metastatic GIST harboring a PDGFRA exon 18 mutation, including PDGFRA D842V mutations, and seek marketing approval for avapritinib for the treatment of this patient population in additional geographies. Blueprint Medicines continues to anticipate a decision from the European Commission on its marketing authorization application for the treatment of adults with PDGFRA D842V mutant GIST in the third quarter of 2020. Based on the top-line VOYAGER data, the company plans to discontinue further development of avapritinib in GIST beyond PDGFRA exon 18 mutant GIST.</w:t>
      </w:r>
    </w:p>
    <w:p>
      <w:pPr>
        <w:spacing w:after="0" w:line="124" w:lineRule="exact"/>
        <w:rPr>
          <w:sz w:val="20"/>
          <w:szCs w:val="20"/>
          <w:color w:val="auto"/>
        </w:rPr>
      </w:pPr>
    </w:p>
    <w:p>
      <w:pPr>
        <w:ind w:left="200" w:right="279"/>
        <w:spacing w:after="0" w:line="223" w:lineRule="auto"/>
        <w:rPr>
          <w:sz w:val="20"/>
          <w:szCs w:val="20"/>
          <w:color w:val="auto"/>
        </w:rPr>
      </w:pPr>
      <w:r>
        <w:rPr>
          <w:rFonts w:ascii="Arial" w:cs="Arial" w:eastAsia="Arial" w:hAnsi="Arial"/>
          <w:sz w:val="17"/>
          <w:szCs w:val="17"/>
          <w:color w:val="auto"/>
        </w:rPr>
        <w:t>“While we are disappointed by the outcome of the VOYAGER trial, we are deeply grateful to the patients, investigators and clinical site staff who contributed to the completion of this global study. We hope these data will reveal important insights to improve the scientific understanding of the disease and inform future innovations in GIST, and we are committed to sharing the results at a future medical meeting,” said Jeff Albers, Chief Executive Officer of Blueprint Medicines. “At Blueprint Medicines, we strive to advance science, building on successes and learning from setbacks, to create new medicines for patients with difficult-to-treat cancers and rare diseases. With a deep portfolio of precision therapies and a strong financial position, we will continue to advance our pipeline with clear near-term priorities in systemic mastocytosis and RET-altered cancers.”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Top-line Data from Phase 3 VOYAGER Trial</w:t>
      </w:r>
    </w:p>
    <w:p>
      <w:pPr>
        <w:spacing w:after="0" w:line="148" w:lineRule="exact"/>
        <w:rPr>
          <w:sz w:val="20"/>
          <w:szCs w:val="20"/>
          <w:color w:val="auto"/>
        </w:rPr>
      </w:pPr>
    </w:p>
    <w:p>
      <w:pPr>
        <w:ind w:left="200" w:right="279"/>
        <w:spacing w:after="0" w:line="235" w:lineRule="auto"/>
        <w:rPr>
          <w:sz w:val="20"/>
          <w:szCs w:val="20"/>
          <w:color w:val="auto"/>
        </w:rPr>
      </w:pPr>
      <w:r>
        <w:rPr>
          <w:rFonts w:ascii="Arial" w:cs="Arial" w:eastAsia="Arial" w:hAnsi="Arial"/>
          <w:sz w:val="18"/>
          <w:szCs w:val="18"/>
          <w:color w:val="auto"/>
        </w:rPr>
        <w:t>The VOYAGER trial evaluated the efficacy and safety of avapritinib (N=240) versus regorafenib (N=236) in patients with third- or fourth-line GIST.</w:t>
      </w:r>
    </w:p>
    <w:p>
      <w:pPr>
        <w:spacing w:after="0" w:line="121" w:lineRule="exact"/>
        <w:rPr>
          <w:sz w:val="20"/>
          <w:szCs w:val="20"/>
          <w:color w:val="auto"/>
        </w:rPr>
      </w:pPr>
    </w:p>
    <w:p>
      <w:pPr>
        <w:ind w:left="200" w:right="339"/>
        <w:spacing w:after="0" w:line="224" w:lineRule="auto"/>
        <w:rPr>
          <w:sz w:val="20"/>
          <w:szCs w:val="20"/>
          <w:color w:val="auto"/>
        </w:rPr>
      </w:pPr>
      <w:r>
        <w:rPr>
          <w:rFonts w:ascii="Arial" w:cs="Arial" w:eastAsia="Arial" w:hAnsi="Arial"/>
          <w:sz w:val="18"/>
          <w:szCs w:val="18"/>
          <w:color w:val="auto"/>
        </w:rPr>
        <w:t>Avapritinib showed a median PFS of 4.2 months compared to 5.6 months for regorafenib. The difference in median PFS between the avapritinib and regorafenib groups was not statistically significant. The overall response rate was 17 percent for the avapritinib group and 7 percent for the regorafenib group.</w:t>
      </w:r>
    </w:p>
    <w:p>
      <w:pPr>
        <w:spacing w:after="0" w:line="122" w:lineRule="exact"/>
        <w:rPr>
          <w:sz w:val="20"/>
          <w:szCs w:val="20"/>
          <w:color w:val="auto"/>
        </w:rPr>
      </w:pPr>
    </w:p>
    <w:p>
      <w:pPr>
        <w:ind w:left="200" w:right="579"/>
        <w:spacing w:after="0" w:line="235" w:lineRule="auto"/>
        <w:rPr>
          <w:sz w:val="20"/>
          <w:szCs w:val="20"/>
          <w:color w:val="auto"/>
        </w:rPr>
      </w:pPr>
      <w:r>
        <w:rPr>
          <w:rFonts w:ascii="Arial" w:cs="Arial" w:eastAsia="Arial" w:hAnsi="Arial"/>
          <w:sz w:val="18"/>
          <w:szCs w:val="18"/>
          <w:color w:val="auto"/>
        </w:rPr>
        <w:t>Avapritinib was generally well-tolerated with most adverse events reported as Grade 1 or 2. Top-line safety results were consistent with previously reported data, and no new safety signals were observed.</w:t>
      </w:r>
    </w:p>
    <w:p>
      <w:pPr>
        <w:spacing w:after="0" w:line="121" w:lineRule="exact"/>
        <w:rPr>
          <w:sz w:val="20"/>
          <w:szCs w:val="20"/>
          <w:color w:val="auto"/>
        </w:rPr>
      </w:pPr>
    </w:p>
    <w:p>
      <w:pPr>
        <w:ind w:left="200" w:right="319"/>
        <w:spacing w:after="0" w:line="235" w:lineRule="auto"/>
        <w:rPr>
          <w:sz w:val="20"/>
          <w:szCs w:val="20"/>
          <w:color w:val="auto"/>
        </w:rPr>
      </w:pPr>
      <w:r>
        <w:rPr>
          <w:rFonts w:ascii="Arial" w:cs="Arial" w:eastAsia="Arial" w:hAnsi="Arial"/>
          <w:sz w:val="18"/>
          <w:szCs w:val="18"/>
          <w:color w:val="auto"/>
        </w:rPr>
        <w:t>Additional analyses of the VOYAGER trial results are ongoing, and Blueprint Medicines plans to present the data at a future medical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437515</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18"/>
          <w:szCs w:val="18"/>
          <w:b w:val="1"/>
          <w:bCs w:val="1"/>
          <w:color w:val="auto"/>
        </w:rPr>
        <w:t>Financial Guidance</w:t>
      </w:r>
    </w:p>
    <w:p>
      <w:pPr>
        <w:spacing w:after="0" w:line="148" w:lineRule="exact"/>
        <w:rPr>
          <w:sz w:val="20"/>
          <w:szCs w:val="20"/>
          <w:color w:val="auto"/>
        </w:rPr>
      </w:pPr>
    </w:p>
    <w:p>
      <w:pPr>
        <w:ind w:left="200" w:right="419"/>
        <w:spacing w:after="0" w:line="241" w:lineRule="auto"/>
        <w:rPr>
          <w:sz w:val="20"/>
          <w:szCs w:val="20"/>
          <w:color w:val="auto"/>
        </w:rPr>
      </w:pPr>
      <w:r>
        <w:rPr>
          <w:rFonts w:ascii="Arial" w:cs="Arial" w:eastAsia="Arial" w:hAnsi="Arial"/>
          <w:sz w:val="16"/>
          <w:szCs w:val="16"/>
          <w:color w:val="auto"/>
        </w:rPr>
        <w:t>Based on its current operating plans, Blueprint Medicines continues to expect that its existing cash, cash equivalents and investments together with anticipated product revenues but excluding any additional potential option fees, milestone payments or other payments under its collaboration or license agreements, will be sufficient to enable it to fund its operating expenses and capital expenditure requirements into the second half of 2022. Anticipated savings from the discontinuation of further development of avapritinib in non-PDGFRA exon 18 mutant GIST indications is expected to offset any previously forecast revenues from those indications through 2022.</w:t>
      </w:r>
    </w:p>
    <w:p>
      <w:pPr>
        <w:spacing w:after="0" w:line="120" w:lineRule="exact"/>
        <w:rPr>
          <w:sz w:val="20"/>
          <w:szCs w:val="20"/>
          <w:color w:val="auto"/>
        </w:rPr>
      </w:pPr>
    </w:p>
    <w:p>
      <w:pPr>
        <w:jc w:val="both"/>
        <w:ind w:left="200" w:right="659"/>
        <w:spacing w:after="0" w:line="224" w:lineRule="auto"/>
        <w:rPr>
          <w:sz w:val="20"/>
          <w:szCs w:val="20"/>
          <w:color w:val="auto"/>
        </w:rPr>
      </w:pPr>
      <w:r>
        <w:rPr>
          <w:rFonts w:ascii="Arial" w:cs="Arial" w:eastAsia="Arial" w:hAnsi="Arial"/>
          <w:sz w:val="18"/>
          <w:szCs w:val="18"/>
          <w:color w:val="auto"/>
        </w:rPr>
        <w:t>As of December 31, 2019, Blueprint Medicines had cash, cash equivalents and investments of $548.0 million. In addition, Blueprint Medicines received $308.4 million in estimated net proceeds from its January 2020 follow-on public offering.</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Conference Call Information</w:t>
      </w:r>
    </w:p>
    <w:p>
      <w:pPr>
        <w:spacing w:after="0" w:line="148" w:lineRule="exact"/>
        <w:rPr>
          <w:sz w:val="20"/>
          <w:szCs w:val="20"/>
          <w:color w:val="auto"/>
        </w:rPr>
      </w:pPr>
    </w:p>
    <w:p>
      <w:pPr>
        <w:ind w:left="200" w:right="279"/>
        <w:spacing w:after="0" w:line="214" w:lineRule="auto"/>
        <w:rPr>
          <w:sz w:val="20"/>
          <w:szCs w:val="20"/>
          <w:color w:val="auto"/>
        </w:rPr>
      </w:pPr>
      <w:r>
        <w:rPr>
          <w:rFonts w:ascii="Arial" w:cs="Arial" w:eastAsia="Arial" w:hAnsi="Arial"/>
          <w:sz w:val="18"/>
          <w:szCs w:val="18"/>
          <w:color w:val="auto"/>
        </w:rPr>
        <w:t>Blueprint Medicines will host a live webcast today beginning at 8:00 a.m. ET to discuss the top-line data from the VOYAGER trial. To access the live call, please dial (855) 728-4793 (domestic) or (503) 343-6666 (international), and refer to conference ID 2207088. A webcast of the conference call will be available in the Investors &amp; Media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the VOYAGER Trial</w:t>
      </w:r>
    </w:p>
    <w:p>
      <w:pPr>
        <w:spacing w:after="0" w:line="148" w:lineRule="exact"/>
        <w:rPr>
          <w:sz w:val="20"/>
          <w:szCs w:val="20"/>
          <w:color w:val="auto"/>
        </w:rPr>
      </w:pPr>
    </w:p>
    <w:p>
      <w:pPr>
        <w:ind w:left="200" w:right="239"/>
        <w:spacing w:after="0" w:line="225" w:lineRule="auto"/>
        <w:rPr>
          <w:sz w:val="20"/>
          <w:szCs w:val="20"/>
          <w:color w:val="auto"/>
        </w:rPr>
      </w:pPr>
      <w:r>
        <w:rPr>
          <w:rFonts w:ascii="Arial" w:cs="Arial" w:eastAsia="Arial" w:hAnsi="Arial"/>
          <w:sz w:val="17"/>
          <w:szCs w:val="17"/>
          <w:color w:val="auto"/>
        </w:rPr>
        <w:t>VOYAGER was a global, open-label, randomized, Phase 3 trial designed to evaluate the efficacy and safety of avapritinib versus regorafenib in patients with third- or fourth-line GIST. Patients were randomized 1:1 to receive either avapritinib (300 mg once daily dosing) or regorafenib (160 mg once daily dosing for three out of every four weeks) at multiple sites in the United States, Canada, European Union, Australia and Asia. The primary efficacy endpoint was PFS by blinded, independent central radiology review, based on modified Response Evaluation Criteria in Solid Tumors version 1.1 (mRECIST 1.1 criteria) for GIST. For more information about the VOYAGER trial, please visit www.clinicaltrials.gov (ClinicalTrials.gov Identifier: NCT03465722).</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A0A0A"/>
        </w:rPr>
        <w:t>About AYVAKIT (avapritinib)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-110490</wp:posOffset>
            </wp:positionV>
            <wp:extent cx="5452110" cy="1003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1003300"/>
                    </a:xfrm>
                    <a:prstGeom prst="rect">
                      <a:avLst/>
                    </a:prstGeom>
                    <a:noFill/>
                  </pic:spPr>
                </pic:pic>
              </a:graphicData>
            </a:graphic>
          </wp:anchor>
        </w:drawing>
      </w:r>
    </w:p>
    <w:p>
      <w:pPr>
        <w:spacing w:after="0" w:line="128" w:lineRule="exact"/>
        <w:rPr>
          <w:sz w:val="20"/>
          <w:szCs w:val="20"/>
          <w:color w:val="auto"/>
        </w:rPr>
      </w:pPr>
    </w:p>
    <w:p>
      <w:pPr>
        <w:ind w:left="200" w:right="279"/>
        <w:spacing w:after="0" w:line="226" w:lineRule="auto"/>
        <w:rPr>
          <w:sz w:val="20"/>
          <w:szCs w:val="20"/>
          <w:color w:val="auto"/>
        </w:rPr>
      </w:pPr>
      <w:r>
        <w:rPr>
          <w:rFonts w:ascii="Arial" w:cs="Arial" w:eastAsia="Arial" w:hAnsi="Arial"/>
          <w:sz w:val="17"/>
          <w:szCs w:val="17"/>
          <w:color w:val="0A0A0A"/>
        </w:rPr>
        <w:t>AYVAKIT (avapritinib) is a kinase inhibitor approved by the U.S. Food and Drug Administration (FDA) for the treatment of adults with unresectable or metastatic GIST harboring a PDGFRA exon 18 mutation, including PDGFRA D842V mutations. AYVAKIT is the first precision therapy approved to treat a genomically defined population of patients with GIST and the only highly active treatment for PDGFRA exon 18 mutant GIST. The FDA granted Breakthrough Therapy Designation to avapritinib for the treatment of unresectable or metastatic GIST harboring the PDGFRA D842V mutation. For more information, visit AYVAKIT.com .</w:t>
      </w:r>
    </w:p>
    <w:p>
      <w:pPr>
        <w:spacing w:after="0" w:line="124" w:lineRule="exact"/>
        <w:rPr>
          <w:sz w:val="20"/>
          <w:szCs w:val="20"/>
          <w:color w:val="auto"/>
        </w:rPr>
      </w:pPr>
    </w:p>
    <w:p>
      <w:pPr>
        <w:ind w:left="200" w:right="239"/>
        <w:spacing w:after="0" w:line="235" w:lineRule="auto"/>
        <w:rPr>
          <w:sz w:val="20"/>
          <w:szCs w:val="20"/>
          <w:color w:val="auto"/>
        </w:rPr>
      </w:pPr>
      <w:r>
        <w:rPr>
          <w:rFonts w:ascii="Arial" w:cs="Arial" w:eastAsia="Arial" w:hAnsi="Arial"/>
          <w:sz w:val="18"/>
          <w:szCs w:val="18"/>
          <w:color w:val="auto"/>
        </w:rPr>
        <w:t>Avapritinib is not approved for the treatment of any other indication in the U.S. or any other jurisdiction by the FDA or any other health authority.</w:t>
      </w:r>
    </w:p>
    <w:p>
      <w:pPr>
        <w:spacing w:after="0" w:line="121" w:lineRule="exact"/>
        <w:rPr>
          <w:sz w:val="20"/>
          <w:szCs w:val="20"/>
          <w:color w:val="auto"/>
        </w:rPr>
      </w:pPr>
    </w:p>
    <w:p>
      <w:pPr>
        <w:ind w:left="200" w:right="379"/>
        <w:spacing w:after="0" w:line="219" w:lineRule="auto"/>
        <w:rPr>
          <w:sz w:val="20"/>
          <w:szCs w:val="20"/>
          <w:color w:val="auto"/>
        </w:rPr>
      </w:pPr>
      <w:r>
        <w:rPr>
          <w:rFonts w:ascii="Arial" w:cs="Arial" w:eastAsia="Arial" w:hAnsi="Arial"/>
          <w:sz w:val="18"/>
          <w:szCs w:val="18"/>
          <w:color w:val="0A0A0A"/>
        </w:rPr>
        <w:t>Blueprint Medicines is developing avapritinib globally for the treatment of advanced, smoldering and indolent systemic mastocytosis (SM). The FDA granted Breakthrough Therapy Designation to avapritinib for the treatment of advanced SM, including the subtypes of aggressive SM, SM with an associated hematologic neoplasm and mast cell 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-461645</wp:posOffset>
            </wp:positionV>
            <wp:extent cx="545211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582930"/>
                    </a:xfrm>
                    <a:prstGeom prst="rect">
                      <a:avLst/>
                    </a:prstGeom>
                    <a:noFill/>
                  </pic:spPr>
                </pic:pic>
              </a:graphicData>
            </a:graphic>
          </wp:anchor>
        </w:drawing>
      </w:r>
    </w:p>
    <w:p>
      <w:pPr>
        <w:spacing w:after="0" w:line="143" w:lineRule="exact"/>
        <w:rPr>
          <w:sz w:val="20"/>
          <w:szCs w:val="20"/>
          <w:color w:val="auto"/>
        </w:rPr>
      </w:pPr>
    </w:p>
    <w:p>
      <w:pPr>
        <w:ind w:left="200" w:right="799"/>
        <w:spacing w:after="0" w:line="289" w:lineRule="auto"/>
        <w:rPr>
          <w:sz w:val="20"/>
          <w:szCs w:val="20"/>
          <w:color w:val="auto"/>
        </w:rPr>
      </w:pPr>
      <w:r>
        <w:rPr>
          <w:rFonts w:ascii="Arial" w:cs="Arial" w:eastAsia="Arial" w:hAnsi="Arial"/>
          <w:sz w:val="16"/>
          <w:szCs w:val="16"/>
          <w:color w:val="auto"/>
        </w:rPr>
        <w:t>Blueprint Medicines has an exclusive collaboration and license agreement with CStone Pharmaceuticals for the development and commercialization of avapritinib and certain other drug candidates in Mainland China,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713740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 w:name="page6"/>
    <w:bookmarkEnd w:id="5"/>
    <w:p>
      <w:pPr>
        <w:ind w:left="200" w:right="399"/>
        <w:spacing w:after="0" w:line="235" w:lineRule="auto"/>
        <w:rPr>
          <w:sz w:val="20"/>
          <w:szCs w:val="20"/>
          <w:color w:val="auto"/>
        </w:rPr>
      </w:pPr>
      <w:r>
        <w:rPr>
          <w:rFonts w:ascii="Arial" w:cs="Arial" w:eastAsia="Arial" w:hAnsi="Arial"/>
          <w:sz w:val="18"/>
          <w:szCs w:val="18"/>
          <w:color w:val="auto"/>
        </w:rPr>
        <w:t>Kong, Macau and Taiwan. Blueprint Medicines retains development and commercial rights for avapritinib in the rest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wp:posOffset>
            </wp:positionV>
            <wp:extent cx="545211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37160"/>
                    </a:xfrm>
                    <a:prstGeom prst="rect">
                      <a:avLst/>
                    </a:prstGeom>
                    <a:noFill/>
                  </pic:spPr>
                </pic:pic>
              </a:graphicData>
            </a:graphic>
          </wp:anchor>
        </w:drawing>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148" w:lineRule="exact"/>
        <w:rPr>
          <w:sz w:val="20"/>
          <w:szCs w:val="20"/>
          <w:color w:val="auto"/>
        </w:rPr>
      </w:pPr>
    </w:p>
    <w:p>
      <w:pPr>
        <w:ind w:left="200" w:right="299"/>
        <w:spacing w:after="0" w:line="225" w:lineRule="auto"/>
        <w:rPr>
          <w:sz w:val="20"/>
          <w:szCs w:val="20"/>
          <w:color w:val="auto"/>
        </w:rPr>
      </w:pPr>
      <w:r>
        <w:rPr>
          <w:rFonts w:ascii="Arial" w:cs="Arial" w:eastAsia="Arial" w:hAnsi="Arial"/>
          <w:sz w:val="17"/>
          <w:szCs w:val="17"/>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 medicines in clinical development, along with a number of research programs. For more information, visit </w:t>
      </w:r>
      <w:r>
        <w:rPr>
          <w:rFonts w:ascii="Arial" w:cs="Arial" w:eastAsia="Arial" w:hAnsi="Arial"/>
          <w:sz w:val="17"/>
          <w:szCs w:val="17"/>
          <w:color w:val="auto"/>
          <w:highlight w:val="white"/>
        </w:rPr>
        <w:t>www.BlueprintMedicines.com</w:t>
      </w:r>
      <w:r>
        <w:rPr>
          <w:rFonts w:ascii="Arial" w:cs="Arial" w:eastAsia="Arial" w:hAnsi="Arial"/>
          <w:sz w:val="17"/>
          <w:szCs w:val="17"/>
          <w:color w:val="auto"/>
        </w:rPr>
        <w:t xml:space="preserve"> </w:t>
      </w:r>
      <w:r>
        <w:rPr>
          <w:rFonts w:ascii="Arial" w:cs="Arial" w:eastAsia="Arial" w:hAnsi="Arial"/>
          <w:sz w:val="17"/>
          <w:szCs w:val="17"/>
          <w:color w:val="0A0A0A"/>
          <w:highlight w:val="white"/>
        </w:rPr>
        <w:t xml:space="preserve">and follow us on </w:t>
      </w:r>
      <w:r>
        <w:rPr>
          <w:rFonts w:ascii="Arial" w:cs="Arial" w:eastAsia="Arial" w:hAnsi="Arial"/>
          <w:sz w:val="17"/>
          <w:szCs w:val="17"/>
          <w:color w:val="000000"/>
          <w:highlight w:val="white"/>
        </w:rPr>
        <w:t>Twitter</w:t>
      </w:r>
      <w:r>
        <w:rPr>
          <w:rFonts w:ascii="Arial" w:cs="Arial" w:eastAsia="Arial" w:hAnsi="Arial"/>
          <w:sz w:val="17"/>
          <w:szCs w:val="17"/>
          <w:color w:val="0A0A0A"/>
          <w:highlight w:val="white"/>
        </w:rPr>
        <w:t xml:space="preserve"> (@BlueprintMeds) and </w:t>
      </w:r>
      <w:r>
        <w:rPr>
          <w:rFonts w:ascii="Arial" w:cs="Arial" w:eastAsia="Arial" w:hAnsi="Arial"/>
          <w:sz w:val="17"/>
          <w:szCs w:val="17"/>
          <w:color w:val="000000"/>
          <w:highlight w:val="white"/>
        </w:rPr>
        <w:t>LinkedIn</w:t>
      </w:r>
      <w:r>
        <w:rPr>
          <w:rFonts w:ascii="Arial" w:cs="Arial" w:eastAsia="Arial" w:hAnsi="Arial"/>
          <w:sz w:val="17"/>
          <w:szCs w:val="17"/>
          <w:color w:val="0A0A0A"/>
          <w:highlight w:val="white"/>
        </w:rPr>
        <w:t xml:space="preserve"> .</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200" w:right="219"/>
        <w:spacing w:after="0" w:line="23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to continue to commercialize AYVAKIT in the United States for the treatment of adults with unresectable or metastatic GIST harboring a PDGFRA exon 18 mutation, including PDGFRA D842V mutations, and plans to seek marketing approval for avapritinib for the treatment of this patient population in additional geographies; expectations and timing for a decision from the European Commission on the marketing authorization application for the treatment of adults with PDGFRA D842V mutant GIST; plans and timing for presenting VOYAGER trial results; plans to discontinue further development of avapritinib for GIST indications other than PDGFRA exon 18 mutant GIST; expectations regarding anticipated savings from the discontinuation of further development of avapritinib in non-PDGFRA exon 18 mutant GIST indications; expectations regarding Blueprint Medicines’ existing cash, cash equivalents and investments; the potential benefits of Blueprint Medicines’ current and future drug candidates in treating patients;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 in establishing a commercial infrastructure, and successfully launching, marketing and selling its approved product; Blueprint Medicines’ ability to successfully expand the approved indications for AYVAKIT, including Blueprint Medicines’ ability to obtain FDA approval for its pending new drug application for avapritinib for the treatment of fourth-line GIST, or obtain marketing approval for AYVAKIT in additional geographies in the future; the delay of any current or planned clinical trials or the development of Blueprint Medicines’ drug candidates or licensed product candidate; Blueprint Medicines’ advancement of multiple early-stage efforts; Blueprint Medicines’ ability to successfully demonstrate the efficacy and safety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746125</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6" w:name="page7"/>
    <w:bookmarkEnd w:id="6"/>
    <w:p>
      <w:pPr>
        <w:ind w:left="200" w:right="359"/>
        <w:spacing w:after="0" w:line="216" w:lineRule="auto"/>
        <w:rPr>
          <w:sz w:val="20"/>
          <w:szCs w:val="20"/>
          <w:color w:val="auto"/>
        </w:rPr>
      </w:pPr>
      <w:r>
        <w:rPr>
          <w:rFonts w:ascii="Arial" w:cs="Arial" w:eastAsia="Arial" w:hAnsi="Arial"/>
          <w:sz w:val="18"/>
          <w:szCs w:val="18"/>
          <w:color w:val="auto"/>
        </w:rPr>
        <w:t>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Relations Contact</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ind w:left="200"/>
        <w:spacing w:after="0" w:line="203" w:lineRule="auto"/>
        <w:rPr>
          <w:sz w:val="20"/>
          <w:szCs w:val="20"/>
          <w:color w:val="auto"/>
        </w:rPr>
      </w:pPr>
      <w:r>
        <w:rPr>
          <w:rFonts w:ascii="Arial" w:cs="Arial" w:eastAsia="Arial" w:hAnsi="Arial"/>
          <w:sz w:val="18"/>
          <w:szCs w:val="18"/>
          <w:color w:val="auto"/>
        </w:rPr>
        <w:t>617-714-6674</w:t>
      </w:r>
    </w:p>
    <w:p>
      <w:pPr>
        <w:ind w:left="200"/>
        <w:spacing w:after="0"/>
        <w:rPr>
          <w:sz w:val="20"/>
          <w:szCs w:val="20"/>
          <w:color w:val="auto"/>
        </w:rPr>
      </w:pPr>
      <w:r>
        <w:rPr>
          <w:rFonts w:ascii="Arial" w:cs="Arial" w:eastAsia="Arial" w:hAnsi="Arial"/>
          <w:sz w:val="18"/>
          <w:szCs w:val="18"/>
          <w:color w:val="auto"/>
        </w:rPr>
        <w:t>ir@blueprintmedicines.com</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Media Relations Contact</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Andrew Law</w:t>
      </w:r>
    </w:p>
    <w:p>
      <w:pPr>
        <w:ind w:left="200"/>
        <w:spacing w:after="0" w:line="203" w:lineRule="auto"/>
        <w:rPr>
          <w:sz w:val="20"/>
          <w:szCs w:val="20"/>
          <w:color w:val="auto"/>
        </w:rPr>
      </w:pPr>
      <w:r>
        <w:rPr>
          <w:rFonts w:ascii="Arial" w:cs="Arial" w:eastAsia="Arial" w:hAnsi="Arial"/>
          <w:sz w:val="18"/>
          <w:szCs w:val="18"/>
          <w:color w:val="auto"/>
        </w:rPr>
        <w:t>617-844-8205</w:t>
      </w:r>
    </w:p>
    <w:p>
      <w:pPr>
        <w:ind w:left="200"/>
        <w:spacing w:after="0"/>
        <w:rPr>
          <w:sz w:val="20"/>
          <w:szCs w:val="20"/>
          <w:color w:val="auto"/>
        </w:rPr>
      </w:pPr>
      <w:r>
        <w:rPr>
          <w:rFonts w:ascii="Arial" w:cs="Arial" w:eastAsia="Arial" w:hAnsi="Arial"/>
          <w:sz w:val="18"/>
          <w:szCs w:val="18"/>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1196340</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2020-04-28T06:13:09Z</dcterms:created>
  <dcterms:modified xsi:type="dcterms:W3CDTF">2020-04-28T06:13:09Z</dcterms:modified>
</cp:coreProperties>
</file>