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229870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223520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10080"/>
          </w:cols>
          <w:pgMar w:left="920" w:top="206" w:right="8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40" w:space="720"/>
            <w:col w:w="3000" w:space="720"/>
            <w:col w:w="2300"/>
          </w:cols>
          <w:pgMar w:left="920" w:top="206" w:right="899" w:bottom="1440" w:gutter="0" w:footer="0" w:header="0"/>
          <w:type w:val="continuous"/>
        </w:sectPr>
      </w:pPr>
    </w:p>
    <w:p>
      <w:pPr>
        <w:spacing w:after="0" w:line="331"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7"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880"/>
          </w:cols>
          <w:pgMar w:left="920" w:top="206" w:right="899" w:bottom="144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83185</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10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ind w:right="40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760"/>
        <w:spacing w:after="0" w:line="207" w:lineRule="exact"/>
        <w:tabs>
          <w:tab w:leader="none" w:pos="89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4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40" w:type="dxa"/>
            <w:vAlign w:val="bottom"/>
            <w:tcBorders>
              <w:top w:val="single" w:sz="8" w:color="auto"/>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3"/>
              </w:rPr>
              <w:t>Trading symbol(s)</w:t>
            </w:r>
          </w:p>
        </w:tc>
        <w:tc>
          <w:tcPr>
            <w:tcW w:w="4080" w:type="dxa"/>
            <w:vAlign w:val="bottom"/>
            <w:tcBorders>
              <w:top w:val="single" w:sz="8" w:color="auto"/>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4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6"/>
              </w:rPr>
              <w:t>BPMC</w:t>
            </w:r>
          </w:p>
        </w:tc>
        <w:tc>
          <w:tcPr>
            <w:tcW w:w="40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1"/>
              </w:rPr>
              <w:t>Nasdaq Global Select Market</w:t>
            </w:r>
          </w:p>
        </w:tc>
      </w:tr>
      <w:tr>
        <w:trPr>
          <w:trHeight w:val="757"/>
        </w:trPr>
        <w:tc>
          <w:tcPr>
            <w:tcW w:w="39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20" w:top="206" w:right="899" w:bottom="1440" w:gutter="0" w:footer="0" w:header="0"/>
          <w:type w:val="continuous"/>
        </w:sectPr>
      </w:pPr>
    </w:p>
    <w:bookmarkStart w:id="1" w:name="page2"/>
    <w:bookmarkEnd w:id="1"/>
    <w:p>
      <w:pPr>
        <w:ind w:left="160"/>
        <w:spacing w:after="0"/>
        <w:tabs>
          <w:tab w:leader="none" w:pos="10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left="160" w:right="179" w:firstLine="648"/>
        <w:spacing w:after="0" w:line="312" w:lineRule="auto"/>
        <w:rPr>
          <w:sz w:val="20"/>
          <w:szCs w:val="20"/>
          <w:color w:val="auto"/>
        </w:rPr>
      </w:pPr>
      <w:r>
        <w:rPr>
          <w:rFonts w:ascii="Arial" w:cs="Arial" w:eastAsia="Arial" w:hAnsi="Arial"/>
          <w:sz w:val="16"/>
          <w:szCs w:val="16"/>
          <w:color w:val="auto"/>
        </w:rPr>
        <w:t>On August 1, 2019, Blueprint Medicines Corporation announced its financial results for the quarter ended June 30, 2019 and other business highlights. The full text of the press release issued in connection with the announcement is furnished as Exhibit 99.1 to this Current Report on Form 8-K and is incorporated by reference herein.</w:t>
      </w:r>
    </w:p>
    <w:p>
      <w:pPr>
        <w:spacing w:after="0" w:line="147" w:lineRule="exact"/>
        <w:rPr>
          <w:sz w:val="20"/>
          <w:szCs w:val="20"/>
          <w:color w:val="auto"/>
        </w:rPr>
      </w:pPr>
    </w:p>
    <w:p>
      <w:pPr>
        <w:ind w:left="160" w:right="219" w:firstLine="648"/>
        <w:spacing w:after="0" w:line="257" w:lineRule="auto"/>
        <w:rPr>
          <w:sz w:val="20"/>
          <w:szCs w:val="20"/>
          <w:color w:val="auto"/>
        </w:rPr>
      </w:pPr>
      <w:r>
        <w:rPr>
          <w:rFonts w:ascii="Arial" w:cs="Arial" w:eastAsia="Arial" w:hAnsi="Arial"/>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4"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60" w:right="919" w:firstLine="648"/>
        <w:spacing w:after="0" w:line="277" w:lineRule="auto"/>
        <w:rPr>
          <w:sz w:val="20"/>
          <w:szCs w:val="20"/>
          <w:color w:val="auto"/>
        </w:rPr>
      </w:pPr>
      <w:r>
        <w:rPr>
          <w:rFonts w:ascii="Arial" w:cs="Arial" w:eastAsia="Arial" w:hAnsi="Arial"/>
          <w:sz w:val="18"/>
          <w:szCs w:val="18"/>
          <w:color w:val="auto"/>
        </w:rPr>
        <w:t>The following exhibit relating to Item 2.02 of this Current Report on Form 8-K shall be deemed to be furnished and not filed:</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24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8"/>
                <w:szCs w:val="18"/>
                <w:color w:val="auto"/>
              </w:rPr>
              <w:t>99.1</w:t>
            </w: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4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issued by Blueprint Medicines Corporation on August 1, 2019</w:t>
              </w:r>
            </w:hyperlink>
          </w:p>
        </w:tc>
        <w:tc>
          <w:tcPr>
            <w:tcW w:w="1620" w:type="dxa"/>
            <w:vAlign w:val="bottom"/>
            <w:tcBorders>
              <w:top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358140</wp:posOffset>
            </wp:positionV>
            <wp:extent cx="554863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60" w:right="2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5400" w:type="dxa"/>
            <w:vAlign w:val="bottom"/>
            <w:gridSpan w:val="2"/>
          </w:tcPr>
          <w:p>
            <w:pPr>
              <w:ind w:left="1440"/>
              <w:spacing w:after="0"/>
              <w:rPr>
                <w:sz w:val="20"/>
                <w:szCs w:val="20"/>
                <w:color w:val="auto"/>
              </w:rPr>
            </w:pPr>
            <w:r>
              <w:rPr>
                <w:rFonts w:ascii="Arial" w:cs="Arial" w:eastAsia="Arial" w:hAnsi="Arial"/>
                <w:sz w:val="18"/>
                <w:szCs w:val="18"/>
                <w:b w:val="1"/>
                <w:bCs w:val="1"/>
                <w:color w:val="auto"/>
              </w:rPr>
              <w:t>BLUEPRINT MEDICINES CORPORATION</w:t>
            </w:r>
          </w:p>
        </w:tc>
        <w:tc>
          <w:tcPr>
            <w:tcW w:w="400" w:type="dxa"/>
            <w:vAlign w:val="bottom"/>
          </w:tcPr>
          <w:p>
            <w:pPr>
              <w:spacing w:after="0"/>
              <w:rPr>
                <w:sz w:val="20"/>
                <w:szCs w:val="20"/>
                <w:color w:val="auto"/>
              </w:rPr>
            </w:pPr>
          </w:p>
        </w:tc>
      </w:tr>
      <w:tr>
        <w:trPr>
          <w:trHeight w:val="634"/>
        </w:trPr>
        <w:tc>
          <w:tcPr>
            <w:tcW w:w="2940" w:type="dxa"/>
            <w:vAlign w:val="bottom"/>
          </w:tcPr>
          <w:p>
            <w:pPr>
              <w:ind w:left="20"/>
              <w:spacing w:after="0"/>
              <w:rPr>
                <w:sz w:val="20"/>
                <w:szCs w:val="20"/>
                <w:color w:val="auto"/>
              </w:rPr>
            </w:pPr>
            <w:r>
              <w:rPr>
                <w:rFonts w:ascii="Arial" w:cs="Arial" w:eastAsia="Arial" w:hAnsi="Arial"/>
                <w:sz w:val="18"/>
                <w:szCs w:val="18"/>
                <w:color w:val="auto"/>
              </w:rPr>
              <w:t>Date: August 1, 2019</w:t>
            </w:r>
          </w:p>
        </w:tc>
        <w:tc>
          <w:tcPr>
            <w:tcW w:w="5400" w:type="dxa"/>
            <w:vAlign w:val="bottom"/>
            <w:gridSpan w:val="2"/>
          </w:tcPr>
          <w:p>
            <w:pPr>
              <w:ind w:left="1440"/>
              <w:spacing w:after="0"/>
              <w:rPr>
                <w:sz w:val="20"/>
                <w:szCs w:val="20"/>
                <w:color w:val="auto"/>
              </w:rPr>
            </w:pPr>
            <w:r>
              <w:rPr>
                <w:rFonts w:ascii="Arial" w:cs="Arial" w:eastAsia="Arial" w:hAnsi="Arial"/>
                <w:sz w:val="18"/>
                <w:szCs w:val="18"/>
                <w:color w:val="auto"/>
              </w:rPr>
              <w:t>By: /s/ Jeffrey W.</w:t>
            </w:r>
          </w:p>
        </w:tc>
        <w:tc>
          <w:tcPr>
            <w:tcW w:w="400" w:type="dxa"/>
            <w:vAlign w:val="bottom"/>
          </w:tcPr>
          <w:p>
            <w:pPr>
              <w:spacing w:after="0"/>
              <w:rPr>
                <w:sz w:val="24"/>
                <w:szCs w:val="24"/>
                <w:color w:val="auto"/>
              </w:rPr>
            </w:pPr>
          </w:p>
        </w:tc>
      </w:tr>
      <w:tr>
        <w:trPr>
          <w:trHeight w:val="230"/>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00" w:type="dxa"/>
            <w:vAlign w:val="bottom"/>
          </w:tcPr>
          <w:p>
            <w:pPr>
              <w:spacing w:after="0"/>
              <w:rPr>
                <w:sz w:val="20"/>
                <w:szCs w:val="20"/>
                <w:color w:val="auto"/>
              </w:rPr>
            </w:pPr>
          </w:p>
        </w:tc>
      </w:tr>
      <w:tr>
        <w:trPr>
          <w:trHeight w:val="195"/>
        </w:trPr>
        <w:tc>
          <w:tcPr>
            <w:tcW w:w="29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00" w:type="dxa"/>
            <w:vAlign w:val="bottom"/>
          </w:tcPr>
          <w:p>
            <w:pPr>
              <w:spacing w:after="0"/>
              <w:rPr>
                <w:sz w:val="16"/>
                <w:szCs w:val="16"/>
                <w:color w:val="auto"/>
              </w:rPr>
            </w:pPr>
          </w:p>
        </w:tc>
      </w:tr>
      <w:tr>
        <w:trPr>
          <w:trHeight w:val="230"/>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20"/>
                <w:szCs w:val="20"/>
                <w:color w:val="auto"/>
              </w:rPr>
            </w:pPr>
          </w:p>
        </w:tc>
      </w:tr>
      <w:tr>
        <w:trPr>
          <w:trHeight w:val="864"/>
        </w:trPr>
        <w:tc>
          <w:tcPr>
            <w:tcW w:w="2940" w:type="dxa"/>
            <w:vAlign w:val="bottom"/>
          </w:tcPr>
          <w:p>
            <w:pPr>
              <w:spacing w:after="0"/>
              <w:rPr>
                <w:sz w:val="24"/>
                <w:szCs w:val="24"/>
                <w:color w:val="auto"/>
              </w:rPr>
            </w:pPr>
          </w:p>
        </w:tc>
        <w:tc>
          <w:tcPr>
            <w:tcW w:w="178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61"/>
        </w:trPr>
        <w:tc>
          <w:tcPr>
            <w:tcW w:w="29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45"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1672590"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Reports Second Quarter 2019 Financial Results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NDA and MAA submitted for avapritinib for defined GIST patient populations --</w:t>
      </w:r>
    </w:p>
    <w:p>
      <w:pPr>
        <w:ind w:left="80" w:right="100" w:firstLine="39"/>
        <w:spacing w:after="0" w:line="268"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Updated data presented for avapritinib and pralsetinib (formerly BLU-667) to support planned NDA submissions in 2020 --</w:t>
      </w:r>
      <w:r>
        <w:rPr>
          <w:rFonts w:ascii="Arial" w:cs="Arial" w:eastAsia="Arial" w:hAnsi="Arial"/>
          <w:sz w:val="16"/>
          <w:szCs w:val="16"/>
          <w:color w:val="auto"/>
        </w:rPr>
        <w:t xml:space="preserve"> </w:t>
      </w:r>
      <w:r>
        <w:rPr>
          <w:rFonts w:ascii="Arial" w:cs="Arial" w:eastAsia="Arial" w:hAnsi="Arial"/>
          <w:sz w:val="16"/>
          <w:szCs w:val="16"/>
          <w:i w:val="1"/>
          <w:iCs w:val="1"/>
          <w:color w:val="auto"/>
        </w:rPr>
        <w:t>-- Company plans to highlight research vision, platform capabilities and portfolio strategy at R&amp;D Day on November 5, 2019 --</w:t>
      </w:r>
    </w:p>
    <w:p>
      <w:pPr>
        <w:spacing w:after="0" w:line="100"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CAMBRIDGE, Mass., Aug. 1, 2019 – Blueprint Medicines Corporation (NASDAQ: BPMC), a precision therapy company focused on genomically defined cancers, rare diseases and cancer immunotherapy, today reported financial results and provided a business update for the quarter ended June 30, 2019.</w:t>
      </w:r>
    </w:p>
    <w:p>
      <w:pPr>
        <w:spacing w:after="0" w:line="123"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“The first half of 2019 was a defining period for Blueprint Medicines marked by the submission of our first marketing applications for avapritinib in the United States and Europe, just four years after we initiated clinical development,” said Jeff Albers, Chief Executive Officer of Blueprint Medicines. “As we prepare for the potential launch of avapritinib, we continue to advance our broader portfolio toward critical program milestones, including multiple planned marketing applications for avapritinib and pralsetinib in 2020. In addition, we plan to present initial clinical data from our ongoing Phase 2 PIONEER trial of avapritinib in patients with indolent systemic mastocytosis in the fourth quarter of 2019 and share an update on our research vision and portfolio strategy at our first R&amp;D Day in November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2019 Highlights and Recent Progress: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Avapritinib: Gastrointestinal stromal tumors (GIST)</w:t>
      </w:r>
    </w:p>
    <w:p>
      <w:pPr>
        <w:jc w:val="both"/>
        <w:ind w:left="640" w:right="540" w:hanging="321"/>
        <w:spacing w:after="0" w:line="229" w:lineRule="auto"/>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Submitted a new drug application (NDA) to the U.S. Food and Drug Administration (FDA) for avapritinib for the treatment of adult patients with PDGFRA exon 18 mutant GIST, regardless of prior therapy, and fourth-line GIST.</w:t>
      </w:r>
    </w:p>
    <w:p>
      <w:pPr>
        <w:ind w:left="640" w:right="20" w:hanging="321"/>
        <w:spacing w:after="0" w:line="203"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Submitted a marketing authorization application (MAA) to the European Medicines Agency (EMA) for avapritinib for the treatment of adult patients with PDGFRα D842V mutant GIST, regardless of prior therapy, and fourth-line GIST and received EMA validation of the submission. Validation of the MAA confirms that the application is sufficiently complete to begin the formal review process.</w:t>
      </w:r>
    </w:p>
    <w:p>
      <w:pPr>
        <w:spacing w:after="0" w:line="1" w:lineRule="exact"/>
        <w:rPr>
          <w:rFonts w:ascii="Arial" w:cs="Arial" w:eastAsia="Arial" w:hAnsi="Arial"/>
          <w:sz w:val="18"/>
          <w:szCs w:val="18"/>
          <w:color w:val="auto"/>
        </w:rPr>
      </w:pPr>
    </w:p>
    <w:p>
      <w:pPr>
        <w:ind w:left="640" w:right="100" w:hanging="321"/>
        <w:spacing w:after="0" w:line="203"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Presented updated clinical data from the ongoing registration-enabling NAVIGATOR trial of avapritinib in patients with PDGFRA Exon 18 mutant GIST and fourth-line GIST at the American Society of Clinical Oncology (ASCO) 2019 Annual Meeting. Read the full data here.</w:t>
      </w:r>
    </w:p>
    <w:p>
      <w:pPr>
        <w:spacing w:after="0" w:line="1" w:lineRule="exact"/>
        <w:rPr>
          <w:rFonts w:ascii="Arial" w:cs="Arial" w:eastAsia="Arial" w:hAnsi="Arial"/>
          <w:sz w:val="18"/>
          <w:szCs w:val="18"/>
          <w:color w:val="auto"/>
        </w:rPr>
      </w:pPr>
    </w:p>
    <w:p>
      <w:pPr>
        <w:ind w:left="640" w:right="220" w:hanging="321"/>
        <w:spacing w:after="0" w:line="226"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Dosed the first patient in China in the ongoing Phase 3 VOYAGER trial of avapritinib in patients with third-line GIST, under Blueprint Medicines’ collaboration with CStone Pharmaceuticals.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Avapritinib: Systemic mastocytosis (SM)</w:t>
      </w:r>
    </w:p>
    <w:p>
      <w:pPr>
        <w:ind w:left="640" w:right="340" w:hanging="321"/>
        <w:spacing w:after="0" w:line="268"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Presented updated clinical data from the ongoing EXPLORER trial of avapritinib in patients with advanced systemic mastocytosis (SM) at the 24</w:t>
      </w:r>
      <w:r>
        <w:rPr>
          <w:rFonts w:ascii="Arial" w:cs="Arial" w:eastAsia="Arial" w:hAnsi="Arial"/>
          <w:sz w:val="7"/>
          <w:szCs w:val="7"/>
          <w:color w:val="auto"/>
        </w:rPr>
        <w:t>th</w:t>
      </w:r>
      <w:r>
        <w:rPr>
          <w:rFonts w:ascii="Arial" w:cs="Arial" w:eastAsia="Arial" w:hAnsi="Arial"/>
          <w:sz w:val="16"/>
          <w:szCs w:val="16"/>
          <w:color w:val="auto"/>
        </w:rPr>
        <w:t xml:space="preserve"> Congress of the European Hematology Association (EHA). Read the full data here.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Pralsetinib (formerly BLU-667): RET-altered solid tumors</w:t>
      </w:r>
    </w:p>
    <w:p>
      <w:pPr>
        <w:ind w:left="640" w:right="100" w:hanging="321"/>
        <w:spacing w:after="0" w:line="229"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Presented updated clinical data from the ongoing registration-enabling Phase 1/2 ARROW trial of pralsetinib in patients with RET-altered non-small cell lung cancer (NSCLC), medullary thyroid cancer (MTC) and other cancers at</w:t>
      </w:r>
    </w:p>
    <w:p>
      <w:pPr>
        <w:ind w:left="640"/>
        <w:spacing w:after="0" w:line="203" w:lineRule="auto"/>
        <w:rPr>
          <w:rFonts w:ascii="Arial" w:cs="Arial" w:eastAsia="Arial" w:hAnsi="Arial"/>
          <w:sz w:val="16"/>
          <w:szCs w:val="16"/>
          <w:color w:val="auto"/>
        </w:rPr>
      </w:pPr>
      <w:r>
        <w:rPr>
          <w:rFonts w:ascii="Arial" w:cs="Arial" w:eastAsia="Arial" w:hAnsi="Arial"/>
          <w:sz w:val="18"/>
          <w:szCs w:val="18"/>
          <w:color w:val="auto"/>
        </w:rPr>
        <w:t>ASCO. Read the full data here.</w:t>
      </w:r>
    </w:p>
    <w:p>
      <w:pPr>
        <w:ind w:left="640" w:right="40" w:hanging="321"/>
        <w:spacing w:after="0" w:line="231"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encouraging clinical data for pralsetinib in patients with treatment-naïve RET fusion-positive NSCLC and preliminary FDA feedback, expanded the enrollment target for the ARROW trial cohort for treatment naïve patients with RET-fusion NSCLC to enable potential expedited development in first-line NSCLC.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Fisogatinib (formerly BLU-554): Advanced hepatocellular carcinoma (HCC)</w:t>
      </w:r>
    </w:p>
    <w:p>
      <w:pPr>
        <w:ind w:left="640" w:right="640" w:hanging="321"/>
        <w:spacing w:after="0" w:line="218"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Blueprint Medicines’ collaboration with CStone Pharmaceuticals, the China National Medical Products Administration granted approval to conduct a Phase 1b/2 clinical trial evaluating fisogatinib in combination with CS1001, CStone Pharmaceuticals’ anti-PD-L1 inhibitor, in patients with HCC.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596011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08" w:right="1239" w:bottom="1440" w:gutter="0" w:footer="0" w:header="0"/>
        </w:sectPr>
      </w:pPr>
    </w:p>
    <w:bookmarkStart w:id="4" w:name="page5"/>
    <w:bookmarkEnd w:id="4"/>
    <w:p>
      <w:pPr>
        <w:ind w:left="640" w:right="40" w:hanging="321"/>
        <w:spacing w:after="0" w:line="23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Dosed the first patient in China in the ongoing Phase 1 trial of fisogatinib in advanced HCC, under Blueprint Medicines’ collaboration with CStone Pharmaceuticals.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Upcoming Milestones: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achieve the following milestones by the end of 2019:</w:t>
      </w:r>
    </w:p>
    <w:p>
      <w:pPr>
        <w:spacing w:after="0" w:line="129"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enrollment in the Phase 3 VOYAGER trial of avapritinib in third-line GIST.</w:t>
      </w:r>
    </w:p>
    <w:p>
      <w:pPr>
        <w:ind w:left="640" w:hanging="321"/>
        <w:spacing w:after="0" w:line="203"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Initiate the Phase 3 COMPASS-2L precision medicine trial evaluating avapritinib in second-line GIST.</w:t>
      </w:r>
    </w:p>
    <w:p>
      <w:pPr>
        <w:ind w:left="640" w:hanging="321"/>
        <w:spacing w:after="0" w:line="203"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Present initial data from the Phase 2 PIONEER trial of avapritinib in indolent and smoldering SM.</w:t>
      </w:r>
    </w:p>
    <w:p>
      <w:pPr>
        <w:ind w:left="640" w:hanging="321"/>
        <w:spacing w:after="0" w:line="203"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enrollment of the Phase 2 PATHFINDER trial of avapritinib in advanced SM.</w:t>
      </w:r>
    </w:p>
    <w:p>
      <w:pPr>
        <w:ind w:left="640" w:hanging="321"/>
        <w:spacing w:after="0" w:line="203"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Initiate a Phase 3 trial evaluating pralsetinib in first-line RET-fusion NSCLC.</w:t>
      </w:r>
    </w:p>
    <w:p>
      <w:pPr>
        <w:ind w:left="640" w:right="380" w:hanging="321"/>
        <w:spacing w:after="0" w:line="203"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Initiate a Phase 2 trial evaluating pralsetinib in combination with osimertinib in EGFR-mutant NSCLC harboring an acquired RET alteration.</w:t>
      </w:r>
    </w:p>
    <w:p>
      <w:pPr>
        <w:ind w:left="640" w:right="260" w:hanging="321"/>
        <w:spacing w:after="0" w:line="203"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Initiate a Phase 1b/2 trial in China evaluating fisogatinib in combination with CS1001, CStone Pharmaceuticals’ anti-PD-L1 inhibitor, in patients with HCC.</w:t>
      </w:r>
    </w:p>
    <w:p>
      <w:pPr>
        <w:ind w:left="640" w:hanging="321"/>
        <w:spacing w:after="0" w:line="203"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Initiate a Phase 2 trial of BLU-782 in fibrodysplasia ossificans progressiva.</w:t>
      </w:r>
    </w:p>
    <w:p>
      <w:pPr>
        <w:ind w:left="640" w:right="160" w:hanging="321"/>
        <w:spacing w:after="0" w:line="203"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 research vision and provide portfolio strategy update at an R&amp;D Day on November 5, 2019, including disclosure of up to two new targets.</w:t>
      </w: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Nominate at least one new wholly-owned discovery program.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2019 Financial Results:</w:t>
      </w:r>
    </w:p>
    <w:p>
      <w:pPr>
        <w:spacing w:after="0" w:line="144" w:lineRule="exact"/>
        <w:rPr>
          <w:sz w:val="20"/>
          <w:szCs w:val="20"/>
          <w:color w:val="auto"/>
        </w:rPr>
      </w:pPr>
    </w:p>
    <w:p>
      <w:pPr>
        <w:ind w:left="640" w:right="20" w:hanging="321"/>
        <w:spacing w:after="0" w:line="209"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Cash Position</w:t>
      </w:r>
      <w:r>
        <w:rPr>
          <w:rFonts w:ascii="Arial" w:cs="Arial" w:eastAsia="Arial" w:hAnsi="Arial"/>
          <w:sz w:val="18"/>
          <w:szCs w:val="18"/>
          <w:color w:val="auto"/>
        </w:rPr>
        <w:t>: As of June 30, 2019, cash, cash equivalents and investments were $667.3 million, as compared to $494.0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as of December 31, 2018. This increase reflects net proceeds of approximately $327.4 million from the company’s follow-on underwritten public offering of common stock, which closed in April 2019, partially offset by cash used in operations.</w:t>
      </w:r>
    </w:p>
    <w:p>
      <w:pPr>
        <w:spacing w:after="0" w:line="1" w:lineRule="exact"/>
        <w:rPr>
          <w:rFonts w:ascii="Arial" w:cs="Arial" w:eastAsia="Arial" w:hAnsi="Arial"/>
          <w:sz w:val="18"/>
          <w:szCs w:val="18"/>
          <w:color w:val="auto"/>
        </w:rPr>
      </w:pPr>
    </w:p>
    <w:p>
      <w:pPr>
        <w:ind w:left="640" w:right="80" w:hanging="321"/>
        <w:spacing w:after="0" w:line="203"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Collaboration Revenues</w:t>
      </w:r>
      <w:r>
        <w:rPr>
          <w:rFonts w:ascii="Arial" w:cs="Arial" w:eastAsia="Arial" w:hAnsi="Arial"/>
          <w:sz w:val="18"/>
          <w:szCs w:val="18"/>
          <w:color w:val="auto"/>
        </w:rPr>
        <w:t>: Collaboration revenues were $5.1 million for the second quarter of 2019,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$41.4 million for the second quarter of 2018. This decrease was primarily due to $40.0 million in revenue recognized under the CStone collaboration in the second quarter of 2018 upon execution of the collaboration agreement. During the second quarter of 2019, the company achieved and recognized a $4.0 million development and regulatory milestone payment under the CStone collaboration.</w:t>
      </w:r>
    </w:p>
    <w:p>
      <w:pPr>
        <w:spacing w:after="0" w:line="2" w:lineRule="exact"/>
        <w:rPr>
          <w:rFonts w:ascii="Arial" w:cs="Arial" w:eastAsia="Arial" w:hAnsi="Arial"/>
          <w:sz w:val="18"/>
          <w:szCs w:val="18"/>
          <w:color w:val="auto"/>
        </w:rPr>
      </w:pPr>
    </w:p>
    <w:p>
      <w:pPr>
        <w:ind w:left="640" w:hanging="321"/>
        <w:spacing w:after="0" w:line="215"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R&amp;D Expenses</w:t>
      </w:r>
      <w:r>
        <w:rPr>
          <w:rFonts w:ascii="Arial" w:cs="Arial" w:eastAsia="Arial" w:hAnsi="Arial"/>
          <w:sz w:val="17"/>
          <w:szCs w:val="17"/>
          <w:color w:val="auto"/>
        </w:rPr>
        <w:t>: Research and development expenses were $87.1 million for the second quarter of 2019,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$58.6 million for the second quarter of 2018. This increase was primarily due to increased clinical and manufacturing expenses driven by the company’s lead programs and increased personnel expenses. Research and development expenses included $7.5 million in stock-based compensation expenses for the second quarter of 2019.</w:t>
      </w:r>
    </w:p>
    <w:p>
      <w:pPr>
        <w:spacing w:after="0" w:line="1" w:lineRule="exact"/>
        <w:rPr>
          <w:rFonts w:ascii="Arial" w:cs="Arial" w:eastAsia="Arial" w:hAnsi="Arial"/>
          <w:sz w:val="17"/>
          <w:szCs w:val="17"/>
          <w:color w:val="auto"/>
        </w:rPr>
      </w:pPr>
    </w:p>
    <w:p>
      <w:pPr>
        <w:ind w:left="640" w:right="20" w:hanging="321"/>
        <w:spacing w:after="0" w:line="229"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G&amp;A Expenses</w:t>
      </w:r>
      <w:r>
        <w:rPr>
          <w:rFonts w:ascii="Arial" w:cs="Arial" w:eastAsia="Arial" w:hAnsi="Arial"/>
          <w:sz w:val="16"/>
          <w:szCs w:val="16"/>
          <w:color w:val="auto"/>
        </w:rPr>
        <w:t>: General and administrative expenses were $21.9 million for the second quarter of 2019, as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$12.3 million for the second quarter of 2018. This increase was primarily due to increased personnel expenses and increased professional fees for commercial-readiness and other activities. General and administrative expenses included $6.2 million in stock-based compensation expenses for the second quarter of 2019.</w:t>
      </w:r>
    </w:p>
    <w:p>
      <w:pPr>
        <w:ind w:left="640" w:right="220" w:hanging="321"/>
        <w:spacing w:after="0" w:line="22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$99.7 million for the second quarter of 2019, or a net loss per share of $2.04, as compared to a</w:t>
      </w:r>
      <w:r>
        <w:rPr>
          <w:rFonts w:ascii="Arial" w:cs="Arial" w:eastAsia="Arial" w:hAnsi="Arial"/>
          <w:sz w:val="18"/>
          <w:szCs w:val="18"/>
          <w:b w:val="1"/>
          <w:bCs w:val="1"/>
          <w:color w:val="auto"/>
        </w:rPr>
        <w:t xml:space="preserve"> </w:t>
      </w:r>
      <w:r>
        <w:rPr>
          <w:rFonts w:ascii="Arial" w:cs="Arial" w:eastAsia="Arial" w:hAnsi="Arial"/>
          <w:sz w:val="18"/>
          <w:szCs w:val="18"/>
          <w:color w:val="auto"/>
        </w:rPr>
        <w:t>net loss of $27.0 million for the second quarter of 2018, or a net loss per share of $0.62.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148" w:lineRule="exact"/>
        <w:rPr>
          <w:sz w:val="20"/>
          <w:szCs w:val="20"/>
          <w:color w:val="auto"/>
        </w:rPr>
      </w:pPr>
    </w:p>
    <w:p>
      <w:pPr>
        <w:jc w:val="both"/>
        <w:ind w:right="220"/>
        <w:spacing w:after="0" w:line="259" w:lineRule="auto"/>
        <w:rPr>
          <w:sz w:val="20"/>
          <w:szCs w:val="20"/>
          <w:color w:val="auto"/>
        </w:rPr>
      </w:pPr>
      <w:r>
        <w:rPr>
          <w:rFonts w:ascii="Arial" w:cs="Arial" w:eastAsia="Arial" w:hAnsi="Arial"/>
          <w:sz w:val="16"/>
          <w:szCs w:val="16"/>
          <w:color w:val="auto"/>
        </w:rPr>
        <w:t>Based on its current plans, Blueprint Medicines expects that its existing cash, cash equivalents and investments, excluding any potential option fees and milestone payments under its existing collaborations with Roche and CStone Pharmaceuticals, will be sufficient to enable it to fund its operating expenses and capital expenditure requirements into the middle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428625</wp:posOffset>
            </wp:positionV>
            <wp:extent cx="5960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12" w:right="1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 Information:</w:t>
      </w:r>
    </w:p>
    <w:p>
      <w:pPr>
        <w:spacing w:after="0" w:line="148" w:lineRule="exact"/>
        <w:rPr>
          <w:sz w:val="20"/>
          <w:szCs w:val="20"/>
          <w:color w:val="auto"/>
        </w:rPr>
      </w:pPr>
    </w:p>
    <w:p>
      <w:pPr>
        <w:jc w:val="both"/>
        <w:ind w:right="200"/>
        <w:spacing w:after="0" w:line="234" w:lineRule="auto"/>
        <w:rPr>
          <w:sz w:val="20"/>
          <w:szCs w:val="20"/>
          <w:color w:val="auto"/>
        </w:rPr>
      </w:pPr>
      <w:r>
        <w:rPr>
          <w:rFonts w:ascii="Arial" w:cs="Arial" w:eastAsia="Arial" w:hAnsi="Arial"/>
          <w:sz w:val="16"/>
          <w:szCs w:val="16"/>
          <w:color w:val="auto"/>
        </w:rPr>
        <w:t>Blueprint Medicines will host a live conference call and webcast at 8:30 a.m. ET today to discuss second quarter 2019 financial results and recent business activities. The conference call may be accessed by dialing (855) 728-4793 (domestic) or (503) 343-6666 (international) and referring to conference ID 1096287. A webcast of the conference call will be available in the Investors section of the Blueprint Medicines’ website at http://ir.blueprintmedicines.com. The archived webcast will be available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on Blueprint Medicines’ website approximately two hours after the conference call and will be available for 30 days following the call.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148"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are currently advancing four investigational medicines in clinical development, along with multiple research programs. For more information, visit www.BlueprintMedicines.com and follow us on Twitter (@BlueprintMeds) and LinkedIn.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plans and timelines for the development of avapritinib, pralsetinib, fisogatinib and BLU-782, including the timing, designs, implementation, enrollment, plans and announcement of results regarding Blueprint Medicines’ ongoing and planned clinical trials for avapritinib, pralsetinib, fisogatinib and BLU-782, plans and timelines for submitting marketing applications for avapritinib and pralsetinib, the potential benefits of Blueprint Medicines' current and future drug candidates in treating patients; expectations regarding Blueprint Medicines' existing cash, cash equivalents and investments; and Blueprint Medicines' strategy, goals and anticipated milestones,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pralsetinib, fisogatinib and BLU-782;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including its cancer immunotherapy collaboration with F. Hoffmann-La Roche Ltd and Hoffmann-La Roche Inc. and its collaboration with CStone Pharmaceuticals. These and other risks and uncertainties are described in greater detail in the section entitled "Risk Factors" in Blueprint Medicines' filings with the Securities and Exchange Commission (SEC), including Blueprint Medicines’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556260</wp:posOffset>
            </wp:positionV>
            <wp:extent cx="59601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6" w:name="page7"/>
    <w:bookmarkEnd w:id="6"/>
    <w:p>
      <w:pPr>
        <w:jc w:val="center"/>
        <w:ind w:right="-4"/>
        <w:spacing w:after="0"/>
        <w:rPr>
          <w:sz w:val="20"/>
          <w:szCs w:val="20"/>
          <w:color w:val="auto"/>
        </w:rPr>
      </w:pPr>
      <w:r>
        <w:rPr>
          <w:rFonts w:ascii="Arial" w:cs="Arial" w:eastAsia="Arial" w:hAnsi="Arial"/>
          <w:sz w:val="18"/>
          <w:szCs w:val="18"/>
          <w:b w:val="1"/>
          <w:bCs w:val="1"/>
          <w:color w:val="auto"/>
        </w:rPr>
        <w:t>Blueprint Medicines Corporation</w:t>
      </w:r>
    </w:p>
    <w:p>
      <w:pPr>
        <w:jc w:val="center"/>
        <w:ind w:right="-4"/>
        <w:spacing w:after="0" w:line="219" w:lineRule="auto"/>
        <w:rPr>
          <w:sz w:val="20"/>
          <w:szCs w:val="20"/>
          <w:color w:val="auto"/>
        </w:rPr>
      </w:pPr>
      <w:r>
        <w:rPr>
          <w:rFonts w:ascii="Arial" w:cs="Arial" w:eastAsia="Arial" w:hAnsi="Arial"/>
          <w:sz w:val="18"/>
          <w:szCs w:val="18"/>
          <w:b w:val="1"/>
          <w:bCs w:val="1"/>
          <w:color w:val="auto"/>
        </w:rPr>
        <w:t>Selected Condensed Consolidated Balance Sheet Data</w:t>
      </w:r>
    </w:p>
    <w:p>
      <w:pPr>
        <w:jc w:val="center"/>
        <w:ind w:right="-4"/>
        <w:spacing w:after="0" w:line="219" w:lineRule="auto"/>
        <w:rPr>
          <w:sz w:val="20"/>
          <w:szCs w:val="20"/>
          <w:color w:val="auto"/>
        </w:rPr>
      </w:pPr>
      <w:r>
        <w:rPr>
          <w:rFonts w:ascii="Arial" w:cs="Arial" w:eastAsia="Arial" w:hAnsi="Arial"/>
          <w:sz w:val="18"/>
          <w:szCs w:val="18"/>
          <w:b w:val="1"/>
          <w:bCs w:val="1"/>
          <w:color w:val="auto"/>
        </w:rPr>
        <w:t>(in thousands)</w:t>
      </w:r>
    </w:p>
    <w:p>
      <w:pPr>
        <w:jc w:val="center"/>
        <w:ind w:right="-4"/>
        <w:spacing w:after="0"/>
        <w:rPr>
          <w:sz w:val="20"/>
          <w:szCs w:val="20"/>
          <w:color w:val="auto"/>
        </w:rPr>
      </w:pPr>
      <w:r>
        <w:rPr>
          <w:rFonts w:ascii="Arial" w:cs="Arial" w:eastAsia="Arial" w:hAnsi="Arial"/>
          <w:sz w:val="18"/>
          <w:szCs w:val="18"/>
          <w:b w:val="1"/>
          <w:bCs w:val="1"/>
          <w:i w:val="1"/>
          <w:iCs w:val="1"/>
          <w:color w:val="auto"/>
        </w:rPr>
        <w:t>(unaudited)</w:t>
      </w:r>
    </w:p>
    <w:p>
      <w:pPr>
        <w:spacing w:after="0" w:line="219" w:lineRule="exact"/>
        <w:rPr>
          <w:sz w:val="20"/>
          <w:szCs w:val="20"/>
          <w:color w:val="auto"/>
        </w:rPr>
      </w:pPr>
    </w:p>
    <w:tbl>
      <w:tblPr>
        <w:tblLayout w:type="fixed"/>
        <w:tblInd w:w="5" w:type="dxa"/>
        <w:tblCellMar>
          <w:top w:w="0" w:type="dxa"/>
          <w:left w:w="0" w:type="dxa"/>
          <w:bottom w:w="0" w:type="dxa"/>
          <w:right w:w="0" w:type="dxa"/>
        </w:tblCellMar>
      </w:tblPr>
      <w:tr>
        <w:trPr>
          <w:trHeight w:val="221"/>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9"/>
                <w:szCs w:val="19"/>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investments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667,259</w:t>
            </w: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8"/>
                <w:szCs w:val="8"/>
                <w:color w:val="auto"/>
              </w:rPr>
              <w:t>(1)</w:t>
            </w:r>
          </w:p>
        </w:tc>
        <w:tc>
          <w:tcPr>
            <w:tcW w:w="240" w:type="dxa"/>
            <w:vAlign w:val="bottom"/>
          </w:tcPr>
          <w:p>
            <w:pPr>
              <w:spacing w:after="0"/>
              <w:rPr>
                <w:sz w:val="20"/>
                <w:szCs w:val="20"/>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531,446</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439,464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807,178</w:t>
            </w: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540,124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0"/>
                <w:szCs w:val="20"/>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44,470</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46,167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214,351</w:t>
            </w: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121,115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592,827</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419,009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85" w:hanging="285"/>
        <w:spacing w:after="0"/>
        <w:tabs>
          <w:tab w:leader="none" w:pos="285" w:val="left"/>
        </w:tabs>
        <w:numPr>
          <w:ilvl w:val="0"/>
          <w:numId w:val="9"/>
        </w:numPr>
        <w:rPr>
          <w:rFonts w:ascii="Arial" w:cs="Arial" w:eastAsia="Arial" w:hAnsi="Arial"/>
          <w:sz w:val="18"/>
          <w:szCs w:val="18"/>
          <w:color w:val="auto"/>
          <w:vertAlign w:val="superscript"/>
        </w:rPr>
      </w:pPr>
      <w:r>
        <w:rPr>
          <w:rFonts w:ascii="Arial" w:cs="Arial" w:eastAsia="Arial" w:hAnsi="Arial"/>
          <w:sz w:val="18"/>
          <w:szCs w:val="18"/>
          <w:color w:val="auto"/>
        </w:rPr>
        <w:t>Blueprint Medicines defines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Blueprint Medicines Corporation</w:t>
      </w:r>
    </w:p>
    <w:p>
      <w:pPr>
        <w:jc w:val="center"/>
        <w:ind w:right="-4"/>
        <w:spacing w:after="0" w:line="203" w:lineRule="auto"/>
        <w:rPr>
          <w:sz w:val="20"/>
          <w:szCs w:val="20"/>
          <w:color w:val="auto"/>
        </w:rPr>
      </w:pPr>
      <w:r>
        <w:rPr>
          <w:rFonts w:ascii="Arial" w:cs="Arial" w:eastAsia="Arial" w:hAnsi="Arial"/>
          <w:sz w:val="18"/>
          <w:szCs w:val="18"/>
          <w:b w:val="1"/>
          <w:bCs w:val="1"/>
          <w:color w:val="auto"/>
        </w:rPr>
        <w:t>Condensed Consolidated Statements of Operations Data</w:t>
      </w:r>
    </w:p>
    <w:p>
      <w:pPr>
        <w:jc w:val="center"/>
        <w:ind w:right="-4"/>
        <w:spacing w:after="0" w:line="204" w:lineRule="auto"/>
        <w:rPr>
          <w:sz w:val="20"/>
          <w:szCs w:val="20"/>
          <w:color w:val="auto"/>
        </w:rPr>
      </w:pPr>
      <w:r>
        <w:rPr>
          <w:rFonts w:ascii="Arial" w:cs="Arial" w:eastAsia="Arial" w:hAnsi="Arial"/>
          <w:sz w:val="18"/>
          <w:szCs w:val="18"/>
          <w:b w:val="1"/>
          <w:bCs w:val="1"/>
          <w:color w:val="auto"/>
        </w:rPr>
        <w:t>(in thousands, except per share data)</w:t>
      </w:r>
    </w:p>
    <w:p>
      <w:pPr>
        <w:jc w:val="center"/>
        <w:ind w:right="-4"/>
        <w:spacing w:after="0"/>
        <w:rPr>
          <w:sz w:val="20"/>
          <w:szCs w:val="20"/>
          <w:color w:val="auto"/>
        </w:rPr>
      </w:pPr>
      <w:r>
        <w:rPr>
          <w:rFonts w:ascii="Arial" w:cs="Arial" w:eastAsia="Arial" w:hAnsi="Arial"/>
          <w:sz w:val="18"/>
          <w:szCs w:val="18"/>
          <w:b w:val="1"/>
          <w:bCs w:val="1"/>
          <w:i w:val="1"/>
          <w:iCs w:val="1"/>
          <w:color w:val="auto"/>
        </w:rPr>
        <w:t>(unaudited)</w:t>
      </w:r>
    </w:p>
    <w:p>
      <w:pPr>
        <w:spacing w:after="0" w:line="106"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6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6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r>
      <w:tr>
        <w:trPr>
          <w:trHeight w:val="183"/>
        </w:trPr>
        <w:tc>
          <w:tcPr>
            <w:tcW w:w="6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0"/>
              <w:spacing w:after="0" w:line="182" w:lineRule="exact"/>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2018</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41,439</w:t>
            </w:r>
          </w:p>
        </w:tc>
      </w:tr>
      <w:tr>
        <w:trPr>
          <w:trHeight w:val="189"/>
        </w:trPr>
        <w:tc>
          <w:tcPr>
            <w:tcW w:w="6720" w:type="dxa"/>
            <w:vAlign w:val="bottom"/>
          </w:tcPr>
          <w:p>
            <w:pPr>
              <w:spacing w:after="0" w:line="189" w:lineRule="exact"/>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87,101</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58,573</w:t>
            </w: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21,923</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12,333</w:t>
            </w: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109,024</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70,906</w:t>
            </w:r>
          </w:p>
        </w:tc>
      </w:tr>
      <w:tr>
        <w:trPr>
          <w:trHeight w:val="189"/>
        </w:trPr>
        <w:tc>
          <w:tcPr>
            <w:tcW w:w="6720" w:type="dxa"/>
            <w:vAlign w:val="bottom"/>
          </w:tcPr>
          <w:p>
            <w:pPr>
              <w:spacing w:after="0" w:line="189" w:lineRule="exact"/>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4,235</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w:t>
            </w:r>
          </w:p>
        </w:tc>
      </w:tr>
      <w:tr>
        <w:trPr>
          <w:trHeight w:val="217"/>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(99,681)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(27,048)</w:t>
            </w:r>
          </w:p>
        </w:tc>
      </w:tr>
      <w:tr>
        <w:trPr>
          <w:trHeight w:val="236"/>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210"/>
        </w:trPr>
        <w:tc>
          <w:tcPr>
            <w:tcW w:w="6720" w:type="dxa"/>
            <w:vAlign w:val="bottom"/>
          </w:tcPr>
          <w:p>
            <w:pPr>
              <w:spacing w:after="0" w:line="203" w:lineRule="exact"/>
              <w:rPr>
                <w:sz w:val="20"/>
                <w:szCs w:val="20"/>
                <w:color w:val="auto"/>
              </w:rPr>
            </w:pPr>
            <w:r>
              <w:rPr>
                <w:rFonts w:ascii="Arial" w:cs="Arial" w:eastAsia="Arial" w:hAnsi="Arial"/>
                <w:sz w:val="18"/>
                <w:szCs w:val="18"/>
                <w:color w:val="auto"/>
                <w:w w:val="90"/>
              </w:rPr>
              <w:t>Weighted-average number of common shares used in net loss per share — basic and diluted</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48,843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43,856</w:t>
            </w:r>
          </w:p>
        </w:tc>
      </w:tr>
      <w:tr>
        <w:trPr>
          <w:trHeight w:val="1263"/>
        </w:trPr>
        <w:tc>
          <w:tcPr>
            <w:tcW w:w="6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385"/>
          </w:cols>
          <w:pgMar w:left="1255" w:top="96" w:right="1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Investor Relations Contact: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Kristin Hodous</w:t>
      </w:r>
    </w:p>
    <w:p>
      <w:pPr>
        <w:spacing w:after="0" w:line="215" w:lineRule="auto"/>
        <w:rPr>
          <w:sz w:val="20"/>
          <w:szCs w:val="20"/>
          <w:color w:val="auto"/>
        </w:rPr>
      </w:pPr>
      <w:r>
        <w:rPr>
          <w:rFonts w:ascii="Arial" w:cs="Arial" w:eastAsia="Arial" w:hAnsi="Arial"/>
          <w:sz w:val="17"/>
          <w:szCs w:val="17"/>
          <w:color w:val="auto"/>
        </w:rPr>
        <w:t>Sr. Manager, Investor Relations</w:t>
      </w:r>
    </w:p>
    <w:p>
      <w:pPr>
        <w:spacing w:after="0" w:line="204" w:lineRule="auto"/>
        <w:rPr>
          <w:sz w:val="20"/>
          <w:szCs w:val="20"/>
          <w:color w:val="auto"/>
        </w:rPr>
      </w:pPr>
      <w:r>
        <w:rPr>
          <w:rFonts w:ascii="Arial" w:cs="Arial" w:eastAsia="Arial" w:hAnsi="Arial"/>
          <w:sz w:val="18"/>
          <w:szCs w:val="18"/>
          <w:color w:val="auto"/>
        </w:rPr>
        <w:t>617-714-6674</w:t>
      </w:r>
    </w:p>
    <w:p>
      <w:pPr>
        <w:spacing w:after="0"/>
        <w:rPr>
          <w:sz w:val="20"/>
          <w:szCs w:val="20"/>
          <w:color w:val="auto"/>
        </w:rPr>
      </w:pPr>
      <w:r>
        <w:rPr>
          <w:rFonts w:ascii="Arial" w:cs="Arial" w:eastAsia="Arial" w:hAnsi="Arial"/>
          <w:sz w:val="18"/>
          <w:szCs w:val="18"/>
          <w:color w:val="auto"/>
        </w:rPr>
        <w:t>ir@blueprintmedicines.com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Jim Baker</w:t>
      </w:r>
    </w:p>
    <w:p>
      <w:pPr>
        <w:spacing w:after="0" w:line="229" w:lineRule="auto"/>
        <w:rPr>
          <w:sz w:val="20"/>
          <w:szCs w:val="20"/>
          <w:color w:val="auto"/>
        </w:rPr>
      </w:pPr>
      <w:r>
        <w:rPr>
          <w:rFonts w:ascii="Arial" w:cs="Arial" w:eastAsia="Arial" w:hAnsi="Arial"/>
          <w:sz w:val="16"/>
          <w:szCs w:val="16"/>
          <w:color w:val="auto"/>
        </w:rPr>
        <w:t>Vice President, Corporate Affairs</w:t>
      </w:r>
    </w:p>
    <w:p>
      <w:pPr>
        <w:spacing w:after="0" w:line="203" w:lineRule="auto"/>
        <w:rPr>
          <w:sz w:val="20"/>
          <w:szCs w:val="20"/>
          <w:color w:val="auto"/>
        </w:rPr>
      </w:pPr>
      <w:r>
        <w:rPr>
          <w:rFonts w:ascii="Arial" w:cs="Arial" w:eastAsia="Arial" w:hAnsi="Arial"/>
          <w:sz w:val="18"/>
          <w:szCs w:val="18"/>
          <w:color w:val="auto"/>
        </w:rPr>
        <w:t>617.844.8236</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688340</wp:posOffset>
            </wp:positionV>
            <wp:extent cx="596011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199"/>
          </w:cols>
          <w:pgMar w:left="1260" w:top="108" w:right="1440"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2019-12-28T09:08:33Z</dcterms:created>
  <dcterms:modified xsi:type="dcterms:W3CDTF">2019-12-28T09:08:33Z</dcterms:modified>
</cp:coreProperties>
</file>