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213360</wp:posOffset>
            </wp:positionV>
            <wp:extent cx="147066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3720"/>
        <w:spacing w:after="0"/>
        <w:rPr>
          <w:sz w:val="20"/>
          <w:szCs w:val="20"/>
          <w:color w:val="auto"/>
        </w:rPr>
      </w:pPr>
      <w:r>
        <w:rPr>
          <w:rFonts w:ascii="Arial" w:cs="Arial" w:eastAsia="Arial" w:hAnsi="Arial"/>
          <w:sz w:val="20"/>
          <w:szCs w:val="20"/>
          <w:b w:val="1"/>
          <w:bCs w:val="1"/>
          <w:color w:val="auto"/>
        </w:rPr>
        <w:t>CURRENT REPORT</w:t>
      </w:r>
    </w:p>
    <w:p>
      <w:pPr>
        <w:spacing w:after="0" w:line="15" w:lineRule="exact"/>
        <w:rPr>
          <w:sz w:val="24"/>
          <w:szCs w:val="24"/>
          <w:color w:val="auto"/>
        </w:rPr>
      </w:pPr>
    </w:p>
    <w:p>
      <w:pPr>
        <w:ind w:left="3280"/>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205740</wp:posOffset>
            </wp:positionV>
            <wp:extent cx="1470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194310</wp:posOffset>
            </wp:positionV>
            <wp:extent cx="1470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16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620"/>
        <w:spacing w:after="0"/>
        <w:rPr>
          <w:sz w:val="20"/>
          <w:szCs w:val="20"/>
          <w:color w:val="auto"/>
        </w:rPr>
      </w:pPr>
      <w:r>
        <w:rPr>
          <w:rFonts w:ascii="Arial" w:cs="Arial" w:eastAsia="Arial" w:hAnsi="Arial"/>
          <w:sz w:val="15"/>
          <w:szCs w:val="15"/>
          <w:color w:val="auto"/>
        </w:rPr>
        <w:t>(State or other jurisdiction</w:t>
      </w:r>
    </w:p>
    <w:p>
      <w:pPr>
        <w:spacing w:after="0" w:line="29" w:lineRule="exact"/>
        <w:rPr>
          <w:sz w:val="24"/>
          <w:szCs w:val="24"/>
          <w:color w:val="auto"/>
        </w:rPr>
      </w:pPr>
    </w:p>
    <w:p>
      <w:pPr>
        <w:ind w:left="92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80"/>
        <w:spacing w:after="0"/>
        <w:rPr>
          <w:sz w:val="20"/>
          <w:szCs w:val="20"/>
          <w:color w:val="auto"/>
        </w:rPr>
      </w:pPr>
      <w:r>
        <w:rPr>
          <w:rFonts w:ascii="Arial" w:cs="Arial" w:eastAsia="Arial" w:hAnsi="Arial"/>
          <w:sz w:val="17"/>
          <w:szCs w:val="17"/>
          <w:b w:val="1"/>
          <w:bCs w:val="1"/>
          <w:color w:val="auto"/>
        </w:rPr>
        <w:t>001-37359</w:t>
      </w:r>
    </w:p>
    <w:p>
      <w:pPr>
        <w:spacing w:after="0" w:line="22" w:lineRule="exact"/>
        <w:rPr>
          <w:sz w:val="24"/>
          <w:szCs w:val="24"/>
          <w:color w:val="auto"/>
        </w:rPr>
      </w:pPr>
    </w:p>
    <w:p>
      <w:pPr>
        <w:jc w:val="center"/>
        <w:ind w:right="8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7" w:lineRule="exact"/>
        <w:rPr>
          <w:sz w:val="24"/>
          <w:szCs w:val="24"/>
          <w:color w:val="auto"/>
        </w:rPr>
      </w:pPr>
    </w:p>
    <w:p>
      <w:pPr>
        <w:jc w:val="center"/>
        <w:ind w:right="860"/>
        <w:spacing w:after="0"/>
        <w:rPr>
          <w:sz w:val="20"/>
          <w:szCs w:val="20"/>
          <w:color w:val="auto"/>
        </w:rPr>
      </w:pPr>
      <w:r>
        <w:rPr>
          <w:rFonts w:ascii="Arial" w:cs="Arial" w:eastAsia="Arial" w:hAnsi="Arial"/>
          <w:sz w:val="17"/>
          <w:szCs w:val="17"/>
          <w:b w:val="1"/>
          <w:bCs w:val="1"/>
          <w:color w:val="auto"/>
        </w:rPr>
        <w:t>26-3632015</w:t>
      </w:r>
    </w:p>
    <w:p>
      <w:pPr>
        <w:spacing w:after="0" w:line="22"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(I.R.S. Employer</w:t>
      </w:r>
    </w:p>
    <w:p>
      <w:pPr>
        <w:spacing w:after="0" w:line="6"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Identification No.)</w:t>
      </w:r>
    </w:p>
    <w:p>
      <w:pPr>
        <w:spacing w:after="0" w:line="211" w:lineRule="exact"/>
        <w:rPr>
          <w:sz w:val="24"/>
          <w:szCs w:val="24"/>
          <w:color w:val="auto"/>
        </w:rPr>
      </w:pPr>
    </w:p>
    <w:p>
      <w:pPr>
        <w:sectPr>
          <w:pgSz w:w="11900" w:h="16838" w:orient="portrait"/>
          <w:cols w:equalWidth="0" w:num="3">
            <w:col w:w="3020" w:space="720"/>
            <w:col w:w="2720" w:space="720"/>
            <w:col w:w="2120"/>
          </w:cols>
          <w:pgMar w:left="1300" w:top="201" w:right="1299" w:bottom="1440" w:gutter="0" w:footer="0" w:header="0"/>
          <w:type w:val="continuous"/>
        </w:sectPr>
      </w:pPr>
    </w:p>
    <w:p>
      <w:pPr>
        <w:spacing w:after="0" w:line="318"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38 Sidney Street, Suite 200</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ind w:right="1900"/>
        <w:spacing w:after="0"/>
        <w:rPr>
          <w:sz w:val="20"/>
          <w:szCs w:val="20"/>
          <w:color w:val="auto"/>
        </w:rPr>
      </w:pPr>
      <w:r>
        <w:rPr>
          <w:rFonts w:ascii="Arial" w:cs="Arial" w:eastAsia="Arial" w:hAnsi="Arial"/>
          <w:sz w:val="17"/>
          <w:szCs w:val="17"/>
          <w:b w:val="1"/>
          <w:bCs w:val="1"/>
          <w:color w:val="auto"/>
        </w:rPr>
        <w:t>02139</w:t>
      </w:r>
    </w:p>
    <w:p>
      <w:pPr>
        <w:spacing w:after="0" w:line="22" w:lineRule="exact"/>
        <w:rPr>
          <w:sz w:val="24"/>
          <w:szCs w:val="24"/>
          <w:color w:val="auto"/>
        </w:rPr>
      </w:pPr>
    </w:p>
    <w:p>
      <w:pPr>
        <w:jc w:val="center"/>
        <w:ind w:right="190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5940" w:space="720"/>
            <w:col w:w="2640"/>
          </w:cols>
          <w:pgMar w:left="1300" w:top="201" w:right="129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2219960</wp:posOffset>
            </wp:positionH>
            <wp:positionV relativeFrom="paragraph">
              <wp:posOffset>75565</wp:posOffset>
            </wp:positionV>
            <wp:extent cx="1470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firstLine="604"/>
        <w:spacing w:after="0" w:line="26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7"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5" w:lineRule="exact"/>
        <w:rPr>
          <w:rFonts w:ascii="Arial" w:cs="Arial" w:eastAsia="Arial" w:hAnsi="Arial"/>
          <w:sz w:val="17"/>
          <w:szCs w:val="17"/>
          <w:color w:val="auto"/>
        </w:rPr>
      </w:pPr>
    </w:p>
    <w:p>
      <w:pPr>
        <w:ind w:left="920" w:hanging="311"/>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 w:lineRule="exact"/>
        <w:rPr>
          <w:rFonts w:ascii="Arial" w:cs="Arial" w:eastAsia="Arial" w:hAnsi="Arial"/>
          <w:sz w:val="16"/>
          <w:szCs w:val="16"/>
          <w:color w:val="auto"/>
        </w:rPr>
      </w:pPr>
    </w:p>
    <w:p>
      <w:pPr>
        <w:ind w:left="920" w:hanging="311"/>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7" w:lineRule="exact"/>
        <w:rPr>
          <w:sz w:val="24"/>
          <w:szCs w:val="24"/>
          <w:color w:val="auto"/>
        </w:rPr>
      </w:pPr>
    </w:p>
    <w:p>
      <w:pPr>
        <w:ind w:right="260" w:firstLine="604"/>
        <w:spacing w:after="0" w:line="30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7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62" w:lineRule="exact"/>
        <w:rPr>
          <w:sz w:val="24"/>
          <w:szCs w:val="24"/>
          <w:color w:val="auto"/>
        </w:rPr>
      </w:pPr>
    </w:p>
    <w:p>
      <w:pPr>
        <w:ind w:right="80" w:firstLine="604"/>
        <w:spacing w:after="0" w:line="21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244475</wp:posOffset>
            </wp:positionV>
            <wp:extent cx="58972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7245" cy="15875"/>
                    </a:xfrm>
                    <a:prstGeom prst="rect">
                      <a:avLst/>
                    </a:prstGeom>
                    <a:noFill/>
                  </pic:spPr>
                </pic:pic>
              </a:graphicData>
            </a:graphic>
          </wp:anchor>
        </w:drawing>
      </w:r>
    </w:p>
    <w:p>
      <w:pPr>
        <w:sectPr>
          <w:pgSz w:w="11900" w:h="16838" w:orient="portrait"/>
          <w:cols w:equalWidth="0" w:num="1">
            <w:col w:w="9300"/>
          </w:cols>
          <w:pgMar w:left="1300" w:top="201" w:right="129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11" w:lineRule="exact"/>
        <w:rPr>
          <w:sz w:val="20"/>
          <w:szCs w:val="20"/>
          <w:color w:val="auto"/>
        </w:rPr>
      </w:pPr>
    </w:p>
    <w:p>
      <w:pPr>
        <w:ind w:right="80" w:firstLine="604"/>
        <w:spacing w:after="0" w:line="272" w:lineRule="auto"/>
        <w:rPr>
          <w:sz w:val="20"/>
          <w:szCs w:val="20"/>
          <w:color w:val="auto"/>
        </w:rPr>
      </w:pPr>
      <w:r>
        <w:rPr>
          <w:rFonts w:ascii="Arial" w:cs="Arial" w:eastAsia="Arial" w:hAnsi="Arial"/>
          <w:sz w:val="16"/>
          <w:szCs w:val="16"/>
          <w:color w:val="auto"/>
        </w:rPr>
        <w:t>On September 10, 2017, Blueprint Medicines Corporation (the “Company”) issued a press release announcing new data from its ongoing Phase 1 clinical trial evaluating BLU-554 for the treatment of advanced hepatocellular carcinoma. The data were presented on Sunday, September 10, 2017 in an oral presentation at the European Society for Medical Oncology (“ESMO”) 2017 Congress in Madrid, Spain. A copy of the press release is furnished as Exhibit 99.1 to this Current Report on Form 8-K, and a copy of the presentation at the ESMO 2017 Congress is furnished as Exhibit 99.2 to this Current Report on Form 8-K.</w:t>
      </w:r>
    </w:p>
    <w:p>
      <w:pPr>
        <w:spacing w:after="0" w:line="166" w:lineRule="exact"/>
        <w:rPr>
          <w:sz w:val="20"/>
          <w:szCs w:val="20"/>
          <w:color w:val="auto"/>
        </w:rPr>
      </w:pPr>
    </w:p>
    <w:p>
      <w:pPr>
        <w:ind w:right="260" w:firstLine="604"/>
        <w:spacing w:after="0" w:line="258" w:lineRule="auto"/>
        <w:rPr>
          <w:sz w:val="20"/>
          <w:szCs w:val="20"/>
          <w:color w:val="auto"/>
        </w:rPr>
      </w:pPr>
      <w:r>
        <w:rPr>
          <w:rFonts w:ascii="Arial" w:cs="Arial" w:eastAsia="Arial" w:hAnsi="Arial"/>
          <w:sz w:val="17"/>
          <w:szCs w:val="17"/>
          <w:color w:val="auto"/>
        </w:rPr>
        <w:t>In addition, on September 11, 2017, the Company hosted an investor conference call and live webcast to discuss the data presented at the ESMO 2017 Congress. A copy of the presentation from the conference call is furnished as Exhibit 99.3 to this Current Report on Form 8-K.</w:t>
      </w:r>
    </w:p>
    <w:p>
      <w:pPr>
        <w:spacing w:after="0" w:line="175" w:lineRule="exact"/>
        <w:rPr>
          <w:sz w:val="20"/>
          <w:szCs w:val="20"/>
          <w:color w:val="auto"/>
        </w:rPr>
      </w:pPr>
    </w:p>
    <w:p>
      <w:pPr>
        <w:ind w:right="60" w:firstLine="604"/>
        <w:spacing w:after="0" w:line="299" w:lineRule="auto"/>
        <w:rPr>
          <w:sz w:val="20"/>
          <w:szCs w:val="20"/>
          <w:color w:val="auto"/>
        </w:rPr>
      </w:pPr>
      <w:r>
        <w:rPr>
          <w:rFonts w:ascii="Arial" w:cs="Arial" w:eastAsia="Arial" w:hAnsi="Arial"/>
          <w:sz w:val="15"/>
          <w:szCs w:val="15"/>
          <w:color w:val="auto"/>
        </w:rPr>
        <w:t>The information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0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8200" w:type="dxa"/>
            <w:vAlign w:val="bottom"/>
            <w:gridSpan w:val="3"/>
          </w:tcPr>
          <w:p>
            <w:pPr>
              <w:jc w:val="right"/>
              <w:ind w:right="5436"/>
              <w:spacing w:after="0"/>
              <w:rPr>
                <w:sz w:val="20"/>
                <w:szCs w:val="20"/>
                <w:color w:val="auto"/>
              </w:rPr>
            </w:pPr>
            <w:r>
              <w:rPr>
                <w:rFonts w:ascii="Arial" w:cs="Arial" w:eastAsia="Arial" w:hAnsi="Arial"/>
                <w:sz w:val="17"/>
                <w:szCs w:val="17"/>
                <w:b w:val="1"/>
                <w:bCs w:val="1"/>
                <w:color w:val="auto"/>
                <w:w w:val="94"/>
              </w:rPr>
              <w:t>Financial Statements and Exhibits.</w:t>
            </w:r>
          </w:p>
        </w:tc>
      </w:tr>
      <w:tr>
        <w:trPr>
          <w:trHeight w:val="403"/>
        </w:trPr>
        <w:tc>
          <w:tcPr>
            <w:tcW w:w="1100" w:type="dxa"/>
            <w:vAlign w:val="bottom"/>
            <w:gridSpan w:val="2"/>
          </w:tcPr>
          <w:p>
            <w:pPr>
              <w:spacing w:after="0"/>
              <w:rPr>
                <w:sz w:val="20"/>
                <w:szCs w:val="20"/>
                <w:color w:val="auto"/>
              </w:rPr>
            </w:pPr>
            <w:r>
              <w:rPr>
                <w:rFonts w:ascii="Arial" w:cs="Arial" w:eastAsia="Arial" w:hAnsi="Arial"/>
                <w:sz w:val="17"/>
                <w:szCs w:val="17"/>
                <w:color w:val="auto"/>
              </w:rPr>
              <w:t>(d) Exhibits.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Exhibit No.</w:t>
            </w:r>
          </w:p>
        </w:tc>
        <w:tc>
          <w:tcPr>
            <w:tcW w:w="2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82"/>
        </w:trPr>
        <w:tc>
          <w:tcPr>
            <w:tcW w:w="20" w:type="dxa"/>
            <w:vAlign w:val="bottom"/>
          </w:tcPr>
          <w:p>
            <w:pPr>
              <w:spacing w:after="0"/>
              <w:rPr>
                <w:sz w:val="15"/>
                <w:szCs w:val="15"/>
                <w:color w:val="auto"/>
              </w:rPr>
            </w:pPr>
          </w:p>
        </w:tc>
        <w:tc>
          <w:tcPr>
            <w:tcW w:w="1080" w:type="dxa"/>
            <w:vAlign w:val="bottom"/>
          </w:tcPr>
          <w:p>
            <w:pPr>
              <w:ind w:left="100"/>
              <w:spacing w:after="0" w:line="182"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80" w:type="dxa"/>
            <w:vAlign w:val="bottom"/>
          </w:tcPr>
          <w:p>
            <w:pPr>
              <w:ind w:left="100"/>
              <w:spacing w:after="0" w:line="182" w:lineRule="exact"/>
              <w:rPr>
                <w:sz w:val="20"/>
                <w:szCs w:val="20"/>
                <w:color w:val="auto"/>
              </w:rPr>
            </w:pPr>
            <w:r>
              <w:rPr>
                <w:rFonts w:ascii="Arial" w:cs="Arial" w:eastAsia="Arial" w:hAnsi="Arial"/>
                <w:sz w:val="17"/>
                <w:szCs w:val="17"/>
                <w:color w:val="auto"/>
              </w:rPr>
              <w:t>Press release issued by Blueprint Medicines Corporation on September 10, 2017</w:t>
            </w:r>
          </w:p>
        </w:tc>
      </w:tr>
      <w:tr>
        <w:trPr>
          <w:trHeight w:val="201"/>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99.2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w w:val="98"/>
              </w:rPr>
              <w:t>Presentation by Blueprint Medicines Corporation at the ESMO 2017 Congress on September 10, 2017</w:t>
            </w:r>
          </w:p>
        </w:tc>
      </w:tr>
      <w:tr>
        <w:trPr>
          <w:trHeight w:val="213"/>
        </w:trPr>
        <w:tc>
          <w:tcPr>
            <w:tcW w:w="1100" w:type="dxa"/>
            <w:vAlign w:val="bottom"/>
            <w:gridSpan w:val="2"/>
          </w:tcPr>
          <w:p>
            <w:pPr>
              <w:ind w:left="120"/>
              <w:spacing w:after="0"/>
              <w:rPr>
                <w:sz w:val="20"/>
                <w:szCs w:val="20"/>
                <w:color w:val="auto"/>
              </w:rPr>
            </w:pPr>
            <w:r>
              <w:rPr>
                <w:rFonts w:ascii="Arial" w:cs="Arial" w:eastAsia="Arial" w:hAnsi="Arial"/>
                <w:sz w:val="17"/>
                <w:szCs w:val="17"/>
                <w:color w:val="auto"/>
              </w:rPr>
              <w:t>99.3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Arial" w:cs="Arial" w:eastAsia="Arial" w:hAnsi="Arial"/>
                <w:sz w:val="17"/>
                <w:szCs w:val="17"/>
                <w:color w:val="auto"/>
              </w:rPr>
              <w:t>Presentation by Blueprint Medicines Corporation at investor conference call on September 11, 2017</w:t>
            </w:r>
          </w:p>
        </w:tc>
      </w:tr>
      <w:tr>
        <w:trPr>
          <w:trHeight w:val="80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0" w:type="dxa"/>
            <w:vAlign w:val="bottom"/>
            <w:gridSpan w:val="3"/>
          </w:tcPr>
          <w:p>
            <w:pPr>
              <w:jc w:val="right"/>
              <w:ind w:right="4516"/>
              <w:spacing w:after="0"/>
              <w:rPr>
                <w:sz w:val="20"/>
                <w:szCs w:val="20"/>
                <w:color w:val="auto"/>
              </w:rPr>
            </w:pPr>
            <w:r>
              <w:rPr>
                <w:rFonts w:ascii="Arial" w:cs="Arial" w:eastAsia="Arial" w:hAnsi="Arial"/>
                <w:sz w:val="17"/>
                <w:szCs w:val="17"/>
                <w:color w:val="auto"/>
              </w:rPr>
              <w:t>2</w:t>
            </w:r>
          </w:p>
        </w:tc>
      </w:tr>
      <w:tr>
        <w:trPr>
          <w:trHeight w:val="119"/>
        </w:trPr>
        <w:tc>
          <w:tcPr>
            <w:tcW w:w="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80" w:type="dxa"/>
            <w:vAlign w:val="bottom"/>
            <w:tcBorders>
              <w:bottom w:val="single" w:sz="8" w:color="auto"/>
            </w:tcBorders>
          </w:tcPr>
          <w:p>
            <w:pPr>
              <w:spacing w:after="0"/>
              <w:rPr>
                <w:sz w:val="10"/>
                <w:szCs w:val="10"/>
                <w:color w:val="auto"/>
              </w:rPr>
            </w:pPr>
          </w:p>
        </w:tc>
      </w:tr>
    </w:tbl>
    <w:p>
      <w:pPr>
        <w:sectPr>
          <w:pgSz w:w="11900" w:h="16838" w:orient="portrait"/>
          <w:cols w:equalWidth="0" w:num="1">
            <w:col w:w="9300"/>
          </w:cols>
          <w:pgMar w:left="1300" w:top="123" w:right="12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80" w:type="dxa"/>
            <w:vAlign w:val="bottom"/>
            <w:gridSpan w:val="4"/>
          </w:tcPr>
          <w:p>
            <w:pPr>
              <w:jc w:val="center"/>
              <w:ind w:right="1720"/>
              <w:spacing w:after="0"/>
              <w:rPr>
                <w:sz w:val="20"/>
                <w:szCs w:val="20"/>
                <w:color w:val="auto"/>
              </w:rPr>
            </w:pPr>
            <w:r>
              <w:rPr>
                <w:rFonts w:ascii="Arial" w:cs="Arial" w:eastAsia="Arial" w:hAnsi="Arial"/>
                <w:sz w:val="17"/>
                <w:szCs w:val="17"/>
                <w:b w:val="1"/>
                <w:bCs w:val="1"/>
                <w:color w:val="auto"/>
              </w:rPr>
              <w:t>EXHIBIT INDEX</w:t>
            </w:r>
          </w:p>
        </w:tc>
      </w:tr>
      <w:tr>
        <w:trPr>
          <w:trHeight w:val="415"/>
        </w:trPr>
        <w:tc>
          <w:tcPr>
            <w:tcW w:w="1600" w:type="dxa"/>
            <w:vAlign w:val="bottom"/>
            <w:gridSpan w:val="2"/>
          </w:tcPr>
          <w:p>
            <w:pPr>
              <w:ind w:left="100"/>
              <w:spacing w:after="0"/>
              <w:rPr>
                <w:sz w:val="20"/>
                <w:szCs w:val="20"/>
                <w:color w:val="auto"/>
              </w:rPr>
            </w:pPr>
            <w:r>
              <w:rPr>
                <w:rFonts w:ascii="Arial" w:cs="Arial" w:eastAsia="Arial" w:hAnsi="Arial"/>
                <w:sz w:val="17"/>
                <w:szCs w:val="17"/>
                <w:b w:val="1"/>
                <w:bCs w:val="1"/>
                <w:color w:val="auto"/>
              </w:rPr>
              <w:t>Exhibit No.</w:t>
            </w:r>
          </w:p>
        </w:tc>
        <w:tc>
          <w:tcPr>
            <w:tcW w:w="100" w:type="dxa"/>
            <w:vAlign w:val="bottom"/>
          </w:tcPr>
          <w:p>
            <w:pPr>
              <w:spacing w:after="0"/>
              <w:rPr>
                <w:sz w:val="24"/>
                <w:szCs w:val="24"/>
                <w:color w:val="auto"/>
              </w:rPr>
            </w:pPr>
          </w:p>
        </w:tc>
        <w:tc>
          <w:tcPr>
            <w:tcW w:w="7580" w:type="dxa"/>
            <w:vAlign w:val="bottom"/>
            <w:gridSpan w:val="4"/>
          </w:tcPr>
          <w:p>
            <w:pPr>
              <w:spacing w:after="0"/>
              <w:rPr>
                <w:sz w:val="20"/>
                <w:szCs w:val="20"/>
                <w:color w:val="auto"/>
              </w:rPr>
            </w:pPr>
            <w:r>
              <w:rPr>
                <w:rFonts w:ascii="Arial" w:cs="Arial" w:eastAsia="Arial" w:hAnsi="Arial"/>
                <w:sz w:val="17"/>
                <w:szCs w:val="17"/>
                <w:b w:val="1"/>
                <w:bCs w:val="1"/>
                <w:color w:val="auto"/>
              </w:rPr>
              <w:t>Description</w:t>
            </w:r>
          </w:p>
        </w:tc>
      </w:tr>
      <w:tr>
        <w:trPr>
          <w:trHeight w:val="156"/>
        </w:trPr>
        <w:tc>
          <w:tcPr>
            <w:tcW w:w="1340" w:type="dxa"/>
            <w:vAlign w:val="bottom"/>
            <w:tcBorders>
              <w:top w:val="single" w:sz="8" w:color="auto"/>
            </w:tcBorders>
          </w:tcPr>
          <w:p>
            <w:pPr>
              <w:ind w:left="100"/>
              <w:spacing w:after="0" w:line="156" w:lineRule="exact"/>
              <w:rPr>
                <w:sz w:val="20"/>
                <w:szCs w:val="20"/>
                <w:color w:val="auto"/>
              </w:rPr>
            </w:pPr>
            <w:r>
              <w:rPr>
                <w:rFonts w:ascii="Arial" w:cs="Arial" w:eastAsia="Arial" w:hAnsi="Arial"/>
                <w:sz w:val="17"/>
                <w:szCs w:val="17"/>
                <w:color w:val="auto"/>
              </w:rPr>
              <w:t>99.1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580" w:type="dxa"/>
            <w:vAlign w:val="bottom"/>
            <w:tcBorders>
              <w:top w:val="single" w:sz="8" w:color="auto"/>
            </w:tcBorders>
            <w:gridSpan w:val="4"/>
          </w:tcPr>
          <w:p>
            <w:pPr>
              <w:spacing w:after="0" w:line="156" w:lineRule="exact"/>
              <w:rPr>
                <w:rFonts w:ascii="Arial" w:cs="Arial" w:eastAsia="Arial" w:hAnsi="Arial"/>
                <w:sz w:val="17"/>
                <w:szCs w:val="17"/>
                <w:color w:val="0000EE"/>
              </w:rPr>
            </w:pPr>
            <w:hyperlink w:anchor="page5">
              <w:r>
                <w:rPr>
                  <w:rFonts w:ascii="Arial" w:cs="Arial" w:eastAsia="Arial" w:hAnsi="Arial"/>
                  <w:sz w:val="17"/>
                  <w:szCs w:val="17"/>
                  <w:color w:val="0000EE"/>
                </w:rPr>
                <w:t>Press release issued by Blueprint Medicines Corporation on September 10, 2017</w:t>
              </w:r>
            </w:hyperlink>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1"/>
        </w:trPr>
        <w:tc>
          <w:tcPr>
            <w:tcW w:w="1340" w:type="dxa"/>
            <w:vAlign w:val="bottom"/>
          </w:tcPr>
          <w:p>
            <w:pPr>
              <w:ind w:left="100"/>
              <w:spacing w:after="0" w:line="181" w:lineRule="exact"/>
              <w:rPr>
                <w:sz w:val="20"/>
                <w:szCs w:val="20"/>
                <w:color w:val="auto"/>
              </w:rPr>
            </w:pPr>
            <w:r>
              <w:rPr>
                <w:rFonts w:ascii="Arial" w:cs="Arial" w:eastAsia="Arial" w:hAnsi="Arial"/>
                <w:sz w:val="17"/>
                <w:szCs w:val="17"/>
                <w:color w:val="auto"/>
              </w:rPr>
              <w:t>99.2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80" w:type="dxa"/>
            <w:vAlign w:val="bottom"/>
            <w:tcBorders>
              <w:bottom w:val="single" w:sz="8" w:color="0000EE"/>
            </w:tcBorders>
            <w:gridSpan w:val="3"/>
          </w:tcPr>
          <w:p>
            <w:pPr>
              <w:spacing w:after="0" w:line="181" w:lineRule="exact"/>
              <w:rPr>
                <w:rFonts w:ascii="Arial" w:cs="Arial" w:eastAsia="Arial" w:hAnsi="Arial"/>
                <w:sz w:val="17"/>
                <w:szCs w:val="17"/>
                <w:color w:val="0000EE"/>
                <w:w w:val="89"/>
              </w:rPr>
            </w:pPr>
            <w:hyperlink w:anchor="page10">
              <w:r>
                <w:rPr>
                  <w:rFonts w:ascii="Arial" w:cs="Arial" w:eastAsia="Arial" w:hAnsi="Arial"/>
                  <w:sz w:val="17"/>
                  <w:szCs w:val="17"/>
                  <w:color w:val="0000EE"/>
                  <w:w w:val="89"/>
                </w:rPr>
                <w:t>Presentation by Blueprint Medicines Corporation at the ESMO 2017 Congress on September 10, 2017</w:t>
              </w:r>
            </w:hyperlink>
          </w:p>
        </w:tc>
        <w:tc>
          <w:tcPr>
            <w:tcW w:w="700" w:type="dxa"/>
            <w:vAlign w:val="bottom"/>
          </w:tcPr>
          <w:p>
            <w:pPr>
              <w:spacing w:after="0"/>
              <w:rPr>
                <w:sz w:val="15"/>
                <w:szCs w:val="15"/>
                <w:color w:val="auto"/>
              </w:rPr>
            </w:pPr>
          </w:p>
        </w:tc>
      </w:tr>
      <w:tr>
        <w:trPr>
          <w:trHeight w:val="181"/>
        </w:trPr>
        <w:tc>
          <w:tcPr>
            <w:tcW w:w="1340" w:type="dxa"/>
            <w:vAlign w:val="bottom"/>
          </w:tcPr>
          <w:p>
            <w:pPr>
              <w:ind w:left="100"/>
              <w:spacing w:after="0" w:line="181" w:lineRule="exact"/>
              <w:rPr>
                <w:sz w:val="20"/>
                <w:szCs w:val="20"/>
                <w:color w:val="auto"/>
              </w:rPr>
            </w:pPr>
            <w:r>
              <w:rPr>
                <w:rFonts w:ascii="Arial" w:cs="Arial" w:eastAsia="Arial" w:hAnsi="Arial"/>
                <w:sz w:val="17"/>
                <w:szCs w:val="17"/>
                <w:color w:val="auto"/>
              </w:rPr>
              <w:t>99.3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Borders>
              <w:bottom w:val="single" w:sz="8" w:color="0000EE"/>
            </w:tcBorders>
            <w:gridSpan w:val="2"/>
          </w:tcPr>
          <w:p>
            <w:pPr>
              <w:spacing w:after="0" w:line="181" w:lineRule="exact"/>
              <w:rPr>
                <w:rFonts w:ascii="Arial" w:cs="Arial" w:eastAsia="Arial" w:hAnsi="Arial"/>
                <w:sz w:val="17"/>
                <w:szCs w:val="17"/>
                <w:color w:val="0000EE"/>
                <w:w w:val="89"/>
              </w:rPr>
            </w:pPr>
            <w:hyperlink w:anchor="page26">
              <w:r>
                <w:rPr>
                  <w:rFonts w:ascii="Arial" w:cs="Arial" w:eastAsia="Arial" w:hAnsi="Arial"/>
                  <w:sz w:val="17"/>
                  <w:szCs w:val="17"/>
                  <w:color w:val="0000EE"/>
                  <w:w w:val="89"/>
                </w:rPr>
                <w:t>Presentation by Blueprint Medicines Corporation at investor conference call on September 11, 2017</w:t>
              </w:r>
            </w:hyperlink>
          </w:p>
        </w:tc>
        <w:tc>
          <w:tcPr>
            <w:tcW w:w="860" w:type="dxa"/>
            <w:vAlign w:val="bottom"/>
            <w:gridSpan w:val="2"/>
          </w:tcPr>
          <w:p>
            <w:pPr>
              <w:spacing w:after="0"/>
              <w:rPr>
                <w:sz w:val="15"/>
                <w:szCs w:val="15"/>
                <w:color w:val="auto"/>
              </w:rPr>
            </w:pPr>
          </w:p>
        </w:tc>
      </w:tr>
      <w:tr>
        <w:trPr>
          <w:trHeight w:val="621"/>
        </w:trPr>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00" w:type="dxa"/>
            <w:vAlign w:val="bottom"/>
            <w:gridSpan w:val="2"/>
          </w:tcPr>
          <w:p>
            <w:pPr>
              <w:jc w:val="right"/>
              <w:ind w:right="2336"/>
              <w:spacing w:after="0"/>
              <w:rPr>
                <w:sz w:val="20"/>
                <w:szCs w:val="20"/>
                <w:color w:val="auto"/>
              </w:rPr>
            </w:pPr>
            <w:r>
              <w:rPr>
                <w:rFonts w:ascii="Arial" w:cs="Arial" w:eastAsia="Arial" w:hAnsi="Arial"/>
                <w:sz w:val="17"/>
                <w:szCs w:val="17"/>
                <w:color w:val="auto"/>
              </w:rPr>
              <w:t>3</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9"/>
        </w:trPr>
        <w:tc>
          <w:tcPr>
            <w:tcW w:w="1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r>
    </w:tbl>
    <w:p>
      <w:pPr>
        <w:sectPr>
          <w:pgSz w:w="11900" w:h="16838" w:orient="portrait"/>
          <w:cols w:equalWidth="0" w:num="1">
            <w:col w:w="9280"/>
          </w:cols>
          <w:pgMar w:left="1320" w:top="123" w:right="129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ind w:right="40" w:firstLine="604"/>
        <w:spacing w:after="0" w:line="26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80" w:type="dxa"/>
            <w:vAlign w:val="bottom"/>
          </w:tcPr>
          <w:p>
            <w:pPr>
              <w:spacing w:after="0"/>
              <w:rPr>
                <w:sz w:val="18"/>
                <w:szCs w:val="18"/>
                <w:color w:val="auto"/>
              </w:rPr>
            </w:pPr>
          </w:p>
        </w:tc>
        <w:tc>
          <w:tcPr>
            <w:tcW w:w="6020" w:type="dxa"/>
            <w:vAlign w:val="bottom"/>
            <w:gridSpan w:val="2"/>
          </w:tcPr>
          <w:p>
            <w:pPr>
              <w:ind w:left="1540"/>
              <w:spacing w:after="0"/>
              <w:rPr>
                <w:sz w:val="20"/>
                <w:szCs w:val="20"/>
                <w:color w:val="auto"/>
              </w:rPr>
            </w:pPr>
            <w:r>
              <w:rPr>
                <w:rFonts w:ascii="Arial" w:cs="Arial" w:eastAsia="Arial" w:hAnsi="Arial"/>
                <w:sz w:val="17"/>
                <w:szCs w:val="17"/>
                <w:b w:val="1"/>
                <w:bCs w:val="1"/>
                <w:color w:val="auto"/>
              </w:rPr>
              <w:t>BLUEPRINT MEDICINES CORPORATION</w:t>
            </w:r>
          </w:p>
        </w:tc>
      </w:tr>
      <w:tr>
        <w:trPr>
          <w:trHeight w:val="629"/>
        </w:trPr>
        <w:tc>
          <w:tcPr>
            <w:tcW w:w="3280" w:type="dxa"/>
            <w:vAlign w:val="bottom"/>
          </w:tcPr>
          <w:p>
            <w:pPr>
              <w:spacing w:after="0"/>
              <w:rPr>
                <w:sz w:val="20"/>
                <w:szCs w:val="20"/>
                <w:color w:val="auto"/>
              </w:rPr>
            </w:pPr>
            <w:r>
              <w:rPr>
                <w:rFonts w:ascii="Arial" w:cs="Arial" w:eastAsia="Arial" w:hAnsi="Arial"/>
                <w:sz w:val="17"/>
                <w:szCs w:val="17"/>
                <w:color w:val="auto"/>
              </w:rPr>
              <w:t>Date: September 11, 2017</w:t>
            </w:r>
          </w:p>
        </w:tc>
        <w:tc>
          <w:tcPr>
            <w:tcW w:w="6020" w:type="dxa"/>
            <w:vAlign w:val="bottom"/>
            <w:gridSpan w:val="2"/>
          </w:tcPr>
          <w:p>
            <w:pPr>
              <w:ind w:left="1540"/>
              <w:spacing w:after="0"/>
              <w:rPr>
                <w:sz w:val="20"/>
                <w:szCs w:val="20"/>
                <w:color w:val="auto"/>
              </w:rPr>
            </w:pPr>
            <w:r>
              <w:rPr>
                <w:rFonts w:ascii="Arial" w:cs="Arial" w:eastAsia="Arial" w:hAnsi="Arial"/>
                <w:sz w:val="17"/>
                <w:szCs w:val="17"/>
                <w:color w:val="auto"/>
              </w:rPr>
              <w:t>By: /s/ Tracey L. McCain</w:t>
            </w:r>
          </w:p>
        </w:tc>
      </w:tr>
      <w:tr>
        <w:trPr>
          <w:trHeight w:val="182"/>
        </w:trPr>
        <w:tc>
          <w:tcPr>
            <w:tcW w:w="3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2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Tracey L. McCain</w:t>
            </w:r>
          </w:p>
        </w:tc>
      </w:tr>
      <w:tr>
        <w:trPr>
          <w:trHeight w:val="213"/>
        </w:trPr>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Chief Legal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89724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97245" cy="24130"/>
                    </a:xfrm>
                    <a:prstGeom prst="rect">
                      <a:avLst/>
                    </a:prstGeom>
                    <a:noFill/>
                  </pic:spPr>
                </pic:pic>
              </a:graphicData>
            </a:graphic>
          </wp:anchor>
        </w:drawing>
      </w:r>
    </w:p>
    <w:p>
      <w:pPr>
        <w:sectPr>
          <w:pgSz w:w="11900" w:h="16838" w:orient="portrait"/>
          <w:cols w:equalWidth="0" w:num="1">
            <w:col w:w="9300"/>
          </w:cols>
          <w:pgMar w:left="1300" w:top="123"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-635</wp:posOffset>
            </wp:positionV>
            <wp:extent cx="1605915" cy="543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05915"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1600" w:right="120"/>
        <w:spacing w:after="0"/>
        <w:rPr>
          <w:sz w:val="20"/>
          <w:szCs w:val="20"/>
          <w:color w:val="auto"/>
        </w:rPr>
      </w:pPr>
      <w:r>
        <w:rPr>
          <w:rFonts w:ascii="Arial" w:cs="Arial" w:eastAsia="Arial" w:hAnsi="Arial"/>
          <w:sz w:val="18"/>
          <w:szCs w:val="18"/>
          <w:b w:val="1"/>
          <w:bCs w:val="1"/>
          <w:color w:val="auto"/>
        </w:rPr>
        <w:t>Blueprint Medicines Announces New Data from Ongoing Phase 1 Clinical Trial of BLU-554 in Patients with Advanced Hepatocellular Carcinoma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Encouraging Clinical Activity Observed in Heavily Pre-Treated Patients with FGFR4-Driven HCC –</w:t>
      </w:r>
    </w:p>
    <w:p>
      <w:pPr>
        <w:ind w:left="1160"/>
        <w:spacing w:after="0" w:line="204" w:lineRule="auto"/>
        <w:rPr>
          <w:sz w:val="20"/>
          <w:szCs w:val="20"/>
          <w:color w:val="auto"/>
        </w:rPr>
      </w:pPr>
      <w:r>
        <w:rPr>
          <w:rFonts w:ascii="Arial" w:cs="Arial" w:eastAsia="Arial" w:hAnsi="Arial"/>
          <w:sz w:val="18"/>
          <w:szCs w:val="18"/>
          <w:i w:val="1"/>
          <w:iCs w:val="1"/>
          <w:color w:val="auto"/>
        </w:rPr>
        <w:t>– Data Support Patient Selection Strategy for First Potential Biomarker-Driven Treatment</w:t>
      </w:r>
    </w:p>
    <w:p>
      <w:pPr>
        <w:ind w:left="3780"/>
        <w:spacing w:after="0" w:line="204" w:lineRule="auto"/>
        <w:rPr>
          <w:sz w:val="20"/>
          <w:szCs w:val="20"/>
          <w:color w:val="auto"/>
        </w:rPr>
      </w:pPr>
      <w:r>
        <w:rPr>
          <w:rFonts w:ascii="Arial" w:cs="Arial" w:eastAsia="Arial" w:hAnsi="Arial"/>
          <w:sz w:val="18"/>
          <w:szCs w:val="18"/>
          <w:i w:val="1"/>
          <w:iCs w:val="1"/>
          <w:color w:val="auto"/>
        </w:rPr>
        <w:t>Approach in HCC –</w:t>
      </w:r>
    </w:p>
    <w:p>
      <w:pPr>
        <w:ind w:left="1840"/>
        <w:spacing w:after="0" w:line="204" w:lineRule="auto"/>
        <w:rPr>
          <w:sz w:val="20"/>
          <w:szCs w:val="20"/>
          <w:color w:val="auto"/>
        </w:rPr>
      </w:pPr>
      <w:r>
        <w:rPr>
          <w:rFonts w:ascii="Arial" w:cs="Arial" w:eastAsia="Arial" w:hAnsi="Arial"/>
          <w:sz w:val="18"/>
          <w:szCs w:val="18"/>
          <w:i w:val="1"/>
          <w:iCs w:val="1"/>
          <w:color w:val="auto"/>
        </w:rPr>
        <w:t>– Blueprint Medicines to Host Investor Conference Call and Webcast on</w:t>
      </w:r>
    </w:p>
    <w:p>
      <w:pPr>
        <w:ind w:left="2980"/>
        <w:spacing w:after="0"/>
        <w:rPr>
          <w:sz w:val="20"/>
          <w:szCs w:val="20"/>
          <w:color w:val="auto"/>
        </w:rPr>
      </w:pPr>
      <w:r>
        <w:rPr>
          <w:rFonts w:ascii="Arial" w:cs="Arial" w:eastAsia="Arial" w:hAnsi="Arial"/>
          <w:sz w:val="18"/>
          <w:szCs w:val="18"/>
          <w:i w:val="1"/>
          <w:iCs w:val="1"/>
          <w:color w:val="auto"/>
        </w:rPr>
        <w:t>Monday, September 11, at 7:00 a.m. ET –</w:t>
      </w:r>
    </w:p>
    <w:p>
      <w:pPr>
        <w:spacing w:after="0" w:line="129" w:lineRule="exact"/>
        <w:rPr>
          <w:sz w:val="20"/>
          <w:szCs w:val="20"/>
          <w:color w:val="auto"/>
        </w:rPr>
      </w:pPr>
    </w:p>
    <w:p>
      <w:pPr>
        <w:ind w:left="140" w:right="239"/>
        <w:spacing w:after="0" w:line="220" w:lineRule="auto"/>
        <w:rPr>
          <w:sz w:val="20"/>
          <w:szCs w:val="20"/>
          <w:color w:val="auto"/>
        </w:rPr>
      </w:pPr>
      <w:r>
        <w:rPr>
          <w:rFonts w:ascii="Arial" w:cs="Arial" w:eastAsia="Arial" w:hAnsi="Arial"/>
          <w:sz w:val="17"/>
          <w:szCs w:val="17"/>
          <w:color w:val="auto"/>
        </w:rPr>
        <w:t>CAMBRIDGE, Mass., September 10, 2017 – Blueprint Medicines Corporation (NASDAQ:BPMC), a leader in discovering and developing targeted kinase medicines for patients with genomically defined diseases, today announced updated data from its ongoing Phase 1 clinical trial of BLU-554, a potent and highly selective inhibitor of fibroblast growth factor receptor 4 (FGFR4) for the treatment of patients with advanced hepatocellular carcinoma (HCC). As of a data cutoff date of August 18, 2017, BLU-554 demonstrated a 16 percent objective response rate</w:t>
      </w:r>
    </w:p>
    <w:p>
      <w:pPr>
        <w:spacing w:after="0" w:line="1" w:lineRule="exact"/>
        <w:rPr>
          <w:sz w:val="20"/>
          <w:szCs w:val="20"/>
          <w:color w:val="auto"/>
        </w:rPr>
      </w:pPr>
    </w:p>
    <w:p>
      <w:pPr>
        <w:ind w:left="140" w:right="299"/>
        <w:spacing w:after="0" w:line="216" w:lineRule="auto"/>
        <w:rPr>
          <w:sz w:val="20"/>
          <w:szCs w:val="20"/>
          <w:color w:val="auto"/>
        </w:rPr>
      </w:pPr>
      <w:r>
        <w:rPr>
          <w:rFonts w:ascii="Arial" w:cs="Arial" w:eastAsia="Arial" w:hAnsi="Arial"/>
          <w:sz w:val="18"/>
          <w:szCs w:val="18"/>
          <w:color w:val="auto"/>
        </w:rPr>
        <w:t>(ORR) in patients with FGFR4-driven HCC. In addition, 49 percent of patients with FGFR4-driven HCC had radiographic tumor reduction. BLU-554 was well-tolerated and most adverse events (AEs) reported by investigators were Grade 1 or 2. The data will be presented today in an oral presentation at the European Society for Medical Oncology (ESMO) 2017 Congress in Madrid, Spain.</w:t>
      </w:r>
    </w:p>
    <w:p>
      <w:pPr>
        <w:spacing w:after="0" w:line="120" w:lineRule="exact"/>
        <w:rPr>
          <w:sz w:val="20"/>
          <w:szCs w:val="20"/>
          <w:color w:val="auto"/>
        </w:rPr>
      </w:pPr>
    </w:p>
    <w:p>
      <w:pPr>
        <w:ind w:left="140" w:right="259"/>
        <w:spacing w:after="0" w:line="228" w:lineRule="auto"/>
        <w:rPr>
          <w:sz w:val="20"/>
          <w:szCs w:val="20"/>
          <w:color w:val="auto"/>
        </w:rPr>
      </w:pPr>
      <w:r>
        <w:rPr>
          <w:rFonts w:ascii="Arial" w:cs="Arial" w:eastAsia="Arial" w:hAnsi="Arial"/>
          <w:sz w:val="17"/>
          <w:szCs w:val="17"/>
          <w:color w:val="auto"/>
        </w:rPr>
        <w:t>“Patients with hepatocellular carcinoma face a very poor prognosis with few therapeutic options,” said Richard Kim, M.D., Associate Professor, Moffit Cancer Center, an investigator for the study. “The new BLU-554 data announced today show that in heavily pre-treated patients, BLU-554 demonstrated encouraging clinical activity, with approximately half of patients with FGFR4-driven HCC having tumor shrinkage. These data compare well to historical data for currently approved agents showing response rates of approximately 10 percent or less, and BLU-554 has the potential to change the treatment paradigm for patients with FGFR4-driven HCC.”</w:t>
      </w:r>
    </w:p>
    <w:p>
      <w:pPr>
        <w:spacing w:after="0" w:line="119" w:lineRule="exact"/>
        <w:rPr>
          <w:sz w:val="20"/>
          <w:szCs w:val="20"/>
          <w:color w:val="auto"/>
        </w:rPr>
      </w:pPr>
    </w:p>
    <w:p>
      <w:pPr>
        <w:ind w:left="140" w:right="219"/>
        <w:spacing w:after="0" w:line="228" w:lineRule="auto"/>
        <w:rPr>
          <w:sz w:val="20"/>
          <w:szCs w:val="20"/>
          <w:color w:val="auto"/>
        </w:rPr>
      </w:pPr>
      <w:r>
        <w:rPr>
          <w:rFonts w:ascii="Arial" w:cs="Arial" w:eastAsia="Arial" w:hAnsi="Arial"/>
          <w:sz w:val="17"/>
          <w:szCs w:val="17"/>
          <w:color w:val="auto"/>
        </w:rPr>
        <w:t>“We are encouraged by the updated BLU-554 Phase 1 data presented at ESMO, which build on our prior clinical experience and suggest that BLU-554 may offer meaningful benefit to patients with FGFR4-driven HCC,” said Andy Boral, M.D., Ph.D., Chief Medical Officer of Blueprint Medicines. “These data speak to BLU-554’s potential as the first biomarker-driven targeted therapy for liver cancer. The higher frequency of tumor reduction in patients with FGFR4-driven HCC confirm the importance of aberrantly activated FGFR4 signaling in driving a subset of patients’ disease and demonstrate BLU-554’s ability to modulate the FGFR4 pathway.”</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Updated Data from the Ongoing Phase 1 Clinical Trial</w:t>
      </w:r>
    </w:p>
    <w:p>
      <w:pPr>
        <w:spacing w:after="0" w:line="149" w:lineRule="exact"/>
        <w:rPr>
          <w:sz w:val="20"/>
          <w:szCs w:val="20"/>
          <w:color w:val="auto"/>
        </w:rPr>
      </w:pPr>
    </w:p>
    <w:p>
      <w:pPr>
        <w:ind w:left="140" w:right="179"/>
        <w:spacing w:after="0" w:line="226" w:lineRule="auto"/>
        <w:rPr>
          <w:sz w:val="20"/>
          <w:szCs w:val="20"/>
          <w:color w:val="auto"/>
        </w:rPr>
      </w:pPr>
      <w:r>
        <w:rPr>
          <w:rFonts w:ascii="Arial" w:cs="Arial" w:eastAsia="Arial" w:hAnsi="Arial"/>
          <w:sz w:val="18"/>
          <w:szCs w:val="18"/>
          <w:color w:val="auto"/>
        </w:rPr>
        <w:t>BLU-554 is currently being evaluated in a Phase 1 clinical trial in patients with advanced HCC. Following the completion of the dose escalation portion of the trial and determination of the maximum tolerated dose (MTD) of 600 mg once daily (QD), Blueprint Medicines initiated the expansion portion of the trial.</w:t>
      </w:r>
    </w:p>
    <w:p>
      <w:pPr>
        <w:spacing w:after="0" w:line="120" w:lineRule="exact"/>
        <w:rPr>
          <w:sz w:val="20"/>
          <w:szCs w:val="20"/>
          <w:color w:val="auto"/>
        </w:rPr>
      </w:pPr>
    </w:p>
    <w:p>
      <w:pPr>
        <w:ind w:left="140" w:right="679"/>
        <w:spacing w:after="0"/>
        <w:rPr>
          <w:sz w:val="20"/>
          <w:szCs w:val="20"/>
          <w:color w:val="auto"/>
        </w:rPr>
      </w:pPr>
      <w:r>
        <w:rPr>
          <w:rFonts w:ascii="Arial" w:cs="Arial" w:eastAsia="Arial" w:hAnsi="Arial"/>
          <w:sz w:val="17"/>
          <w:szCs w:val="17"/>
          <w:color w:val="auto"/>
        </w:rPr>
        <w:t>As of the data cutoff of August 18, 2017, 77 patients had been treated with BLU-554 in the dose escalation and expansion portions of the Phase 1 clinical trial at five dose levels (ranging from 140 mg QD to 900 mg QD), including 44 patients with FGFR4-driven HCC. FGFR4-driven HCC was defined as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54609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5" w:name="page6"/>
    <w:bookmarkEnd w:id="5"/>
    <w:p>
      <w:pPr>
        <w:ind w:left="140" w:right="139"/>
        <w:spacing w:after="0" w:line="239" w:lineRule="auto"/>
        <w:rPr>
          <w:sz w:val="20"/>
          <w:szCs w:val="20"/>
          <w:color w:val="auto"/>
        </w:rPr>
      </w:pPr>
      <w:r>
        <w:rPr>
          <w:rFonts w:ascii="Arial" w:cs="Arial" w:eastAsia="Arial" w:hAnsi="Arial"/>
          <w:sz w:val="17"/>
          <w:szCs w:val="17"/>
          <w:color w:val="auto"/>
        </w:rPr>
        <w:t>one percent tumor expression of FGF19, the FGFR4 ligand, as measured by an immunohistochemistry (IHC) assay. In general, the enrolled population was heavily pretreated: 82 percent received prior tyrosine kinase inhibitor (TKI) treatment, 23 percent received prior immunotherapy, and 91 percent received prior systemic therapy.</w:t>
      </w:r>
    </w:p>
    <w:p>
      <w:pPr>
        <w:spacing w:after="0" w:line="119" w:lineRule="exact"/>
        <w:rPr>
          <w:sz w:val="20"/>
          <w:szCs w:val="20"/>
          <w:color w:val="auto"/>
        </w:rPr>
      </w:pPr>
    </w:p>
    <w:p>
      <w:pPr>
        <w:ind w:left="140" w:right="539"/>
        <w:spacing w:after="0" w:line="226" w:lineRule="auto"/>
        <w:rPr>
          <w:sz w:val="20"/>
          <w:szCs w:val="20"/>
          <w:color w:val="auto"/>
        </w:rPr>
      </w:pPr>
      <w:r>
        <w:rPr>
          <w:rFonts w:ascii="Arial" w:cs="Arial" w:eastAsia="Arial" w:hAnsi="Arial"/>
          <w:sz w:val="18"/>
          <w:szCs w:val="18"/>
          <w:color w:val="auto"/>
        </w:rPr>
        <w:t>Pharmacokinetic (PK) analysis demonstrated rapid oral absorption across all dose levels, with a mean half-life of approximately 17 hours and exposure in the expected therapeutic range based on HCC xenograft models. Collectively, these data support a once-daily dosing regimen.</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Safety Data</w:t>
      </w:r>
    </w:p>
    <w:p>
      <w:pPr>
        <w:spacing w:after="0" w:line="149" w:lineRule="exact"/>
        <w:rPr>
          <w:sz w:val="20"/>
          <w:szCs w:val="20"/>
          <w:color w:val="auto"/>
        </w:rPr>
      </w:pPr>
    </w:p>
    <w:p>
      <w:pPr>
        <w:ind w:left="140" w:right="139"/>
        <w:spacing w:after="0" w:line="213" w:lineRule="auto"/>
        <w:rPr>
          <w:sz w:val="20"/>
          <w:szCs w:val="20"/>
          <w:color w:val="auto"/>
        </w:rPr>
      </w:pPr>
      <w:r>
        <w:rPr>
          <w:rFonts w:ascii="Arial" w:cs="Arial" w:eastAsia="Arial" w:hAnsi="Arial"/>
          <w:sz w:val="18"/>
          <w:szCs w:val="18"/>
          <w:color w:val="auto"/>
        </w:rPr>
        <w:t>As of the data cutoff of August 18, 2017, the majority of AEs reported by investigators were Grade 1 or 2. Across all grades, the most common AEs reported by investigators related to BLU-554 included diarrhea (71%), nausea (42%), vomiting (36%), transaminase elevation (AST 34% and ALT 32%) and fatigue (29%). Grade 3 or higher AEs related to BLU-554 occurring in five or more patients included anemia, diarrhea and transaminase elevation (AST and ALT). Among all 77 patients treated with BLU-554, 58 patients discontinued treatment with BLU-554, including 42 patients due to disease progression, 11 patients due to treatment-related AEs, three patients who withdrew consent and two patients due to the investigator’s decision.</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Clinical Activity Data</w:t>
      </w:r>
    </w:p>
    <w:p>
      <w:pPr>
        <w:spacing w:after="0" w:line="149" w:lineRule="exact"/>
        <w:rPr>
          <w:sz w:val="20"/>
          <w:szCs w:val="20"/>
          <w:color w:val="auto"/>
        </w:rPr>
      </w:pPr>
    </w:p>
    <w:p>
      <w:pPr>
        <w:jc w:val="both"/>
        <w:ind w:left="140" w:right="699"/>
        <w:spacing w:after="0" w:line="262" w:lineRule="auto"/>
        <w:rPr>
          <w:sz w:val="20"/>
          <w:szCs w:val="20"/>
          <w:color w:val="auto"/>
        </w:rPr>
      </w:pPr>
      <w:r>
        <w:rPr>
          <w:rFonts w:ascii="Arial" w:cs="Arial" w:eastAsia="Arial" w:hAnsi="Arial"/>
          <w:sz w:val="16"/>
          <w:szCs w:val="16"/>
          <w:color w:val="auto"/>
        </w:rPr>
        <w:t>As of the data cutoff of August 18, 2017, 67 patients were evaluable for response assessment. An additional 10 patients were treated with BLU-554 as of the data cutoff date but were not evaluable for response assessment. Response was assessed using the Response Evaluation Criteria In Solid Tumors (RECIST) version 1.1.</w:t>
      </w:r>
    </w:p>
    <w:p>
      <w:pPr>
        <w:spacing w:after="0" w:line="102" w:lineRule="exact"/>
        <w:rPr>
          <w:sz w:val="20"/>
          <w:szCs w:val="20"/>
          <w:color w:val="auto"/>
        </w:rPr>
      </w:pPr>
    </w:p>
    <w:p>
      <w:pPr>
        <w:ind w:left="140" w:right="199"/>
        <w:spacing w:after="0" w:line="226" w:lineRule="auto"/>
        <w:rPr>
          <w:sz w:val="20"/>
          <w:szCs w:val="20"/>
          <w:color w:val="auto"/>
        </w:rPr>
      </w:pPr>
      <w:r>
        <w:rPr>
          <w:rFonts w:ascii="Arial" w:cs="Arial" w:eastAsia="Arial" w:hAnsi="Arial"/>
          <w:sz w:val="18"/>
          <w:szCs w:val="18"/>
          <w:color w:val="auto"/>
        </w:rPr>
        <w:t>In patients with FGFR4-driven HCC (n=38), the data showed an ORR of 16 percent (95 percent confidence interval 6-31 percent). In addition, 49 percent of patients had radiographic tumor reduction, and clinical activity was observed regardless of disease etiology or geography. As of the data cutoff date:</w:t>
      </w:r>
    </w:p>
    <w:p>
      <w:pPr>
        <w:spacing w:after="0" w:line="105" w:lineRule="exact"/>
        <w:rPr>
          <w:sz w:val="20"/>
          <w:szCs w:val="20"/>
          <w:color w:val="auto"/>
        </w:rPr>
      </w:pPr>
    </w:p>
    <w:p>
      <w:pPr>
        <w:ind w:left="1060" w:hanging="31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patient had an unconfirmed complete response.</w:t>
      </w:r>
    </w:p>
    <w:p>
      <w:pPr>
        <w:ind w:left="1060" w:hanging="311"/>
        <w:spacing w:after="0" w:line="20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 patients had a partial response, with four confirmed and one unconfirmed.</w:t>
      </w:r>
    </w:p>
    <w:p>
      <w:pPr>
        <w:ind w:left="1060" w:hanging="311"/>
        <w:spacing w:after="0" w:line="20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additional 20 patients had stable disease, representing a disease control rate of 68 percent.</w:t>
      </w:r>
    </w:p>
    <w:p>
      <w:pPr>
        <w:ind w:left="1060" w:hanging="31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responses were observed in patients without FGFR4 pathway activation (n=29).</w:t>
      </w:r>
    </w:p>
    <w:p>
      <w:pPr>
        <w:spacing w:after="0" w:line="129" w:lineRule="exact"/>
        <w:rPr>
          <w:sz w:val="20"/>
          <w:szCs w:val="20"/>
          <w:color w:val="auto"/>
        </w:rPr>
      </w:pPr>
    </w:p>
    <w:p>
      <w:pPr>
        <w:ind w:left="140" w:right="439"/>
        <w:spacing w:after="0" w:line="226" w:lineRule="auto"/>
        <w:rPr>
          <w:sz w:val="20"/>
          <w:szCs w:val="20"/>
          <w:color w:val="auto"/>
        </w:rPr>
      </w:pPr>
      <w:r>
        <w:rPr>
          <w:rFonts w:ascii="Arial" w:cs="Arial" w:eastAsia="Arial" w:hAnsi="Arial"/>
          <w:sz w:val="18"/>
          <w:szCs w:val="18"/>
          <w:color w:val="auto"/>
        </w:rPr>
        <w:t>Among all 77 patients treated with BLU-554, 19 remained on treatment as of the data cutoff date, including 15 patients with FGFR4-driven HCC. Median progression free survival was 3.7 months among patients with FGFR4-driven HCC.</w:t>
      </w:r>
    </w:p>
    <w:p>
      <w:pPr>
        <w:spacing w:after="0" w:line="120" w:lineRule="exact"/>
        <w:rPr>
          <w:sz w:val="20"/>
          <w:szCs w:val="20"/>
          <w:color w:val="auto"/>
        </w:rPr>
      </w:pPr>
    </w:p>
    <w:p>
      <w:pPr>
        <w:ind w:left="140" w:right="319"/>
        <w:spacing w:after="0" w:line="221" w:lineRule="auto"/>
        <w:rPr>
          <w:sz w:val="20"/>
          <w:szCs w:val="20"/>
          <w:color w:val="auto"/>
        </w:rPr>
      </w:pPr>
      <w:r>
        <w:rPr>
          <w:rFonts w:ascii="Arial" w:cs="Arial" w:eastAsia="Arial" w:hAnsi="Arial"/>
          <w:sz w:val="18"/>
          <w:szCs w:val="18"/>
          <w:color w:val="auto"/>
        </w:rPr>
        <w:t>In addition, five TKI-naïve patients with FGFR4-driven HCC were evaluable for response assessment as of the data cutoff date. Within this group, preliminary evidence of prolonged disease control was observed. Two TKI-naïve patients remain on treatment as of the data cutoff with a duration of treatment of 11.4 months and 12.3 months,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221615</wp:posOffset>
            </wp:positionV>
            <wp:extent cx="554609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color w:val="auto"/>
        </w:rPr>
        <w:t>Clinical Development Plans for BLU-554</w:t>
      </w:r>
    </w:p>
    <w:p>
      <w:pPr>
        <w:spacing w:after="0" w:line="150" w:lineRule="exact"/>
        <w:rPr>
          <w:sz w:val="20"/>
          <w:szCs w:val="20"/>
          <w:color w:val="auto"/>
        </w:rPr>
      </w:pPr>
    </w:p>
    <w:p>
      <w:pPr>
        <w:ind w:left="140" w:right="219"/>
        <w:spacing w:after="0" w:line="230" w:lineRule="auto"/>
        <w:rPr>
          <w:sz w:val="20"/>
          <w:szCs w:val="20"/>
          <w:color w:val="auto"/>
        </w:rPr>
      </w:pPr>
      <w:r>
        <w:rPr>
          <w:rFonts w:ascii="Arial" w:cs="Arial" w:eastAsia="Arial" w:hAnsi="Arial"/>
          <w:sz w:val="17"/>
          <w:szCs w:val="17"/>
          <w:color w:val="auto"/>
        </w:rPr>
        <w:t>Blueprint Medicines plans to continue to enroll and follow the cohort of patients with FGFR4-driven HCC in the ongoing Phase 1 clinical trial to further evaluate the safety and clinical activity of BLU-554 in this population. In addition, the Company plans to initiate an additional cohort in this clinical trial in the first quarter of 2018 to evaluate BLU-554 in TKI-naïve patients with FGFR4-driven HCC. Blueprint Medicines also plans to explore opportunities to conduct a clinical trial to evaluate BLU-554 in combination with an immune checkpoint inhibitor.</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Conference Call Information</w:t>
      </w:r>
    </w:p>
    <w:p>
      <w:pPr>
        <w:spacing w:after="0" w:line="149" w:lineRule="exact"/>
        <w:rPr>
          <w:sz w:val="20"/>
          <w:szCs w:val="20"/>
          <w:color w:val="auto"/>
        </w:rPr>
      </w:pPr>
    </w:p>
    <w:p>
      <w:pPr>
        <w:ind w:left="140" w:right="179"/>
        <w:spacing w:after="0" w:line="213" w:lineRule="auto"/>
        <w:rPr>
          <w:sz w:val="20"/>
          <w:szCs w:val="20"/>
          <w:color w:val="auto"/>
        </w:rPr>
      </w:pPr>
      <w:r>
        <w:rPr>
          <w:rFonts w:ascii="Arial" w:cs="Arial" w:eastAsia="Arial" w:hAnsi="Arial"/>
          <w:sz w:val="18"/>
          <w:szCs w:val="18"/>
          <w:color w:val="auto"/>
        </w:rPr>
        <w:t>Blueprint Medicines will host a conference call and webcast on Monday, September 11, 2017 at 7:00 a.m. ET (1:00 p.m. CET) to discuss the BLU-554 clinical data presented at ESMO. To participate in the conference call, please dial 1-855-728-4793 (domestic) or 1-503-343-6666 (international) and refer to conference ID 73748225. A live webcast of the presentation will also be available under “Events &amp; Presentations” in the Investors section of Blueprint Medicines’ website at http://ir.blueprintmedicines.com/. The archived webcast will be available on Blueprint Medicines’ website approximately two hours after the event concludes and will be available for 30 days following the event.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Phase 1 Clinical Trial for BLU-554 in Advanced HCC</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Blueprint Medicines’ Phase 1 clinical trial for BLU-554 is designed to evaluate the safety and tolerability of BLU-</w:t>
      </w:r>
    </w:p>
    <w:p>
      <w:pPr>
        <w:ind w:left="140" w:right="219" w:firstLine="5"/>
        <w:spacing w:after="0" w:line="229" w:lineRule="auto"/>
        <w:tabs>
          <w:tab w:leader="none" w:pos="50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dose-escalation portion of the Phase 1 clinical trial was completed, and the maximum tolerated dose (MTD) was determined to be 600 mg QD. Blueprint Medicines is currently enrolling the expansion portion of the Phase 1 clinical trial at the MTD. The primary objective of the expansion portion of the Phase 1 clinical trial is to continue to evaluate the safety and tolerability of BLU-554. Secondary objectives include assessing clinical activity by Response Evaluation Criteria in Solid Tumors version 1.1, as well as evaluating the PK of BLU-554 and pharmacodynamic markers of BLU-554 activity. The expansion portion of the Phase 1 clinical trial is designed to enroll approximately</w:t>
      </w:r>
    </w:p>
    <w:p>
      <w:pPr>
        <w:spacing w:after="0" w:line="3" w:lineRule="exact"/>
        <w:rPr>
          <w:rFonts w:ascii="Arial" w:cs="Arial" w:eastAsia="Arial" w:hAnsi="Arial"/>
          <w:sz w:val="16"/>
          <w:szCs w:val="16"/>
          <w:color w:val="auto"/>
        </w:rPr>
      </w:pPr>
    </w:p>
    <w:p>
      <w:pPr>
        <w:ind w:left="140" w:right="199" w:firstLine="5"/>
        <w:spacing w:after="0" w:line="233" w:lineRule="auto"/>
        <w:tabs>
          <w:tab w:leader="none" w:pos="371" w:val="left"/>
        </w:tabs>
        <w:numPr>
          <w:ilvl w:val="0"/>
          <w:numId w:val="5"/>
        </w:numPr>
        <w:rPr>
          <w:rFonts w:ascii="Arial" w:cs="Arial" w:eastAsia="Arial" w:hAnsi="Arial"/>
          <w:sz w:val="17"/>
          <w:szCs w:val="17"/>
          <w:color w:val="auto"/>
        </w:rPr>
      </w:pPr>
      <w:r>
        <w:rPr>
          <w:rFonts w:ascii="Arial" w:cs="Arial" w:eastAsia="Arial" w:hAnsi="Arial"/>
          <w:sz w:val="17"/>
          <w:szCs w:val="17"/>
          <w:color w:val="auto"/>
        </w:rPr>
        <w:t>patients in expansion cohorts with QD dosing, at multiple sites in the United States, European Union and Asia. Please refer to www.clinicaltrials.gov for additional details related to this Phase 1 clinical trial. For more information, please contact the study director for this Phase 1 clinical trial at studydirector@blueprintmedicines.com.</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HCC</w:t>
      </w:r>
    </w:p>
    <w:p>
      <w:pPr>
        <w:spacing w:after="0" w:line="149" w:lineRule="exact"/>
        <w:rPr>
          <w:sz w:val="20"/>
          <w:szCs w:val="20"/>
          <w:color w:val="auto"/>
        </w:rPr>
      </w:pPr>
    </w:p>
    <w:p>
      <w:pPr>
        <w:ind w:left="140" w:right="159"/>
        <w:spacing w:after="0" w:line="211" w:lineRule="auto"/>
        <w:rPr>
          <w:sz w:val="20"/>
          <w:szCs w:val="20"/>
          <w:color w:val="auto"/>
        </w:rPr>
      </w:pPr>
      <w:r>
        <w:rPr>
          <w:rFonts w:ascii="Arial" w:cs="Arial" w:eastAsia="Arial" w:hAnsi="Arial"/>
          <w:sz w:val="18"/>
          <w:szCs w:val="18"/>
          <w:color w:val="auto"/>
        </w:rPr>
        <w:t>Liver cancer is the second leading cause of cancer-related deaths worldwide, with HCC accounting for most liver cancers. In the United States, HCC is the fastest rising cause of cancer-related death. Over the past two decades, the incidence of HCC has tripled while the five-year survival rate has remained below 12 percent. The highest incidence of HCC occurs in regions with endemic hepatitis B virus, including Southeast Asia and sub-Saharan Africa. Treatment options for patients with advanced HCC are limited, with the currently approved first-line therapy typically providing time to progression of less than six months and overall survival of less than one year. FGF19 is the ligand that activates FGFR4, a receptor that promotes hepatocyte proliferation and regulates bile acid homeostasis in the liver. Blueprint Medicines estimates that approximately 30 percent of patients with HCC have tumors with aberrantly activated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225425</wp:posOffset>
            </wp:positionV>
            <wp:extent cx="554609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b w:val="1"/>
          <w:bCs w:val="1"/>
          <w:color w:val="auto"/>
        </w:rPr>
        <w:t>About BLU-554</w:t>
      </w:r>
    </w:p>
    <w:p>
      <w:pPr>
        <w:spacing w:after="0" w:line="150" w:lineRule="exact"/>
        <w:rPr>
          <w:sz w:val="20"/>
          <w:szCs w:val="20"/>
          <w:color w:val="auto"/>
        </w:rPr>
      </w:pPr>
    </w:p>
    <w:p>
      <w:pPr>
        <w:ind w:left="140" w:right="239"/>
        <w:spacing w:after="0" w:line="226" w:lineRule="auto"/>
        <w:rPr>
          <w:sz w:val="20"/>
          <w:szCs w:val="20"/>
          <w:color w:val="auto"/>
        </w:rPr>
      </w:pPr>
      <w:r>
        <w:rPr>
          <w:rFonts w:ascii="Arial" w:cs="Arial" w:eastAsia="Arial" w:hAnsi="Arial"/>
          <w:sz w:val="17"/>
          <w:szCs w:val="17"/>
          <w:color w:val="auto"/>
        </w:rPr>
        <w:t>BLU-554 is an orally available, potent, irreversible inhibitor of FGFR4 discovered and being developed by Blueprint Medicines. BLU-554 was specifically designed by Blueprint Medicines to inhibit FGFR4 with exquisite selectivity, thereby sparing the paralogs FGFR1, FGFR2 and FGFR3. Blueprint Medicines is developing BLU-554, an investigational medicine, for the treatment of patients with FGFR4-driven HCC. The Company retains worldwide development and commercialization rights for BLU-554. In addition, Blueprint Medicines and Ventana Medical Systems, Inc. are developing an IHC assay as a companion diagnostic test for use with BLU-554 to identify HCC patients with aberrantly active FGFR4 signaling as indicated by FGF19 protein overexpression.</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49" w:lineRule="exact"/>
        <w:rPr>
          <w:sz w:val="20"/>
          <w:szCs w:val="20"/>
          <w:color w:val="auto"/>
        </w:rPr>
      </w:pPr>
    </w:p>
    <w:p>
      <w:pPr>
        <w:ind w:left="140" w:right="279"/>
        <w:spacing w:after="0" w:line="213"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diseases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9" w:lineRule="exact"/>
        <w:rPr>
          <w:sz w:val="20"/>
          <w:szCs w:val="20"/>
          <w:color w:val="auto"/>
        </w:rPr>
      </w:pPr>
    </w:p>
    <w:p>
      <w:pPr>
        <w:ind w:left="140" w:right="139"/>
        <w:spacing w:after="0" w:line="21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statements regarding plans and timelines for the clinical development of BLU-554, including plans and timelines for clinical trials evaluating BLU-554 in TKI-naïve patients with FGFR4-driven HCC or BLU-554 in combination with an immune checkpoint inhibitor; Blueprint Medicines’ ability to implement its clinical development plans for BLU-554 in advanced HCC; Blueprint Medicines’ ability to enroll patients in its ongoing Phase 1 clinical trial for BLU-554 in advanced HCC;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and actions of the FDA or other regulatory agencies, which may affect the initiation, 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cancer immunotherapy collaboration with F. Hoffmann-La Roche Ltd and Hoffmann-La Roche Inc. These and other risks and uncertainties are described in greater detail in the section entitled "Risk Factors"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114300</wp:posOffset>
            </wp:positionV>
            <wp:extent cx="554609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ind w:left="140" w:right="179"/>
        <w:spacing w:after="0" w:line="230" w:lineRule="auto"/>
        <w:rPr>
          <w:sz w:val="20"/>
          <w:szCs w:val="20"/>
          <w:color w:val="auto"/>
        </w:rPr>
      </w:pPr>
      <w:r>
        <w:rPr>
          <w:rFonts w:ascii="Arial" w:cs="Arial" w:eastAsia="Arial" w:hAnsi="Arial"/>
          <w:sz w:val="17"/>
          <w:szCs w:val="17"/>
          <w:color w:val="auto"/>
        </w:rPr>
        <w:t>Blueprint Medicines’ Quarterly Report on Form 10-Q for the quarter ended June 30, 2017, as filed with the Securities and Exchange Commission (SEC) on August 2,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and Investor Relations Contacts</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ind w:left="140"/>
        <w:spacing w:after="0" w:line="204" w:lineRule="auto"/>
        <w:rPr>
          <w:sz w:val="20"/>
          <w:szCs w:val="20"/>
          <w:color w:val="auto"/>
        </w:rPr>
      </w:pPr>
      <w:r>
        <w:rPr>
          <w:rFonts w:ascii="Arial" w:cs="Arial" w:eastAsia="Arial" w:hAnsi="Arial"/>
          <w:sz w:val="18"/>
          <w:szCs w:val="18"/>
          <w:color w:val="auto"/>
        </w:rPr>
        <w:t>617-714-6674</w:t>
      </w:r>
    </w:p>
    <w:p>
      <w:pPr>
        <w:ind w:left="140"/>
        <w:spacing w:after="0"/>
        <w:rPr>
          <w:sz w:val="20"/>
          <w:szCs w:val="20"/>
          <w:color w:val="auto"/>
        </w:rPr>
      </w:pPr>
      <w:r>
        <w:rPr>
          <w:rFonts w:ascii="Arial" w:cs="Arial" w:eastAsia="Arial" w:hAnsi="Arial"/>
          <w:sz w:val="18"/>
          <w:szCs w:val="18"/>
          <w:color w:val="auto"/>
        </w:rPr>
        <w:t>KHodous@blueprintmedicines.com</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Jim Baker</w:t>
      </w:r>
    </w:p>
    <w:p>
      <w:pPr>
        <w:ind w:left="140"/>
        <w:spacing w:after="0" w:line="204" w:lineRule="auto"/>
        <w:rPr>
          <w:sz w:val="20"/>
          <w:szCs w:val="20"/>
          <w:color w:val="auto"/>
        </w:rPr>
      </w:pPr>
      <w:r>
        <w:rPr>
          <w:rFonts w:ascii="Arial" w:cs="Arial" w:eastAsia="Arial" w:hAnsi="Arial"/>
          <w:sz w:val="18"/>
          <w:szCs w:val="18"/>
          <w:color w:val="auto"/>
        </w:rPr>
        <w:t>617-844-8236</w:t>
      </w:r>
    </w:p>
    <w:p>
      <w:pPr>
        <w:ind w:left="140"/>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54609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6090" cy="2413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 w:name="page10"/>
    <w:bookmarkEnd w:id="9"/>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4279900</wp:posOffset>
            </wp:positionV>
            <wp:extent cx="6600825"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164465</wp:posOffset>
            </wp:positionV>
            <wp:extent cx="6632575" cy="3731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4228465</wp:posOffset>
            </wp:positionV>
            <wp:extent cx="660082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113030</wp:posOffset>
            </wp:positionV>
            <wp:extent cx="6632575" cy="373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ind w:left="8840"/>
        <w:spacing w:after="0"/>
        <w:rPr>
          <w:sz w:val="20"/>
          <w:szCs w:val="20"/>
          <w:color w:val="auto"/>
        </w:rPr>
      </w:pPr>
      <w:r>
        <w:rPr>
          <w:rFonts w:ascii="Arial" w:cs="Arial" w:eastAsia="Arial" w:hAnsi="Arial"/>
          <w:sz w:val="15"/>
          <w:szCs w:val="15"/>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4272280</wp:posOffset>
            </wp:positionV>
            <wp:extent cx="6600825"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156845</wp:posOffset>
            </wp:positionV>
            <wp:extent cx="6632575" cy="3731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4204335</wp:posOffset>
            </wp:positionV>
            <wp:extent cx="6600825"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0825" cy="24130"/>
                    </a:xfrm>
                    <a:prstGeom prst="rect">
                      <a:avLst/>
                    </a:prstGeom>
                    <a:noFill/>
                  </pic:spPr>
                </pic:pic>
              </a:graphicData>
            </a:graphic>
          </wp:anchor>
        </w:drawing>
        <w:drawing>
          <wp:anchor simplePos="0" relativeHeight="251657728" behindDoc="1" locked="0" layoutInCell="0" allowOverlap="1">
            <wp:simplePos x="0" y="0"/>
            <wp:positionH relativeFrom="page">
              <wp:posOffset>552450</wp:posOffset>
            </wp:positionH>
            <wp:positionV relativeFrom="page">
              <wp:posOffset>88900</wp:posOffset>
            </wp:positionV>
            <wp:extent cx="6632575" cy="3731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632575" cy="3731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88900</wp:posOffset>
            </wp:positionV>
            <wp:extent cx="6704330" cy="40112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04330" cy="40112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endash "/>
      <w:numFmt w:val="bullet"/>
      <w:start w:val="1"/>
    </w:lvl>
    <w:lvl w:ilvl="1">
      <w:lvlJc w:val="left"/>
      <w:lvlText w:val="\endash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554"/>
    </w:lvl>
  </w:abstractNum>
  <w:abstractNum w:abstractNumId="4">
    <w:nsid w:val="46E87CCD"/>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2019-12-29T04:38:59Z</dcterms:created>
  <dcterms:modified xsi:type="dcterms:W3CDTF">2019-12-29T04:38:59Z</dcterms:modified>
</cp:coreProperties>
</file>