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94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9498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Albers Jeffrey W.</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7"/>
                <w:szCs w:val="17"/>
                <w:color w:val="0000FF"/>
              </w:rPr>
              <w:t>05/07/2018</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80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center"/>
        <w:ind w:right="174"/>
        <w:spacing w:after="0"/>
        <w:rPr>
          <w:sz w:val="20"/>
          <w:szCs w:val="20"/>
          <w:color w:val="auto"/>
        </w:rPr>
      </w:pPr>
      <w:r>
        <w:rPr>
          <w:rFonts w:ascii="Arial" w:cs="Arial" w:eastAsia="Arial" w:hAnsi="Arial"/>
          <w:sz w:val="17"/>
          <w:szCs w:val="17"/>
          <w:color w:val="0000FF"/>
        </w:rPr>
        <w:t>CEO and President</w:t>
      </w:r>
    </w:p>
    <w:p>
      <w:pPr>
        <w:spacing w:after="0" w:line="427"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CAMBRIDGE</w:t>
            </w:r>
          </w:p>
        </w:tc>
        <w:tc>
          <w:tcPr>
            <w:tcW w:w="960" w:type="dxa"/>
            <w:vAlign w:val="bottom"/>
          </w:tcPr>
          <w:p>
            <w:pPr>
              <w:ind w:left="12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02139</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8" w:lineRule="exact"/>
        <w:rPr>
          <w:sz w:val="20"/>
          <w:szCs w:val="20"/>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60"/>
              <w:spacing w:after="0"/>
              <w:rPr>
                <w:sz w:val="20"/>
                <w:szCs w:val="20"/>
                <w:color w:val="auto"/>
              </w:rPr>
            </w:pPr>
            <w:r>
              <w:rPr>
                <w:rFonts w:ascii="Arial" w:cs="Arial" w:eastAsia="Arial" w:hAnsi="Arial"/>
                <w:sz w:val="17"/>
                <w:szCs w:val="17"/>
                <w:color w:val="0000FF"/>
              </w:rPr>
              <w:t>05/07/2018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4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0000FF"/>
                <w:w w:val="92"/>
              </w:rPr>
              <w:t>20,000</w:t>
            </w:r>
          </w:p>
        </w:tc>
        <w:tc>
          <w:tcPr>
            <w:tcW w:w="68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1.87</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20,000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60"/>
              <w:spacing w:after="0"/>
              <w:rPr>
                <w:sz w:val="20"/>
                <w:szCs w:val="20"/>
                <w:color w:val="auto"/>
              </w:rPr>
            </w:pPr>
            <w:r>
              <w:rPr>
                <w:rFonts w:ascii="Arial" w:cs="Arial" w:eastAsia="Arial" w:hAnsi="Arial"/>
                <w:sz w:val="17"/>
                <w:szCs w:val="17"/>
                <w:color w:val="0000FF"/>
              </w:rPr>
              <w:t>05/07/2018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(2)</w:t>
            </w:r>
          </w:p>
        </w:tc>
        <w:tc>
          <w:tcPr>
            <w:tcW w:w="74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0000FF"/>
                <w:w w:val="92"/>
              </w:rPr>
              <w:t>11,680</w:t>
            </w:r>
          </w:p>
        </w:tc>
        <w:tc>
          <w:tcPr>
            <w:tcW w:w="68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79.15</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8,320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60"/>
              <w:spacing w:after="0"/>
              <w:rPr>
                <w:sz w:val="20"/>
                <w:szCs w:val="20"/>
                <w:color w:val="auto"/>
              </w:rPr>
            </w:pPr>
            <w:r>
              <w:rPr>
                <w:rFonts w:ascii="Arial" w:cs="Arial" w:eastAsia="Arial" w:hAnsi="Arial"/>
                <w:sz w:val="17"/>
                <w:szCs w:val="17"/>
                <w:color w:val="0000FF"/>
              </w:rPr>
              <w:t>05/07/2018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(2)</w:t>
            </w:r>
          </w:p>
        </w:tc>
        <w:tc>
          <w:tcPr>
            <w:tcW w:w="74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0000FF"/>
                <w:w w:val="93"/>
              </w:rPr>
              <w:t>8,320</w:t>
            </w:r>
          </w:p>
        </w:tc>
        <w:tc>
          <w:tcPr>
            <w:tcW w:w="68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78.56</w:t>
            </w:r>
            <w:r>
              <w:rPr>
                <w:rFonts w:ascii="Arial" w:cs="Arial" w:eastAsia="Arial" w:hAnsi="Arial"/>
                <w:sz w:val="22"/>
                <w:szCs w:val="22"/>
                <w:color w:val="008000"/>
                <w:w w:val="88"/>
                <w:vertAlign w:val="superscript"/>
              </w:rPr>
              <w:t>(4)</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97"/>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2"/>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0"/>
          </w:tcPr>
          <w:p>
            <w:pPr>
              <w:jc w:val="center"/>
              <w:ind w:left="50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1.87</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05/07/2018</w:t>
            </w:r>
          </w:p>
        </w:tc>
        <w:tc>
          <w:tcPr>
            <w:tcW w:w="1180" w:type="dxa"/>
            <w:vAlign w:val="bottom"/>
          </w:tcPr>
          <w:p>
            <w:pPr>
              <w:spacing w:after="0"/>
              <w:rPr>
                <w:sz w:val="17"/>
                <w:szCs w:val="17"/>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20,000</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740" w:type="dxa"/>
            <w:vAlign w:val="bottom"/>
          </w:tcPr>
          <w:p>
            <w:pPr>
              <w:ind w:left="40"/>
              <w:spacing w:after="0"/>
              <w:rPr>
                <w:sz w:val="20"/>
                <w:szCs w:val="20"/>
                <w:color w:val="auto"/>
              </w:rPr>
            </w:pPr>
            <w:r>
              <w:rPr>
                <w:rFonts w:ascii="Arial" w:cs="Arial" w:eastAsia="Arial" w:hAnsi="Arial"/>
                <w:sz w:val="13"/>
                <w:szCs w:val="13"/>
                <w:color w:val="0000FF"/>
              </w:rPr>
              <w:t>07/30/2024</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00" w:type="dxa"/>
            <w:vAlign w:val="bottom"/>
            <w:gridSpan w:val="2"/>
          </w:tcPr>
          <w:p>
            <w:pPr>
              <w:ind w:left="300"/>
              <w:spacing w:after="0"/>
              <w:rPr>
                <w:sz w:val="20"/>
                <w:szCs w:val="20"/>
                <w:color w:val="auto"/>
              </w:rPr>
            </w:pPr>
            <w:r>
              <w:rPr>
                <w:rFonts w:ascii="Arial" w:cs="Arial" w:eastAsia="Arial" w:hAnsi="Arial"/>
                <w:sz w:val="13"/>
                <w:szCs w:val="13"/>
                <w:color w:val="0000FF"/>
              </w:rPr>
              <w:t>955,034</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73"/>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exercise reported on this Form 4 was effected pursuant to a trading plan adopted on December 20, 2017 pursuant to Rule 10b5-1 under the Securities Exchange Act of 1934, as amended (the "Exchange Act").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trading plan adopted on December 20, 2017 pursuant to Rule 10b5-1 under the Exchange Act.</w:t>
      </w:r>
    </w:p>
    <w:p>
      <w:pPr>
        <w:spacing w:after="0" w:line="51" w:lineRule="exact"/>
        <w:rPr>
          <w:rFonts w:ascii="Arial" w:cs="Arial" w:eastAsia="Arial" w:hAnsi="Arial"/>
          <w:sz w:val="13"/>
          <w:szCs w:val="13"/>
          <w:color w:val="008000"/>
        </w:rPr>
      </w:pPr>
    </w:p>
    <w:p>
      <w:pPr>
        <w:ind w:left="40" w:right="1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$78.84 to $79.83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$78.06 to $78.83 per share.</w:t>
      </w:r>
    </w:p>
    <w:p>
      <w:pPr>
        <w:spacing w:after="0" w:line="51" w:lineRule="exact"/>
        <w:rPr>
          <w:rFonts w:ascii="Arial" w:cs="Arial" w:eastAsia="Arial" w:hAnsi="Arial"/>
          <w:sz w:val="13"/>
          <w:szCs w:val="13"/>
          <w:color w:val="008000"/>
        </w:rPr>
      </w:pPr>
    </w:p>
    <w:p>
      <w:pPr>
        <w:ind w:left="40" w:right="26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July 30, 2014. This option vests as follows: (i) 42,845 shares vested in four installments at a rate of 6,974 shares on September 21, 2016, and 11,957 shares on each of October 21, 2016 and November 21, 2016, and 11,957 on December 21, 2016; (ii) 90,010 shares vested in eight installments at a rate of 6,311 shares on May 21, 2017 and 11,957 shares on each of June 21, 2017, July 21, 2017, August 21, 2017, September 21, 2017, October 21, 2017, November 21, 2017 and December 21, 2017; and (iii) 30,225 shares vest in three installments at a rate of 6,311 shares on May 21, 2018, 11,957 shares on June 21, 2018 and 11,957 shares on July 21, 2018.</w:t>
      </w:r>
    </w:p>
    <w:p>
      <w:pPr>
        <w:spacing w:after="0" w:line="4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Christopher Frankenfield,</w:t>
            </w:r>
          </w:p>
        </w:tc>
        <w:tc>
          <w:tcPr>
            <w:tcW w:w="2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05/09/2018</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2019-12-08T10:09:43Z</dcterms:created>
  <dcterms:modified xsi:type="dcterms:W3CDTF">2019-12-08T10:09:43Z</dcterms:modified>
</cp:coreProperties>
</file>